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E3FA00" w14:textId="77777777" w:rsidR="00BE6F50" w:rsidRPr="00BE6F50" w:rsidRDefault="00BE6F50" w:rsidP="00BE6F50">
      <w:bookmarkStart w:id="0" w:name="_Toc6215148"/>
      <w:bookmarkStart w:id="1" w:name="_Toc6218260"/>
      <w:bookmarkStart w:id="2" w:name="_Toc6295791"/>
      <w:bookmarkStart w:id="3" w:name="_Toc6297606"/>
      <w:bookmarkStart w:id="4" w:name="_Toc6297911"/>
      <w:bookmarkStart w:id="5" w:name="_Toc6343796"/>
      <w:bookmarkStart w:id="6" w:name="_Toc6381802"/>
      <w:bookmarkStart w:id="7" w:name="_Toc6385475"/>
      <w:bookmarkStart w:id="8" w:name="_GoBack"/>
      <w:bookmarkEnd w:id="8"/>
    </w:p>
    <w:p w14:paraId="21FA8FF8" w14:textId="77777777" w:rsidR="00BE6F50" w:rsidRPr="00BE6F50" w:rsidRDefault="00BE6F50" w:rsidP="00BE6F50"/>
    <w:p w14:paraId="2471D8E4" w14:textId="77777777" w:rsidR="00BE6F50" w:rsidRPr="00BE6F50" w:rsidRDefault="00BE6F50" w:rsidP="00BE6F50"/>
    <w:p w14:paraId="3E9A6B5C" w14:textId="77777777" w:rsidR="00BE6F50" w:rsidRPr="00BE6F50" w:rsidRDefault="00BE6F50" w:rsidP="00BE6F50"/>
    <w:p w14:paraId="45157BAB" w14:textId="77777777" w:rsidR="00BE6F50" w:rsidRPr="00BE6F50" w:rsidRDefault="00BE6F50" w:rsidP="00BE6F50"/>
    <w:p w14:paraId="64362164" w14:textId="77777777" w:rsidR="00BE6F50" w:rsidRDefault="00BE6F50" w:rsidP="00BE6F50"/>
    <w:p w14:paraId="0BABE41B" w14:textId="77777777" w:rsidR="00BE6F50" w:rsidRDefault="00BE6F50" w:rsidP="00BE6F50"/>
    <w:p w14:paraId="5C5A8D10" w14:textId="77777777" w:rsidR="00BE6F50" w:rsidRDefault="00BE6F50" w:rsidP="00BE6F50"/>
    <w:p w14:paraId="18E293EE" w14:textId="77777777" w:rsidR="00BE6F50" w:rsidRDefault="00BE6F50" w:rsidP="00BE6F50"/>
    <w:p w14:paraId="4751C144" w14:textId="77777777" w:rsidR="00BE6F50" w:rsidRDefault="00BE6F50" w:rsidP="00BE6F50"/>
    <w:p w14:paraId="26702333" w14:textId="77777777" w:rsidR="00BE6F50" w:rsidRDefault="00BE6F50" w:rsidP="00BE6F50"/>
    <w:p w14:paraId="370318AB" w14:textId="77777777" w:rsidR="00BE6F50" w:rsidRDefault="00BE6F50" w:rsidP="00BE6F50"/>
    <w:p w14:paraId="0CD63A5B" w14:textId="77777777" w:rsidR="00BE6F50" w:rsidRDefault="00BE6F50" w:rsidP="00BE6F50"/>
    <w:p w14:paraId="11896D8F" w14:textId="77777777" w:rsidR="00BE6F50" w:rsidRPr="00BE6F50" w:rsidRDefault="00BE6F50" w:rsidP="00BE6F50"/>
    <w:p w14:paraId="603CB8C6" w14:textId="77777777" w:rsidR="00BE6F50" w:rsidRPr="00BE6F50" w:rsidRDefault="00BE6F50" w:rsidP="00BE6F50">
      <w:pPr>
        <w:pStyle w:val="tvrtletka"/>
      </w:pPr>
      <w:bookmarkStart w:id="9" w:name="_Toc6398270"/>
      <w:bookmarkStart w:id="10" w:name="_Toc140659841"/>
      <w:bookmarkStart w:id="11" w:name="_Toc140736001"/>
      <w:bookmarkStart w:id="12" w:name="_Toc140737836"/>
      <w:bookmarkStart w:id="13" w:name="_Toc141184443"/>
      <w:bookmarkStart w:id="14" w:name="_Toc141340869"/>
      <w:bookmarkStart w:id="15" w:name="_Toc141694090"/>
      <w:r w:rsidRPr="00BE6F50">
        <w:t>Zpráva veřejné</w:t>
      </w:r>
      <w:r w:rsidR="00330CA2">
        <w:t>ho</w:t>
      </w:r>
      <w:r w:rsidRPr="00BE6F50">
        <w:t xml:space="preserve"> ochrán</w:t>
      </w:r>
      <w:r w:rsidR="00330CA2">
        <w:t xml:space="preserve">ce </w:t>
      </w:r>
      <w:r w:rsidRPr="00BE6F50">
        <w:t>práv</w:t>
      </w:r>
      <w:bookmarkEnd w:id="9"/>
      <w:bookmarkEnd w:id="10"/>
      <w:bookmarkEnd w:id="11"/>
      <w:bookmarkEnd w:id="12"/>
      <w:bookmarkEnd w:id="13"/>
      <w:bookmarkEnd w:id="14"/>
      <w:bookmarkEnd w:id="15"/>
    </w:p>
    <w:p w14:paraId="14897C1E" w14:textId="7F7FDB7A" w:rsidR="00BE6F50" w:rsidRPr="00BE6F50" w:rsidRDefault="00BE6F50" w:rsidP="00BE6F50">
      <w:pPr>
        <w:pStyle w:val="tvrtletka"/>
      </w:pPr>
      <w:bookmarkStart w:id="16" w:name="_Toc6398271"/>
      <w:bookmarkStart w:id="17" w:name="_Toc140659842"/>
      <w:bookmarkStart w:id="18" w:name="_Toc140736002"/>
      <w:bookmarkStart w:id="19" w:name="_Toc140737837"/>
      <w:bookmarkStart w:id="20" w:name="_Toc141184444"/>
      <w:bookmarkStart w:id="21" w:name="_Toc141340870"/>
      <w:bookmarkStart w:id="22" w:name="_Toc141694091"/>
      <w:r w:rsidRPr="00BE6F50">
        <w:t>o činnosti</w:t>
      </w:r>
      <w:r w:rsidR="00A83AD9">
        <w:t xml:space="preserve"> za </w:t>
      </w:r>
      <w:r w:rsidR="00732F13">
        <w:t>2</w:t>
      </w:r>
      <w:r w:rsidRPr="00BE6F50">
        <w:t xml:space="preserve">. čtvrtletí roku </w:t>
      </w:r>
      <w:bookmarkEnd w:id="16"/>
      <w:r w:rsidR="00E84400">
        <w:t>2023</w:t>
      </w:r>
      <w:bookmarkEnd w:id="17"/>
      <w:bookmarkEnd w:id="18"/>
      <w:bookmarkEnd w:id="19"/>
      <w:bookmarkEnd w:id="20"/>
      <w:bookmarkEnd w:id="21"/>
      <w:bookmarkEnd w:id="22"/>
    </w:p>
    <w:p w14:paraId="796B4BDC" w14:textId="77777777" w:rsidR="00BE6F50" w:rsidRDefault="00BE6F50" w:rsidP="00BE6F50">
      <w:pPr>
        <w:pStyle w:val="Zkladntext"/>
      </w:pPr>
    </w:p>
    <w:p w14:paraId="244A2345" w14:textId="1F349379" w:rsidR="00BE6F50" w:rsidRPr="00FA067B" w:rsidRDefault="00BE6F50" w:rsidP="00BE6F50">
      <w:pPr>
        <w:pStyle w:val="Zkladntext"/>
        <w:jc w:val="left"/>
      </w:pPr>
      <w:r w:rsidRPr="00FA067B">
        <w:t>Podle</w:t>
      </w:r>
      <w:r w:rsidR="00A83AD9">
        <w:t xml:space="preserve"> § </w:t>
      </w:r>
      <w:r>
        <w:t>24 odst. 1 písm. a</w:t>
      </w:r>
      <w:r w:rsidRPr="00FA067B">
        <w:t>) zákona</w:t>
      </w:r>
      <w:r w:rsidR="00A83AD9">
        <w:t xml:space="preserve"> č. </w:t>
      </w:r>
      <w:r w:rsidRPr="00FA067B">
        <w:t>349/1999 Sb.,</w:t>
      </w:r>
      <w:r w:rsidR="00A83AD9">
        <w:t xml:space="preserve"> o </w:t>
      </w:r>
      <w:r w:rsidRPr="00FA067B">
        <w:t>veřejném ochránci práv,</w:t>
      </w:r>
      <w:r w:rsidR="00E84400">
        <w:t xml:space="preserve"> </w:t>
      </w:r>
      <w:r w:rsidRPr="00FA067B">
        <w:t>informuji Poslaneckou sněmovnu Parlamentu České republiky</w:t>
      </w:r>
      <w:r w:rsidR="00A83AD9">
        <w:t xml:space="preserve"> o </w:t>
      </w:r>
      <w:r>
        <w:t>své činnosti.</w:t>
      </w:r>
    </w:p>
    <w:p w14:paraId="4B37DAB8" w14:textId="77777777" w:rsidR="00BE6F50" w:rsidRPr="00BE6F50" w:rsidRDefault="00BE6F50" w:rsidP="00BE6F50">
      <w:r>
        <w:br w:type="page"/>
      </w:r>
    </w:p>
    <w:bookmarkEnd w:id="0"/>
    <w:bookmarkEnd w:id="1"/>
    <w:bookmarkEnd w:id="2"/>
    <w:bookmarkEnd w:id="3"/>
    <w:bookmarkEnd w:id="4"/>
    <w:bookmarkEnd w:id="5"/>
    <w:bookmarkEnd w:id="6"/>
    <w:bookmarkEnd w:id="7"/>
    <w:p w14:paraId="1F0F0F39" w14:textId="12A74783" w:rsidR="00FC6241" w:rsidRPr="00A574B9" w:rsidRDefault="001864B7">
      <w:pPr>
        <w:pStyle w:val="Obsah1"/>
        <w:rPr>
          <w:rFonts w:asciiTheme="minorHAnsi" w:eastAsiaTheme="minorEastAsia" w:hAnsiTheme="minorHAnsi" w:cstheme="minorBidi"/>
          <w:noProof/>
          <w:sz w:val="22"/>
          <w:szCs w:val="22"/>
        </w:rPr>
      </w:pPr>
      <w:r>
        <w:rPr>
          <w:b/>
          <w:color w:val="008576"/>
          <w:sz w:val="28"/>
          <w:szCs w:val="26"/>
        </w:rPr>
        <w:lastRenderedPageBreak/>
        <w:fldChar w:fldCharType="begin"/>
      </w:r>
      <w:r>
        <w:instrText xml:space="preserve"> TOC \o "1-1" \t "Nadpis 2;1;Nadpis 3;2;Nadpis 4;3" </w:instrText>
      </w:r>
      <w:r>
        <w:rPr>
          <w:b/>
          <w:color w:val="008576"/>
          <w:sz w:val="28"/>
          <w:szCs w:val="26"/>
        </w:rPr>
        <w:fldChar w:fldCharType="separate"/>
      </w:r>
      <w:r w:rsidR="00FC6241">
        <w:rPr>
          <w:noProof/>
        </w:rPr>
        <w:t>A.</w:t>
      </w:r>
      <w:r w:rsidR="00FC6241">
        <w:rPr>
          <w:rFonts w:asciiTheme="minorHAnsi" w:eastAsiaTheme="minorEastAsia" w:hAnsiTheme="minorHAnsi" w:cstheme="minorBidi"/>
          <w:noProof/>
          <w:sz w:val="22"/>
          <w:szCs w:val="22"/>
        </w:rPr>
        <w:tab/>
      </w:r>
      <w:r w:rsidR="00FC6241" w:rsidRPr="00A574B9">
        <w:rPr>
          <w:noProof/>
          <w:sz w:val="22"/>
          <w:szCs w:val="22"/>
        </w:rPr>
        <w:t>Činnost ochránce</w:t>
      </w:r>
      <w:r w:rsidR="00A83AD9">
        <w:rPr>
          <w:noProof/>
          <w:sz w:val="22"/>
          <w:szCs w:val="22"/>
        </w:rPr>
        <w:t xml:space="preserve"> v </w:t>
      </w:r>
      <w:r w:rsidR="00FC6241" w:rsidRPr="00A574B9">
        <w:rPr>
          <w:noProof/>
          <w:sz w:val="22"/>
          <w:szCs w:val="22"/>
        </w:rPr>
        <w:t>číslech</w:t>
      </w:r>
      <w:r w:rsidR="00FC6241" w:rsidRPr="00A574B9">
        <w:rPr>
          <w:noProof/>
          <w:sz w:val="22"/>
          <w:szCs w:val="22"/>
        </w:rPr>
        <w:tab/>
      </w:r>
      <w:r w:rsidR="00FC6241" w:rsidRPr="00A574B9">
        <w:rPr>
          <w:noProof/>
          <w:sz w:val="22"/>
          <w:szCs w:val="22"/>
        </w:rPr>
        <w:fldChar w:fldCharType="begin"/>
      </w:r>
      <w:r w:rsidR="00FC6241" w:rsidRPr="00A574B9">
        <w:rPr>
          <w:noProof/>
          <w:sz w:val="22"/>
          <w:szCs w:val="22"/>
        </w:rPr>
        <w:instrText xml:space="preserve"> PAGEREF _Toc141694092 \h </w:instrText>
      </w:r>
      <w:r w:rsidR="00FC6241" w:rsidRPr="00A574B9">
        <w:rPr>
          <w:noProof/>
          <w:sz w:val="22"/>
          <w:szCs w:val="22"/>
        </w:rPr>
      </w:r>
      <w:r w:rsidR="00FC6241" w:rsidRPr="00A574B9">
        <w:rPr>
          <w:noProof/>
          <w:sz w:val="22"/>
          <w:szCs w:val="22"/>
        </w:rPr>
        <w:fldChar w:fldCharType="separate"/>
      </w:r>
      <w:r w:rsidR="00A574B9">
        <w:rPr>
          <w:noProof/>
          <w:sz w:val="22"/>
          <w:szCs w:val="22"/>
        </w:rPr>
        <w:t>3</w:t>
      </w:r>
      <w:r w:rsidR="00FC6241" w:rsidRPr="00A574B9">
        <w:rPr>
          <w:noProof/>
          <w:sz w:val="22"/>
          <w:szCs w:val="22"/>
        </w:rPr>
        <w:fldChar w:fldCharType="end"/>
      </w:r>
    </w:p>
    <w:p w14:paraId="1FC7B515" w14:textId="04F2A248" w:rsidR="00FC6241" w:rsidRPr="00A574B9" w:rsidRDefault="00FC6241">
      <w:pPr>
        <w:pStyle w:val="Obsah1"/>
        <w:rPr>
          <w:rFonts w:asciiTheme="minorHAnsi" w:eastAsiaTheme="minorEastAsia" w:hAnsiTheme="minorHAnsi" w:cstheme="minorBidi"/>
          <w:noProof/>
          <w:sz w:val="22"/>
          <w:szCs w:val="22"/>
        </w:rPr>
      </w:pPr>
      <w:r w:rsidRPr="00A574B9">
        <w:rPr>
          <w:noProof/>
          <w:sz w:val="22"/>
          <w:szCs w:val="22"/>
        </w:rPr>
        <w:t>B.</w:t>
      </w:r>
      <w:r w:rsidRPr="00A574B9">
        <w:rPr>
          <w:rFonts w:asciiTheme="minorHAnsi" w:eastAsiaTheme="minorEastAsia" w:hAnsiTheme="minorHAnsi" w:cstheme="minorBidi"/>
          <w:noProof/>
          <w:sz w:val="22"/>
          <w:szCs w:val="22"/>
        </w:rPr>
        <w:tab/>
      </w:r>
      <w:r w:rsidRPr="00A574B9">
        <w:rPr>
          <w:noProof/>
          <w:sz w:val="22"/>
          <w:szCs w:val="22"/>
        </w:rPr>
        <w:t>Veřejná správa</w:t>
      </w:r>
      <w:r w:rsidRPr="00A574B9">
        <w:rPr>
          <w:noProof/>
          <w:sz w:val="22"/>
          <w:szCs w:val="22"/>
        </w:rPr>
        <w:tab/>
      </w:r>
      <w:r w:rsidRPr="00A574B9">
        <w:rPr>
          <w:noProof/>
          <w:sz w:val="22"/>
          <w:szCs w:val="22"/>
        </w:rPr>
        <w:fldChar w:fldCharType="begin"/>
      </w:r>
      <w:r w:rsidRPr="00A574B9">
        <w:rPr>
          <w:noProof/>
          <w:sz w:val="22"/>
          <w:szCs w:val="22"/>
        </w:rPr>
        <w:instrText xml:space="preserve"> PAGEREF _Toc141694093 \h </w:instrText>
      </w:r>
      <w:r w:rsidRPr="00A574B9">
        <w:rPr>
          <w:noProof/>
          <w:sz w:val="22"/>
          <w:szCs w:val="22"/>
        </w:rPr>
      </w:r>
      <w:r w:rsidRPr="00A574B9">
        <w:rPr>
          <w:noProof/>
          <w:sz w:val="22"/>
          <w:szCs w:val="22"/>
        </w:rPr>
        <w:fldChar w:fldCharType="separate"/>
      </w:r>
      <w:r w:rsidR="00A574B9">
        <w:rPr>
          <w:noProof/>
          <w:sz w:val="22"/>
          <w:szCs w:val="22"/>
        </w:rPr>
        <w:t>6</w:t>
      </w:r>
      <w:r w:rsidRPr="00A574B9">
        <w:rPr>
          <w:noProof/>
          <w:sz w:val="22"/>
          <w:szCs w:val="22"/>
        </w:rPr>
        <w:fldChar w:fldCharType="end"/>
      </w:r>
    </w:p>
    <w:p w14:paraId="4B7AA305" w14:textId="016192A2" w:rsidR="00FC6241" w:rsidRPr="00A574B9" w:rsidRDefault="00FC6241">
      <w:pPr>
        <w:pStyle w:val="Obsah2"/>
        <w:rPr>
          <w:rFonts w:asciiTheme="minorHAnsi" w:eastAsiaTheme="minorEastAsia" w:hAnsiTheme="minorHAnsi" w:cstheme="minorBidi"/>
          <w:sz w:val="22"/>
          <w:szCs w:val="22"/>
        </w:rPr>
      </w:pPr>
      <w:r w:rsidRPr="00A574B9">
        <w:rPr>
          <w:sz w:val="22"/>
          <w:szCs w:val="22"/>
        </w:rPr>
        <w:t>B.1</w:t>
      </w:r>
      <w:r w:rsidRPr="00A574B9">
        <w:rPr>
          <w:rFonts w:asciiTheme="minorHAnsi" w:eastAsiaTheme="minorEastAsia" w:hAnsiTheme="minorHAnsi" w:cstheme="minorBidi"/>
          <w:sz w:val="22"/>
          <w:szCs w:val="22"/>
        </w:rPr>
        <w:tab/>
      </w:r>
      <w:r w:rsidRPr="00A574B9">
        <w:rPr>
          <w:sz w:val="22"/>
          <w:szCs w:val="22"/>
        </w:rPr>
        <w:t>Připomínky veřejného ochránce práv</w:t>
      </w:r>
      <w:r w:rsidR="00A83AD9">
        <w:rPr>
          <w:sz w:val="22"/>
          <w:szCs w:val="22"/>
        </w:rPr>
        <w:t xml:space="preserve"> k </w:t>
      </w:r>
      <w:r w:rsidRPr="00A574B9">
        <w:rPr>
          <w:sz w:val="22"/>
          <w:szCs w:val="22"/>
        </w:rPr>
        <w:t>návrhům právních předpisů</w:t>
      </w:r>
      <w:r w:rsidRPr="00A574B9">
        <w:rPr>
          <w:sz w:val="22"/>
          <w:szCs w:val="22"/>
        </w:rPr>
        <w:tab/>
      </w:r>
      <w:r w:rsidRPr="00A574B9">
        <w:rPr>
          <w:sz w:val="22"/>
          <w:szCs w:val="22"/>
        </w:rPr>
        <w:fldChar w:fldCharType="begin"/>
      </w:r>
      <w:r w:rsidRPr="00A574B9">
        <w:rPr>
          <w:sz w:val="22"/>
          <w:szCs w:val="22"/>
        </w:rPr>
        <w:instrText xml:space="preserve"> PAGEREF _Toc141694094 \h </w:instrText>
      </w:r>
      <w:r w:rsidRPr="00A574B9">
        <w:rPr>
          <w:sz w:val="22"/>
          <w:szCs w:val="22"/>
        </w:rPr>
      </w:r>
      <w:r w:rsidRPr="00A574B9">
        <w:rPr>
          <w:sz w:val="22"/>
          <w:szCs w:val="22"/>
        </w:rPr>
        <w:fldChar w:fldCharType="separate"/>
      </w:r>
      <w:r w:rsidR="00A574B9">
        <w:rPr>
          <w:sz w:val="22"/>
          <w:szCs w:val="22"/>
        </w:rPr>
        <w:t>6</w:t>
      </w:r>
      <w:r w:rsidRPr="00A574B9">
        <w:rPr>
          <w:sz w:val="22"/>
          <w:szCs w:val="22"/>
        </w:rPr>
        <w:fldChar w:fldCharType="end"/>
      </w:r>
    </w:p>
    <w:p w14:paraId="3ACCE017" w14:textId="636F2873" w:rsidR="00FC6241" w:rsidRPr="00A574B9" w:rsidRDefault="00FC6241">
      <w:pPr>
        <w:pStyle w:val="Obsah2"/>
        <w:rPr>
          <w:rFonts w:asciiTheme="minorHAnsi" w:eastAsiaTheme="minorEastAsia" w:hAnsiTheme="minorHAnsi" w:cstheme="minorBidi"/>
          <w:sz w:val="22"/>
          <w:szCs w:val="22"/>
        </w:rPr>
      </w:pPr>
      <w:r w:rsidRPr="00A574B9">
        <w:rPr>
          <w:sz w:val="22"/>
          <w:szCs w:val="22"/>
        </w:rPr>
        <w:t>B.2</w:t>
      </w:r>
      <w:r w:rsidRPr="00A574B9">
        <w:rPr>
          <w:rFonts w:asciiTheme="minorHAnsi" w:eastAsiaTheme="minorEastAsia" w:hAnsiTheme="minorHAnsi" w:cstheme="minorBidi"/>
          <w:sz w:val="22"/>
          <w:szCs w:val="22"/>
        </w:rPr>
        <w:tab/>
      </w:r>
      <w:r w:rsidRPr="00A574B9">
        <w:rPr>
          <w:sz w:val="22"/>
          <w:szCs w:val="22"/>
        </w:rPr>
        <w:t>Bezpečný výjezd</w:t>
      </w:r>
      <w:r w:rsidR="00A83AD9">
        <w:rPr>
          <w:sz w:val="22"/>
          <w:szCs w:val="22"/>
        </w:rPr>
        <w:t xml:space="preserve"> z </w:t>
      </w:r>
      <w:r w:rsidRPr="00A574B9">
        <w:rPr>
          <w:sz w:val="22"/>
          <w:szCs w:val="22"/>
        </w:rPr>
        <w:t>pozemku</w:t>
      </w:r>
      <w:r w:rsidR="00A83AD9">
        <w:rPr>
          <w:sz w:val="22"/>
          <w:szCs w:val="22"/>
        </w:rPr>
        <w:t xml:space="preserve"> na </w:t>
      </w:r>
      <w:r w:rsidRPr="00A574B9">
        <w:rPr>
          <w:sz w:val="22"/>
          <w:szCs w:val="22"/>
        </w:rPr>
        <w:t>pozemní komunikaci (sp. zn. 15049/2022/VOP)</w:t>
      </w:r>
      <w:r w:rsidRPr="00A574B9">
        <w:rPr>
          <w:sz w:val="22"/>
          <w:szCs w:val="22"/>
        </w:rPr>
        <w:tab/>
      </w:r>
      <w:r w:rsidRPr="00A574B9">
        <w:rPr>
          <w:sz w:val="22"/>
          <w:szCs w:val="22"/>
        </w:rPr>
        <w:fldChar w:fldCharType="begin"/>
      </w:r>
      <w:r w:rsidRPr="00A574B9">
        <w:rPr>
          <w:sz w:val="22"/>
          <w:szCs w:val="22"/>
        </w:rPr>
        <w:instrText xml:space="preserve"> PAGEREF _Toc141694095 \h </w:instrText>
      </w:r>
      <w:r w:rsidRPr="00A574B9">
        <w:rPr>
          <w:sz w:val="22"/>
          <w:szCs w:val="22"/>
        </w:rPr>
      </w:r>
      <w:r w:rsidRPr="00A574B9">
        <w:rPr>
          <w:sz w:val="22"/>
          <w:szCs w:val="22"/>
        </w:rPr>
        <w:fldChar w:fldCharType="separate"/>
      </w:r>
      <w:r w:rsidR="00A574B9">
        <w:rPr>
          <w:sz w:val="22"/>
          <w:szCs w:val="22"/>
        </w:rPr>
        <w:t>10</w:t>
      </w:r>
      <w:r w:rsidRPr="00A574B9">
        <w:rPr>
          <w:sz w:val="22"/>
          <w:szCs w:val="22"/>
        </w:rPr>
        <w:fldChar w:fldCharType="end"/>
      </w:r>
    </w:p>
    <w:p w14:paraId="60BDB40F" w14:textId="07CB4D15" w:rsidR="00FC6241" w:rsidRPr="00A574B9" w:rsidRDefault="00FC6241">
      <w:pPr>
        <w:pStyle w:val="Obsah2"/>
        <w:rPr>
          <w:rFonts w:asciiTheme="minorHAnsi" w:eastAsiaTheme="minorEastAsia" w:hAnsiTheme="minorHAnsi" w:cstheme="minorBidi"/>
          <w:sz w:val="22"/>
          <w:szCs w:val="22"/>
        </w:rPr>
      </w:pPr>
      <w:r w:rsidRPr="00A574B9">
        <w:rPr>
          <w:sz w:val="22"/>
          <w:szCs w:val="22"/>
        </w:rPr>
        <w:t>B.3</w:t>
      </w:r>
      <w:r w:rsidRPr="00A574B9">
        <w:rPr>
          <w:rFonts w:asciiTheme="minorHAnsi" w:eastAsiaTheme="minorEastAsia" w:hAnsiTheme="minorHAnsi" w:cstheme="minorBidi"/>
          <w:sz w:val="22"/>
          <w:szCs w:val="22"/>
        </w:rPr>
        <w:tab/>
      </w:r>
      <w:r w:rsidRPr="00A574B9">
        <w:rPr>
          <w:sz w:val="22"/>
          <w:szCs w:val="22"/>
        </w:rPr>
        <w:t>Hranice mezi nátlakem</w:t>
      </w:r>
      <w:r w:rsidR="00A83AD9">
        <w:rPr>
          <w:sz w:val="22"/>
          <w:szCs w:val="22"/>
        </w:rPr>
        <w:t xml:space="preserve"> a </w:t>
      </w:r>
      <w:r w:rsidRPr="00A574B9">
        <w:rPr>
          <w:sz w:val="22"/>
          <w:szCs w:val="22"/>
        </w:rPr>
        <w:t>informováním</w:t>
      </w:r>
      <w:r w:rsidR="00A83AD9">
        <w:rPr>
          <w:sz w:val="22"/>
          <w:szCs w:val="22"/>
        </w:rPr>
        <w:t xml:space="preserve"> o </w:t>
      </w:r>
      <w:r w:rsidRPr="00A574B9">
        <w:rPr>
          <w:sz w:val="22"/>
          <w:szCs w:val="22"/>
        </w:rPr>
        <w:t>možnosti léčby bez souhlasu pacienta (sp. zn. 17181/2022/VOP)</w:t>
      </w:r>
      <w:r w:rsidRPr="00A574B9">
        <w:rPr>
          <w:sz w:val="22"/>
          <w:szCs w:val="22"/>
        </w:rPr>
        <w:tab/>
      </w:r>
      <w:r w:rsidRPr="00A574B9">
        <w:rPr>
          <w:sz w:val="22"/>
          <w:szCs w:val="22"/>
        </w:rPr>
        <w:fldChar w:fldCharType="begin"/>
      </w:r>
      <w:r w:rsidRPr="00A574B9">
        <w:rPr>
          <w:sz w:val="22"/>
          <w:szCs w:val="22"/>
        </w:rPr>
        <w:instrText xml:space="preserve"> PAGEREF _Toc141694096 \h </w:instrText>
      </w:r>
      <w:r w:rsidRPr="00A574B9">
        <w:rPr>
          <w:sz w:val="22"/>
          <w:szCs w:val="22"/>
        </w:rPr>
      </w:r>
      <w:r w:rsidRPr="00A574B9">
        <w:rPr>
          <w:sz w:val="22"/>
          <w:szCs w:val="22"/>
        </w:rPr>
        <w:fldChar w:fldCharType="separate"/>
      </w:r>
      <w:r w:rsidR="00A574B9">
        <w:rPr>
          <w:sz w:val="22"/>
          <w:szCs w:val="22"/>
        </w:rPr>
        <w:t>11</w:t>
      </w:r>
      <w:r w:rsidRPr="00A574B9">
        <w:rPr>
          <w:sz w:val="22"/>
          <w:szCs w:val="22"/>
        </w:rPr>
        <w:fldChar w:fldCharType="end"/>
      </w:r>
    </w:p>
    <w:p w14:paraId="68B19E41" w14:textId="62BD605C" w:rsidR="00FC6241" w:rsidRPr="00A574B9" w:rsidRDefault="00FC6241">
      <w:pPr>
        <w:pStyle w:val="Obsah2"/>
        <w:rPr>
          <w:rFonts w:asciiTheme="minorHAnsi" w:eastAsiaTheme="minorEastAsia" w:hAnsiTheme="minorHAnsi" w:cstheme="minorBidi"/>
          <w:sz w:val="22"/>
          <w:szCs w:val="22"/>
        </w:rPr>
      </w:pPr>
      <w:r w:rsidRPr="00A574B9">
        <w:rPr>
          <w:sz w:val="22"/>
          <w:szCs w:val="22"/>
        </w:rPr>
        <w:t>B.4</w:t>
      </w:r>
      <w:r w:rsidRPr="00A574B9">
        <w:rPr>
          <w:rFonts w:asciiTheme="minorHAnsi" w:eastAsiaTheme="minorEastAsia" w:hAnsiTheme="minorHAnsi" w:cstheme="minorBidi"/>
          <w:sz w:val="22"/>
          <w:szCs w:val="22"/>
        </w:rPr>
        <w:tab/>
      </w:r>
      <w:r w:rsidRPr="00A574B9">
        <w:rPr>
          <w:sz w:val="22"/>
          <w:szCs w:val="22"/>
        </w:rPr>
        <w:t>Státní dozor</w:t>
      </w:r>
      <w:r w:rsidR="00A83AD9">
        <w:rPr>
          <w:sz w:val="22"/>
          <w:szCs w:val="22"/>
        </w:rPr>
        <w:t xml:space="preserve"> v </w:t>
      </w:r>
      <w:r w:rsidRPr="00A574B9">
        <w:rPr>
          <w:sz w:val="22"/>
          <w:szCs w:val="22"/>
        </w:rPr>
        <w:t>oblasti autoškolství (sp. zn. 13433/2022/VOP)</w:t>
      </w:r>
      <w:r w:rsidRPr="00A574B9">
        <w:rPr>
          <w:sz w:val="22"/>
          <w:szCs w:val="22"/>
        </w:rPr>
        <w:tab/>
      </w:r>
      <w:r w:rsidRPr="00A574B9">
        <w:rPr>
          <w:sz w:val="22"/>
          <w:szCs w:val="22"/>
        </w:rPr>
        <w:fldChar w:fldCharType="begin"/>
      </w:r>
      <w:r w:rsidRPr="00A574B9">
        <w:rPr>
          <w:sz w:val="22"/>
          <w:szCs w:val="22"/>
        </w:rPr>
        <w:instrText xml:space="preserve"> PAGEREF _Toc141694097 \h </w:instrText>
      </w:r>
      <w:r w:rsidRPr="00A574B9">
        <w:rPr>
          <w:sz w:val="22"/>
          <w:szCs w:val="22"/>
        </w:rPr>
      </w:r>
      <w:r w:rsidRPr="00A574B9">
        <w:rPr>
          <w:sz w:val="22"/>
          <w:szCs w:val="22"/>
        </w:rPr>
        <w:fldChar w:fldCharType="separate"/>
      </w:r>
      <w:r w:rsidR="00A574B9">
        <w:rPr>
          <w:sz w:val="22"/>
          <w:szCs w:val="22"/>
        </w:rPr>
        <w:t>11</w:t>
      </w:r>
      <w:r w:rsidRPr="00A574B9">
        <w:rPr>
          <w:sz w:val="22"/>
          <w:szCs w:val="22"/>
        </w:rPr>
        <w:fldChar w:fldCharType="end"/>
      </w:r>
    </w:p>
    <w:p w14:paraId="011118A8" w14:textId="4669B599" w:rsidR="00FC6241" w:rsidRPr="00A574B9" w:rsidRDefault="00FC6241">
      <w:pPr>
        <w:pStyle w:val="Obsah2"/>
        <w:rPr>
          <w:rFonts w:asciiTheme="minorHAnsi" w:eastAsiaTheme="minorEastAsia" w:hAnsiTheme="minorHAnsi" w:cstheme="minorBidi"/>
          <w:sz w:val="22"/>
          <w:szCs w:val="22"/>
        </w:rPr>
      </w:pPr>
      <w:r w:rsidRPr="00A574B9">
        <w:rPr>
          <w:sz w:val="22"/>
          <w:szCs w:val="22"/>
        </w:rPr>
        <w:t>B.5</w:t>
      </w:r>
      <w:r w:rsidRPr="00A574B9">
        <w:rPr>
          <w:rFonts w:asciiTheme="minorHAnsi" w:eastAsiaTheme="minorEastAsia" w:hAnsiTheme="minorHAnsi" w:cstheme="minorBidi"/>
          <w:sz w:val="22"/>
          <w:szCs w:val="22"/>
        </w:rPr>
        <w:tab/>
      </w:r>
      <w:r w:rsidRPr="00A574B9">
        <w:rPr>
          <w:sz w:val="22"/>
          <w:szCs w:val="22"/>
        </w:rPr>
        <w:t>Povinnosti přísedících mimo soudní síně (sp. zn. 652/2023/VOP)</w:t>
      </w:r>
      <w:r w:rsidRPr="00A574B9">
        <w:rPr>
          <w:sz w:val="22"/>
          <w:szCs w:val="22"/>
        </w:rPr>
        <w:tab/>
      </w:r>
      <w:r w:rsidRPr="00A574B9">
        <w:rPr>
          <w:sz w:val="22"/>
          <w:szCs w:val="22"/>
        </w:rPr>
        <w:fldChar w:fldCharType="begin"/>
      </w:r>
      <w:r w:rsidRPr="00A574B9">
        <w:rPr>
          <w:sz w:val="22"/>
          <w:szCs w:val="22"/>
        </w:rPr>
        <w:instrText xml:space="preserve"> PAGEREF _Toc141694098 \h </w:instrText>
      </w:r>
      <w:r w:rsidRPr="00A574B9">
        <w:rPr>
          <w:sz w:val="22"/>
          <w:szCs w:val="22"/>
        </w:rPr>
      </w:r>
      <w:r w:rsidRPr="00A574B9">
        <w:rPr>
          <w:sz w:val="22"/>
          <w:szCs w:val="22"/>
        </w:rPr>
        <w:fldChar w:fldCharType="separate"/>
      </w:r>
      <w:r w:rsidR="00A574B9">
        <w:rPr>
          <w:sz w:val="22"/>
          <w:szCs w:val="22"/>
        </w:rPr>
        <w:t>12</w:t>
      </w:r>
      <w:r w:rsidRPr="00A574B9">
        <w:rPr>
          <w:sz w:val="22"/>
          <w:szCs w:val="22"/>
        </w:rPr>
        <w:fldChar w:fldCharType="end"/>
      </w:r>
    </w:p>
    <w:p w14:paraId="07EB8DDF" w14:textId="4B6E3006" w:rsidR="00FC6241" w:rsidRPr="00A574B9" w:rsidRDefault="00FC6241">
      <w:pPr>
        <w:pStyle w:val="Obsah2"/>
        <w:rPr>
          <w:rFonts w:asciiTheme="minorHAnsi" w:eastAsiaTheme="minorEastAsia" w:hAnsiTheme="minorHAnsi" w:cstheme="minorBidi"/>
          <w:sz w:val="22"/>
          <w:szCs w:val="22"/>
        </w:rPr>
      </w:pPr>
      <w:r w:rsidRPr="00A574B9">
        <w:rPr>
          <w:sz w:val="22"/>
          <w:szCs w:val="22"/>
        </w:rPr>
        <w:t>B.6</w:t>
      </w:r>
      <w:r w:rsidRPr="00A574B9">
        <w:rPr>
          <w:rFonts w:asciiTheme="minorHAnsi" w:eastAsiaTheme="minorEastAsia" w:hAnsiTheme="minorHAnsi" w:cstheme="minorBidi"/>
          <w:sz w:val="22"/>
          <w:szCs w:val="22"/>
        </w:rPr>
        <w:tab/>
      </w:r>
      <w:r w:rsidRPr="00A574B9">
        <w:rPr>
          <w:sz w:val="22"/>
          <w:szCs w:val="22"/>
        </w:rPr>
        <w:t>Nedodržení lhůty</w:t>
      </w:r>
      <w:r w:rsidR="00A83AD9">
        <w:rPr>
          <w:sz w:val="22"/>
          <w:szCs w:val="22"/>
        </w:rPr>
        <w:t xml:space="preserve"> pro </w:t>
      </w:r>
      <w:r w:rsidRPr="00A574B9">
        <w:rPr>
          <w:sz w:val="22"/>
          <w:szCs w:val="22"/>
        </w:rPr>
        <w:t>posouzení zdravotního stavu</w:t>
      </w:r>
      <w:r w:rsidR="00A83AD9">
        <w:rPr>
          <w:sz w:val="22"/>
          <w:szCs w:val="22"/>
        </w:rPr>
        <w:t xml:space="preserve"> v </w:t>
      </w:r>
      <w:r w:rsidRPr="00A574B9">
        <w:rPr>
          <w:sz w:val="22"/>
          <w:szCs w:val="22"/>
        </w:rPr>
        <w:t>řízení</w:t>
      </w:r>
      <w:r w:rsidR="00A83AD9">
        <w:rPr>
          <w:sz w:val="22"/>
          <w:szCs w:val="22"/>
        </w:rPr>
        <w:t xml:space="preserve"> o </w:t>
      </w:r>
      <w:r w:rsidRPr="00A574B9">
        <w:rPr>
          <w:sz w:val="22"/>
          <w:szCs w:val="22"/>
        </w:rPr>
        <w:t>přiznání invalidního důchodu</w:t>
      </w:r>
      <w:r w:rsidR="00A83AD9">
        <w:rPr>
          <w:sz w:val="22"/>
          <w:szCs w:val="22"/>
        </w:rPr>
        <w:t xml:space="preserve"> s </w:t>
      </w:r>
      <w:r w:rsidRPr="00A574B9">
        <w:rPr>
          <w:sz w:val="22"/>
          <w:szCs w:val="22"/>
        </w:rPr>
        <w:t>mezinárodním prvkem (sp. zn. 1788/2022/VOP)</w:t>
      </w:r>
      <w:r w:rsidRPr="00A574B9">
        <w:rPr>
          <w:sz w:val="22"/>
          <w:szCs w:val="22"/>
        </w:rPr>
        <w:tab/>
      </w:r>
      <w:r w:rsidRPr="00A574B9">
        <w:rPr>
          <w:sz w:val="22"/>
          <w:szCs w:val="22"/>
        </w:rPr>
        <w:fldChar w:fldCharType="begin"/>
      </w:r>
      <w:r w:rsidRPr="00A574B9">
        <w:rPr>
          <w:sz w:val="22"/>
          <w:szCs w:val="22"/>
        </w:rPr>
        <w:instrText xml:space="preserve"> PAGEREF _Toc141694099 \h </w:instrText>
      </w:r>
      <w:r w:rsidRPr="00A574B9">
        <w:rPr>
          <w:sz w:val="22"/>
          <w:szCs w:val="22"/>
        </w:rPr>
      </w:r>
      <w:r w:rsidRPr="00A574B9">
        <w:rPr>
          <w:sz w:val="22"/>
          <w:szCs w:val="22"/>
        </w:rPr>
        <w:fldChar w:fldCharType="separate"/>
      </w:r>
      <w:r w:rsidR="00A574B9">
        <w:rPr>
          <w:sz w:val="22"/>
          <w:szCs w:val="22"/>
        </w:rPr>
        <w:t>13</w:t>
      </w:r>
      <w:r w:rsidRPr="00A574B9">
        <w:rPr>
          <w:sz w:val="22"/>
          <w:szCs w:val="22"/>
        </w:rPr>
        <w:fldChar w:fldCharType="end"/>
      </w:r>
    </w:p>
    <w:p w14:paraId="72AE5743" w14:textId="75F98B07" w:rsidR="00FC6241" w:rsidRPr="00A574B9" w:rsidRDefault="00FC6241">
      <w:pPr>
        <w:pStyle w:val="Obsah2"/>
        <w:rPr>
          <w:rFonts w:asciiTheme="minorHAnsi" w:eastAsiaTheme="minorEastAsia" w:hAnsiTheme="minorHAnsi" w:cstheme="minorBidi"/>
          <w:sz w:val="22"/>
          <w:szCs w:val="22"/>
        </w:rPr>
      </w:pPr>
      <w:r w:rsidRPr="00A574B9">
        <w:rPr>
          <w:sz w:val="22"/>
          <w:szCs w:val="22"/>
        </w:rPr>
        <w:t>B.7</w:t>
      </w:r>
      <w:r w:rsidRPr="00A574B9">
        <w:rPr>
          <w:rFonts w:asciiTheme="minorHAnsi" w:eastAsiaTheme="minorEastAsia" w:hAnsiTheme="minorHAnsi" w:cstheme="minorBidi"/>
          <w:sz w:val="22"/>
          <w:szCs w:val="22"/>
        </w:rPr>
        <w:tab/>
      </w:r>
      <w:r w:rsidRPr="00A574B9">
        <w:rPr>
          <w:sz w:val="22"/>
          <w:szCs w:val="22"/>
        </w:rPr>
        <w:t>Konference, kulaté stoly</w:t>
      </w:r>
      <w:r w:rsidR="00A83AD9">
        <w:rPr>
          <w:sz w:val="22"/>
          <w:szCs w:val="22"/>
        </w:rPr>
        <w:t xml:space="preserve"> a </w:t>
      </w:r>
      <w:r w:rsidRPr="00A574B9">
        <w:rPr>
          <w:sz w:val="22"/>
          <w:szCs w:val="22"/>
        </w:rPr>
        <w:t>školení</w:t>
      </w:r>
      <w:r w:rsidRPr="00A574B9">
        <w:rPr>
          <w:sz w:val="22"/>
          <w:szCs w:val="22"/>
        </w:rPr>
        <w:tab/>
      </w:r>
      <w:r w:rsidRPr="00A574B9">
        <w:rPr>
          <w:sz w:val="22"/>
          <w:szCs w:val="22"/>
        </w:rPr>
        <w:fldChar w:fldCharType="begin"/>
      </w:r>
      <w:r w:rsidRPr="00A574B9">
        <w:rPr>
          <w:sz w:val="22"/>
          <w:szCs w:val="22"/>
        </w:rPr>
        <w:instrText xml:space="preserve"> PAGEREF _Toc141694100 \h </w:instrText>
      </w:r>
      <w:r w:rsidRPr="00A574B9">
        <w:rPr>
          <w:sz w:val="22"/>
          <w:szCs w:val="22"/>
        </w:rPr>
      </w:r>
      <w:r w:rsidRPr="00A574B9">
        <w:rPr>
          <w:sz w:val="22"/>
          <w:szCs w:val="22"/>
        </w:rPr>
        <w:fldChar w:fldCharType="separate"/>
      </w:r>
      <w:r w:rsidR="00A574B9">
        <w:rPr>
          <w:sz w:val="22"/>
          <w:szCs w:val="22"/>
        </w:rPr>
        <w:t>14</w:t>
      </w:r>
      <w:r w:rsidRPr="00A574B9">
        <w:rPr>
          <w:sz w:val="22"/>
          <w:szCs w:val="22"/>
        </w:rPr>
        <w:fldChar w:fldCharType="end"/>
      </w:r>
    </w:p>
    <w:p w14:paraId="255693F9" w14:textId="12E45AD0" w:rsidR="00FC6241" w:rsidRPr="00A574B9" w:rsidRDefault="00FC6241">
      <w:pPr>
        <w:pStyle w:val="Obsah1"/>
        <w:rPr>
          <w:rFonts w:asciiTheme="minorHAnsi" w:eastAsiaTheme="minorEastAsia" w:hAnsiTheme="minorHAnsi" w:cstheme="minorBidi"/>
          <w:noProof/>
          <w:sz w:val="22"/>
          <w:szCs w:val="22"/>
        </w:rPr>
      </w:pPr>
      <w:r w:rsidRPr="00A574B9">
        <w:rPr>
          <w:noProof/>
          <w:sz w:val="22"/>
          <w:szCs w:val="22"/>
        </w:rPr>
        <w:t>C.</w:t>
      </w:r>
      <w:r w:rsidRPr="00A574B9">
        <w:rPr>
          <w:rFonts w:asciiTheme="minorHAnsi" w:eastAsiaTheme="minorEastAsia" w:hAnsiTheme="minorHAnsi" w:cstheme="minorBidi"/>
          <w:noProof/>
          <w:sz w:val="22"/>
          <w:szCs w:val="22"/>
        </w:rPr>
        <w:tab/>
      </w:r>
      <w:r w:rsidRPr="00A574B9">
        <w:rPr>
          <w:noProof/>
          <w:sz w:val="22"/>
          <w:szCs w:val="22"/>
        </w:rPr>
        <w:t>Dohled</w:t>
      </w:r>
      <w:r w:rsidR="00A83AD9">
        <w:rPr>
          <w:noProof/>
          <w:sz w:val="22"/>
          <w:szCs w:val="22"/>
        </w:rPr>
        <w:t xml:space="preserve"> nad </w:t>
      </w:r>
      <w:r w:rsidRPr="00A574B9">
        <w:rPr>
          <w:noProof/>
          <w:sz w:val="22"/>
          <w:szCs w:val="22"/>
        </w:rPr>
        <w:t>omezováním osobní svobody</w:t>
      </w:r>
      <w:r w:rsidR="00A83AD9">
        <w:rPr>
          <w:noProof/>
          <w:sz w:val="22"/>
          <w:szCs w:val="22"/>
        </w:rPr>
        <w:t xml:space="preserve"> a </w:t>
      </w:r>
      <w:r w:rsidRPr="00A574B9">
        <w:rPr>
          <w:noProof/>
          <w:sz w:val="22"/>
          <w:szCs w:val="22"/>
        </w:rPr>
        <w:t>sledování vyhoštění</w:t>
      </w:r>
      <w:r w:rsidRPr="00A574B9">
        <w:rPr>
          <w:noProof/>
          <w:sz w:val="22"/>
          <w:szCs w:val="22"/>
        </w:rPr>
        <w:tab/>
      </w:r>
      <w:r w:rsidRPr="00A574B9">
        <w:rPr>
          <w:noProof/>
          <w:sz w:val="22"/>
          <w:szCs w:val="22"/>
        </w:rPr>
        <w:fldChar w:fldCharType="begin"/>
      </w:r>
      <w:r w:rsidRPr="00A574B9">
        <w:rPr>
          <w:noProof/>
          <w:sz w:val="22"/>
          <w:szCs w:val="22"/>
        </w:rPr>
        <w:instrText xml:space="preserve"> PAGEREF _Toc141694101 \h </w:instrText>
      </w:r>
      <w:r w:rsidRPr="00A574B9">
        <w:rPr>
          <w:noProof/>
          <w:sz w:val="22"/>
          <w:szCs w:val="22"/>
        </w:rPr>
      </w:r>
      <w:r w:rsidRPr="00A574B9">
        <w:rPr>
          <w:noProof/>
          <w:sz w:val="22"/>
          <w:szCs w:val="22"/>
        </w:rPr>
        <w:fldChar w:fldCharType="separate"/>
      </w:r>
      <w:r w:rsidR="00A574B9">
        <w:rPr>
          <w:noProof/>
          <w:sz w:val="22"/>
          <w:szCs w:val="22"/>
        </w:rPr>
        <w:t>15</w:t>
      </w:r>
      <w:r w:rsidRPr="00A574B9">
        <w:rPr>
          <w:noProof/>
          <w:sz w:val="22"/>
          <w:szCs w:val="22"/>
        </w:rPr>
        <w:fldChar w:fldCharType="end"/>
      </w:r>
    </w:p>
    <w:p w14:paraId="0577859C" w14:textId="126440D0" w:rsidR="00FC6241" w:rsidRPr="00A574B9" w:rsidRDefault="00FC6241">
      <w:pPr>
        <w:pStyle w:val="Obsah2"/>
        <w:rPr>
          <w:rFonts w:asciiTheme="minorHAnsi" w:eastAsiaTheme="minorEastAsia" w:hAnsiTheme="minorHAnsi" w:cstheme="minorBidi"/>
          <w:sz w:val="22"/>
          <w:szCs w:val="22"/>
        </w:rPr>
      </w:pPr>
      <w:r w:rsidRPr="00A574B9">
        <w:rPr>
          <w:sz w:val="22"/>
          <w:szCs w:val="22"/>
        </w:rPr>
        <w:t>C.1</w:t>
      </w:r>
      <w:r w:rsidRPr="00A574B9">
        <w:rPr>
          <w:rFonts w:asciiTheme="minorHAnsi" w:eastAsiaTheme="minorEastAsia" w:hAnsiTheme="minorHAnsi" w:cstheme="minorBidi"/>
          <w:sz w:val="22"/>
          <w:szCs w:val="22"/>
        </w:rPr>
        <w:tab/>
      </w:r>
      <w:r w:rsidRPr="00A574B9">
        <w:rPr>
          <w:sz w:val="22"/>
          <w:szCs w:val="22"/>
        </w:rPr>
        <w:t>Systematické návštěvy</w:t>
      </w:r>
      <w:r w:rsidR="00A83AD9">
        <w:rPr>
          <w:sz w:val="22"/>
          <w:szCs w:val="22"/>
        </w:rPr>
        <w:t xml:space="preserve"> a </w:t>
      </w:r>
      <w:r w:rsidRPr="00A574B9">
        <w:rPr>
          <w:sz w:val="22"/>
          <w:szCs w:val="22"/>
        </w:rPr>
        <w:t>sledování vyhoštění</w:t>
      </w:r>
      <w:r w:rsidRPr="00A574B9">
        <w:rPr>
          <w:sz w:val="22"/>
          <w:szCs w:val="22"/>
        </w:rPr>
        <w:tab/>
      </w:r>
      <w:r w:rsidRPr="00A574B9">
        <w:rPr>
          <w:sz w:val="22"/>
          <w:szCs w:val="22"/>
        </w:rPr>
        <w:fldChar w:fldCharType="begin"/>
      </w:r>
      <w:r w:rsidRPr="00A574B9">
        <w:rPr>
          <w:sz w:val="22"/>
          <w:szCs w:val="22"/>
        </w:rPr>
        <w:instrText xml:space="preserve"> PAGEREF _Toc141694102 \h </w:instrText>
      </w:r>
      <w:r w:rsidRPr="00A574B9">
        <w:rPr>
          <w:sz w:val="22"/>
          <w:szCs w:val="22"/>
        </w:rPr>
      </w:r>
      <w:r w:rsidRPr="00A574B9">
        <w:rPr>
          <w:sz w:val="22"/>
          <w:szCs w:val="22"/>
        </w:rPr>
        <w:fldChar w:fldCharType="separate"/>
      </w:r>
      <w:r w:rsidR="00A574B9">
        <w:rPr>
          <w:sz w:val="22"/>
          <w:szCs w:val="22"/>
        </w:rPr>
        <w:t>15</w:t>
      </w:r>
      <w:r w:rsidRPr="00A574B9">
        <w:rPr>
          <w:sz w:val="22"/>
          <w:szCs w:val="22"/>
        </w:rPr>
        <w:fldChar w:fldCharType="end"/>
      </w:r>
    </w:p>
    <w:p w14:paraId="554D7674" w14:textId="3D6D0D84" w:rsidR="00FC6241" w:rsidRPr="00A574B9" w:rsidRDefault="00FC6241">
      <w:pPr>
        <w:pStyle w:val="Obsah2"/>
        <w:rPr>
          <w:rFonts w:asciiTheme="minorHAnsi" w:eastAsiaTheme="minorEastAsia" w:hAnsiTheme="minorHAnsi" w:cstheme="minorBidi"/>
          <w:sz w:val="22"/>
          <w:szCs w:val="22"/>
        </w:rPr>
      </w:pPr>
      <w:r w:rsidRPr="00A574B9">
        <w:rPr>
          <w:sz w:val="22"/>
          <w:szCs w:val="22"/>
        </w:rPr>
        <w:t>C.2</w:t>
      </w:r>
      <w:r w:rsidRPr="00A574B9">
        <w:rPr>
          <w:rFonts w:asciiTheme="minorHAnsi" w:eastAsiaTheme="minorEastAsia" w:hAnsiTheme="minorHAnsi" w:cstheme="minorBidi"/>
          <w:sz w:val="22"/>
          <w:szCs w:val="22"/>
        </w:rPr>
        <w:tab/>
      </w:r>
      <w:r w:rsidRPr="00A574B9">
        <w:rPr>
          <w:sz w:val="22"/>
          <w:szCs w:val="22"/>
        </w:rPr>
        <w:t>Zásadní pracovní jednání</w:t>
      </w:r>
      <w:r w:rsidRPr="00A574B9">
        <w:rPr>
          <w:sz w:val="22"/>
          <w:szCs w:val="22"/>
        </w:rPr>
        <w:tab/>
      </w:r>
      <w:r w:rsidRPr="00A574B9">
        <w:rPr>
          <w:sz w:val="22"/>
          <w:szCs w:val="22"/>
        </w:rPr>
        <w:fldChar w:fldCharType="begin"/>
      </w:r>
      <w:r w:rsidRPr="00A574B9">
        <w:rPr>
          <w:sz w:val="22"/>
          <w:szCs w:val="22"/>
        </w:rPr>
        <w:instrText xml:space="preserve"> PAGEREF _Toc141694103 \h </w:instrText>
      </w:r>
      <w:r w:rsidRPr="00A574B9">
        <w:rPr>
          <w:sz w:val="22"/>
          <w:szCs w:val="22"/>
        </w:rPr>
      </w:r>
      <w:r w:rsidRPr="00A574B9">
        <w:rPr>
          <w:sz w:val="22"/>
          <w:szCs w:val="22"/>
        </w:rPr>
        <w:fldChar w:fldCharType="separate"/>
      </w:r>
      <w:r w:rsidR="00A574B9">
        <w:rPr>
          <w:sz w:val="22"/>
          <w:szCs w:val="22"/>
        </w:rPr>
        <w:t>15</w:t>
      </w:r>
      <w:r w:rsidRPr="00A574B9">
        <w:rPr>
          <w:sz w:val="22"/>
          <w:szCs w:val="22"/>
        </w:rPr>
        <w:fldChar w:fldCharType="end"/>
      </w:r>
    </w:p>
    <w:p w14:paraId="17C6369B" w14:textId="32E31F3A" w:rsidR="00FC6241" w:rsidRPr="00A574B9" w:rsidRDefault="00FC6241">
      <w:pPr>
        <w:pStyle w:val="Obsah2"/>
        <w:rPr>
          <w:rFonts w:asciiTheme="minorHAnsi" w:eastAsiaTheme="minorEastAsia" w:hAnsiTheme="minorHAnsi" w:cstheme="minorBidi"/>
          <w:sz w:val="22"/>
          <w:szCs w:val="22"/>
        </w:rPr>
      </w:pPr>
      <w:r w:rsidRPr="00A574B9">
        <w:rPr>
          <w:sz w:val="22"/>
          <w:szCs w:val="22"/>
        </w:rPr>
        <w:t>C.3</w:t>
      </w:r>
      <w:r w:rsidRPr="00A574B9">
        <w:rPr>
          <w:rFonts w:asciiTheme="minorHAnsi" w:eastAsiaTheme="minorEastAsia" w:hAnsiTheme="minorHAnsi" w:cstheme="minorBidi"/>
          <w:sz w:val="22"/>
          <w:szCs w:val="22"/>
        </w:rPr>
        <w:tab/>
      </w:r>
      <w:r w:rsidRPr="00A574B9">
        <w:rPr>
          <w:sz w:val="22"/>
          <w:szCs w:val="22"/>
        </w:rPr>
        <w:t>Konference, kulaté stoly</w:t>
      </w:r>
      <w:r w:rsidR="00A83AD9">
        <w:rPr>
          <w:sz w:val="22"/>
          <w:szCs w:val="22"/>
        </w:rPr>
        <w:t xml:space="preserve"> a </w:t>
      </w:r>
      <w:r w:rsidRPr="00A574B9">
        <w:rPr>
          <w:sz w:val="22"/>
          <w:szCs w:val="22"/>
        </w:rPr>
        <w:t>školení</w:t>
      </w:r>
      <w:r w:rsidRPr="00A574B9">
        <w:rPr>
          <w:sz w:val="22"/>
          <w:szCs w:val="22"/>
        </w:rPr>
        <w:tab/>
      </w:r>
      <w:r w:rsidRPr="00A574B9">
        <w:rPr>
          <w:sz w:val="22"/>
          <w:szCs w:val="22"/>
        </w:rPr>
        <w:fldChar w:fldCharType="begin"/>
      </w:r>
      <w:r w:rsidRPr="00A574B9">
        <w:rPr>
          <w:sz w:val="22"/>
          <w:szCs w:val="22"/>
        </w:rPr>
        <w:instrText xml:space="preserve"> PAGEREF _Toc141694104 \h </w:instrText>
      </w:r>
      <w:r w:rsidRPr="00A574B9">
        <w:rPr>
          <w:sz w:val="22"/>
          <w:szCs w:val="22"/>
        </w:rPr>
      </w:r>
      <w:r w:rsidRPr="00A574B9">
        <w:rPr>
          <w:sz w:val="22"/>
          <w:szCs w:val="22"/>
        </w:rPr>
        <w:fldChar w:fldCharType="separate"/>
      </w:r>
      <w:r w:rsidR="00A574B9">
        <w:rPr>
          <w:sz w:val="22"/>
          <w:szCs w:val="22"/>
        </w:rPr>
        <w:t>16</w:t>
      </w:r>
      <w:r w:rsidRPr="00A574B9">
        <w:rPr>
          <w:sz w:val="22"/>
          <w:szCs w:val="22"/>
        </w:rPr>
        <w:fldChar w:fldCharType="end"/>
      </w:r>
    </w:p>
    <w:p w14:paraId="2A299274" w14:textId="6F6782DA" w:rsidR="00FC6241" w:rsidRPr="00A574B9" w:rsidRDefault="00FC6241">
      <w:pPr>
        <w:pStyle w:val="Obsah2"/>
        <w:rPr>
          <w:rFonts w:asciiTheme="minorHAnsi" w:eastAsiaTheme="minorEastAsia" w:hAnsiTheme="minorHAnsi" w:cstheme="minorBidi"/>
          <w:sz w:val="22"/>
          <w:szCs w:val="22"/>
        </w:rPr>
      </w:pPr>
      <w:r w:rsidRPr="00A574B9">
        <w:rPr>
          <w:sz w:val="22"/>
          <w:szCs w:val="22"/>
        </w:rPr>
        <w:t>C.4</w:t>
      </w:r>
      <w:r w:rsidRPr="00A574B9">
        <w:rPr>
          <w:rFonts w:asciiTheme="minorHAnsi" w:eastAsiaTheme="minorEastAsia" w:hAnsiTheme="minorHAnsi" w:cstheme="minorBidi"/>
          <w:sz w:val="22"/>
          <w:szCs w:val="22"/>
        </w:rPr>
        <w:tab/>
      </w:r>
      <w:r w:rsidRPr="00A574B9">
        <w:rPr>
          <w:sz w:val="22"/>
          <w:szCs w:val="22"/>
        </w:rPr>
        <w:t>Dobročinný běh</w:t>
      </w:r>
      <w:r w:rsidRPr="00A574B9">
        <w:rPr>
          <w:sz w:val="22"/>
          <w:szCs w:val="22"/>
        </w:rPr>
        <w:tab/>
      </w:r>
      <w:r w:rsidRPr="00A574B9">
        <w:rPr>
          <w:sz w:val="22"/>
          <w:szCs w:val="22"/>
        </w:rPr>
        <w:fldChar w:fldCharType="begin"/>
      </w:r>
      <w:r w:rsidRPr="00A574B9">
        <w:rPr>
          <w:sz w:val="22"/>
          <w:szCs w:val="22"/>
        </w:rPr>
        <w:instrText xml:space="preserve"> PAGEREF _Toc141694105 \h </w:instrText>
      </w:r>
      <w:r w:rsidRPr="00A574B9">
        <w:rPr>
          <w:sz w:val="22"/>
          <w:szCs w:val="22"/>
        </w:rPr>
      </w:r>
      <w:r w:rsidRPr="00A574B9">
        <w:rPr>
          <w:sz w:val="22"/>
          <w:szCs w:val="22"/>
        </w:rPr>
        <w:fldChar w:fldCharType="separate"/>
      </w:r>
      <w:r w:rsidR="00A574B9">
        <w:rPr>
          <w:sz w:val="22"/>
          <w:szCs w:val="22"/>
        </w:rPr>
        <w:t>17</w:t>
      </w:r>
      <w:r w:rsidRPr="00A574B9">
        <w:rPr>
          <w:sz w:val="22"/>
          <w:szCs w:val="22"/>
        </w:rPr>
        <w:fldChar w:fldCharType="end"/>
      </w:r>
    </w:p>
    <w:p w14:paraId="17E4442F" w14:textId="22D5D17E" w:rsidR="00FC6241" w:rsidRPr="00A574B9" w:rsidRDefault="00FC6241">
      <w:pPr>
        <w:pStyle w:val="Obsah1"/>
        <w:rPr>
          <w:rFonts w:asciiTheme="minorHAnsi" w:eastAsiaTheme="minorEastAsia" w:hAnsiTheme="minorHAnsi" w:cstheme="minorBidi"/>
          <w:noProof/>
          <w:sz w:val="22"/>
          <w:szCs w:val="22"/>
        </w:rPr>
      </w:pPr>
      <w:r w:rsidRPr="00A574B9">
        <w:rPr>
          <w:noProof/>
          <w:sz w:val="22"/>
          <w:szCs w:val="22"/>
        </w:rPr>
        <w:t>D.</w:t>
      </w:r>
      <w:r w:rsidRPr="00A574B9">
        <w:rPr>
          <w:rFonts w:asciiTheme="minorHAnsi" w:eastAsiaTheme="minorEastAsia" w:hAnsiTheme="minorHAnsi" w:cstheme="minorBidi"/>
          <w:noProof/>
          <w:sz w:val="22"/>
          <w:szCs w:val="22"/>
        </w:rPr>
        <w:tab/>
      </w:r>
      <w:r w:rsidRPr="00A574B9">
        <w:rPr>
          <w:noProof/>
          <w:sz w:val="22"/>
          <w:szCs w:val="22"/>
        </w:rPr>
        <w:t>Ochrana před diskriminací</w:t>
      </w:r>
      <w:r w:rsidRPr="00A574B9">
        <w:rPr>
          <w:noProof/>
          <w:sz w:val="22"/>
          <w:szCs w:val="22"/>
        </w:rPr>
        <w:tab/>
      </w:r>
      <w:r w:rsidRPr="00A574B9">
        <w:rPr>
          <w:noProof/>
          <w:sz w:val="22"/>
          <w:szCs w:val="22"/>
        </w:rPr>
        <w:fldChar w:fldCharType="begin"/>
      </w:r>
      <w:r w:rsidRPr="00A574B9">
        <w:rPr>
          <w:noProof/>
          <w:sz w:val="22"/>
          <w:szCs w:val="22"/>
        </w:rPr>
        <w:instrText xml:space="preserve"> PAGEREF _Toc141694106 \h </w:instrText>
      </w:r>
      <w:r w:rsidRPr="00A574B9">
        <w:rPr>
          <w:noProof/>
          <w:sz w:val="22"/>
          <w:szCs w:val="22"/>
        </w:rPr>
      </w:r>
      <w:r w:rsidRPr="00A574B9">
        <w:rPr>
          <w:noProof/>
          <w:sz w:val="22"/>
          <w:szCs w:val="22"/>
        </w:rPr>
        <w:fldChar w:fldCharType="separate"/>
      </w:r>
      <w:r w:rsidR="00A574B9">
        <w:rPr>
          <w:noProof/>
          <w:sz w:val="22"/>
          <w:szCs w:val="22"/>
        </w:rPr>
        <w:t>18</w:t>
      </w:r>
      <w:r w:rsidRPr="00A574B9">
        <w:rPr>
          <w:noProof/>
          <w:sz w:val="22"/>
          <w:szCs w:val="22"/>
        </w:rPr>
        <w:fldChar w:fldCharType="end"/>
      </w:r>
    </w:p>
    <w:p w14:paraId="2B1882F6" w14:textId="68CA7360" w:rsidR="00FC6241" w:rsidRPr="00A574B9" w:rsidRDefault="00FC6241">
      <w:pPr>
        <w:pStyle w:val="Obsah2"/>
        <w:rPr>
          <w:rFonts w:asciiTheme="minorHAnsi" w:eastAsiaTheme="minorEastAsia" w:hAnsiTheme="minorHAnsi" w:cstheme="minorBidi"/>
          <w:sz w:val="22"/>
          <w:szCs w:val="22"/>
        </w:rPr>
      </w:pPr>
      <w:r w:rsidRPr="00A574B9">
        <w:rPr>
          <w:sz w:val="22"/>
          <w:szCs w:val="22"/>
        </w:rPr>
        <w:t>D.1</w:t>
      </w:r>
      <w:r w:rsidRPr="00A574B9">
        <w:rPr>
          <w:rFonts w:asciiTheme="minorHAnsi" w:eastAsiaTheme="minorEastAsia" w:hAnsiTheme="minorHAnsi" w:cstheme="minorBidi"/>
          <w:sz w:val="22"/>
          <w:szCs w:val="22"/>
        </w:rPr>
        <w:tab/>
      </w:r>
      <w:r w:rsidRPr="00A574B9">
        <w:rPr>
          <w:sz w:val="22"/>
          <w:szCs w:val="22"/>
        </w:rPr>
        <w:t>Ukončení služebního poměru vojáků</w:t>
      </w:r>
      <w:r w:rsidR="00A83AD9">
        <w:rPr>
          <w:sz w:val="22"/>
          <w:szCs w:val="22"/>
        </w:rPr>
        <w:t xml:space="preserve"> z </w:t>
      </w:r>
      <w:r w:rsidRPr="00A574B9">
        <w:rPr>
          <w:sz w:val="22"/>
          <w:szCs w:val="22"/>
        </w:rPr>
        <w:t>povolání kvůli odmítnutí povinného očkování (sp. zn. 14497/2022/VOP, 14500/2022/VOP, 14543/2022/VOP)</w:t>
      </w:r>
      <w:r w:rsidRPr="00A574B9">
        <w:rPr>
          <w:sz w:val="22"/>
          <w:szCs w:val="22"/>
        </w:rPr>
        <w:tab/>
      </w:r>
      <w:r w:rsidRPr="00A574B9">
        <w:rPr>
          <w:sz w:val="22"/>
          <w:szCs w:val="22"/>
        </w:rPr>
        <w:fldChar w:fldCharType="begin"/>
      </w:r>
      <w:r w:rsidRPr="00A574B9">
        <w:rPr>
          <w:sz w:val="22"/>
          <w:szCs w:val="22"/>
        </w:rPr>
        <w:instrText xml:space="preserve"> PAGEREF _Toc141694107 \h </w:instrText>
      </w:r>
      <w:r w:rsidRPr="00A574B9">
        <w:rPr>
          <w:sz w:val="22"/>
          <w:szCs w:val="22"/>
        </w:rPr>
      </w:r>
      <w:r w:rsidRPr="00A574B9">
        <w:rPr>
          <w:sz w:val="22"/>
          <w:szCs w:val="22"/>
        </w:rPr>
        <w:fldChar w:fldCharType="separate"/>
      </w:r>
      <w:r w:rsidR="00A574B9">
        <w:rPr>
          <w:sz w:val="22"/>
          <w:szCs w:val="22"/>
        </w:rPr>
        <w:t>18</w:t>
      </w:r>
      <w:r w:rsidRPr="00A574B9">
        <w:rPr>
          <w:sz w:val="22"/>
          <w:szCs w:val="22"/>
        </w:rPr>
        <w:fldChar w:fldCharType="end"/>
      </w:r>
    </w:p>
    <w:p w14:paraId="6664E092" w14:textId="12F1A3DE" w:rsidR="00FC6241" w:rsidRPr="00A574B9" w:rsidRDefault="00FC6241">
      <w:pPr>
        <w:pStyle w:val="Obsah2"/>
        <w:rPr>
          <w:rFonts w:asciiTheme="minorHAnsi" w:eastAsiaTheme="minorEastAsia" w:hAnsiTheme="minorHAnsi" w:cstheme="minorBidi"/>
          <w:sz w:val="22"/>
          <w:szCs w:val="22"/>
        </w:rPr>
      </w:pPr>
      <w:r w:rsidRPr="00A574B9">
        <w:rPr>
          <w:sz w:val="22"/>
          <w:szCs w:val="22"/>
        </w:rPr>
        <w:t>D.2</w:t>
      </w:r>
      <w:r w:rsidRPr="00A574B9">
        <w:rPr>
          <w:rFonts w:asciiTheme="minorHAnsi" w:eastAsiaTheme="minorEastAsia" w:hAnsiTheme="minorHAnsi" w:cstheme="minorBidi"/>
          <w:sz w:val="22"/>
          <w:szCs w:val="22"/>
        </w:rPr>
        <w:tab/>
      </w:r>
      <w:r w:rsidRPr="00A574B9">
        <w:rPr>
          <w:sz w:val="22"/>
          <w:szCs w:val="22"/>
        </w:rPr>
        <w:t>Osvěta</w:t>
      </w:r>
      <w:r w:rsidRPr="00A574B9">
        <w:rPr>
          <w:sz w:val="22"/>
          <w:szCs w:val="22"/>
        </w:rPr>
        <w:tab/>
      </w:r>
      <w:r w:rsidRPr="00A574B9">
        <w:rPr>
          <w:sz w:val="22"/>
          <w:szCs w:val="22"/>
        </w:rPr>
        <w:fldChar w:fldCharType="begin"/>
      </w:r>
      <w:r w:rsidRPr="00A574B9">
        <w:rPr>
          <w:sz w:val="22"/>
          <w:szCs w:val="22"/>
        </w:rPr>
        <w:instrText xml:space="preserve"> PAGEREF _Toc141694108 \h </w:instrText>
      </w:r>
      <w:r w:rsidRPr="00A574B9">
        <w:rPr>
          <w:sz w:val="22"/>
          <w:szCs w:val="22"/>
        </w:rPr>
      </w:r>
      <w:r w:rsidRPr="00A574B9">
        <w:rPr>
          <w:sz w:val="22"/>
          <w:szCs w:val="22"/>
        </w:rPr>
        <w:fldChar w:fldCharType="separate"/>
      </w:r>
      <w:r w:rsidR="00A574B9">
        <w:rPr>
          <w:sz w:val="22"/>
          <w:szCs w:val="22"/>
        </w:rPr>
        <w:t>19</w:t>
      </w:r>
      <w:r w:rsidRPr="00A574B9">
        <w:rPr>
          <w:sz w:val="22"/>
          <w:szCs w:val="22"/>
        </w:rPr>
        <w:fldChar w:fldCharType="end"/>
      </w:r>
    </w:p>
    <w:p w14:paraId="47082CA3" w14:textId="64B5B7D8" w:rsidR="00FC6241" w:rsidRPr="00A574B9" w:rsidRDefault="00FC6241">
      <w:pPr>
        <w:pStyle w:val="Obsah2"/>
        <w:rPr>
          <w:rFonts w:asciiTheme="minorHAnsi" w:eastAsiaTheme="minorEastAsia" w:hAnsiTheme="minorHAnsi" w:cstheme="minorBidi"/>
          <w:sz w:val="22"/>
          <w:szCs w:val="22"/>
        </w:rPr>
      </w:pPr>
      <w:r w:rsidRPr="00A574B9">
        <w:rPr>
          <w:sz w:val="22"/>
          <w:szCs w:val="22"/>
        </w:rPr>
        <w:t>D.3</w:t>
      </w:r>
      <w:r w:rsidRPr="00A574B9">
        <w:rPr>
          <w:rFonts w:asciiTheme="minorHAnsi" w:eastAsiaTheme="minorEastAsia" w:hAnsiTheme="minorHAnsi" w:cstheme="minorBidi"/>
          <w:sz w:val="22"/>
          <w:szCs w:val="22"/>
        </w:rPr>
        <w:tab/>
      </w:r>
      <w:r w:rsidRPr="00A574B9">
        <w:rPr>
          <w:sz w:val="22"/>
          <w:szCs w:val="22"/>
        </w:rPr>
        <w:t>Výzkumy</w:t>
      </w:r>
      <w:r w:rsidR="00A83AD9">
        <w:rPr>
          <w:sz w:val="22"/>
          <w:szCs w:val="22"/>
        </w:rPr>
        <w:t xml:space="preserve"> a </w:t>
      </w:r>
      <w:r w:rsidRPr="00A574B9">
        <w:rPr>
          <w:sz w:val="22"/>
          <w:szCs w:val="22"/>
        </w:rPr>
        <w:t>doporučení</w:t>
      </w:r>
      <w:r w:rsidRPr="00A574B9">
        <w:rPr>
          <w:sz w:val="22"/>
          <w:szCs w:val="22"/>
        </w:rPr>
        <w:tab/>
      </w:r>
      <w:r w:rsidRPr="00A574B9">
        <w:rPr>
          <w:sz w:val="22"/>
          <w:szCs w:val="22"/>
        </w:rPr>
        <w:fldChar w:fldCharType="begin"/>
      </w:r>
      <w:r w:rsidRPr="00A574B9">
        <w:rPr>
          <w:sz w:val="22"/>
          <w:szCs w:val="22"/>
        </w:rPr>
        <w:instrText xml:space="preserve"> PAGEREF _Toc141694109 \h </w:instrText>
      </w:r>
      <w:r w:rsidRPr="00A574B9">
        <w:rPr>
          <w:sz w:val="22"/>
          <w:szCs w:val="22"/>
        </w:rPr>
      </w:r>
      <w:r w:rsidRPr="00A574B9">
        <w:rPr>
          <w:sz w:val="22"/>
          <w:szCs w:val="22"/>
        </w:rPr>
        <w:fldChar w:fldCharType="separate"/>
      </w:r>
      <w:r w:rsidR="00A574B9">
        <w:rPr>
          <w:sz w:val="22"/>
          <w:szCs w:val="22"/>
        </w:rPr>
        <w:t>19</w:t>
      </w:r>
      <w:r w:rsidRPr="00A574B9">
        <w:rPr>
          <w:sz w:val="22"/>
          <w:szCs w:val="22"/>
        </w:rPr>
        <w:fldChar w:fldCharType="end"/>
      </w:r>
    </w:p>
    <w:p w14:paraId="1FA53CC3" w14:textId="1D5DDB19" w:rsidR="00FC6241" w:rsidRPr="00A574B9" w:rsidRDefault="00FC6241">
      <w:pPr>
        <w:pStyle w:val="Obsah2"/>
        <w:rPr>
          <w:rFonts w:asciiTheme="minorHAnsi" w:eastAsiaTheme="minorEastAsia" w:hAnsiTheme="minorHAnsi" w:cstheme="minorBidi"/>
          <w:sz w:val="22"/>
          <w:szCs w:val="22"/>
        </w:rPr>
      </w:pPr>
      <w:r w:rsidRPr="00A574B9">
        <w:rPr>
          <w:sz w:val="22"/>
          <w:szCs w:val="22"/>
        </w:rPr>
        <w:t>D.4</w:t>
      </w:r>
      <w:r w:rsidRPr="00A574B9">
        <w:rPr>
          <w:rFonts w:asciiTheme="minorHAnsi" w:eastAsiaTheme="minorEastAsia" w:hAnsiTheme="minorHAnsi" w:cstheme="minorBidi"/>
          <w:sz w:val="22"/>
          <w:szCs w:val="22"/>
        </w:rPr>
        <w:tab/>
      </w:r>
      <w:r w:rsidRPr="00A574B9">
        <w:rPr>
          <w:sz w:val="22"/>
          <w:szCs w:val="22"/>
        </w:rPr>
        <w:t>Zásadní pracovní jednání</w:t>
      </w:r>
      <w:r w:rsidRPr="00A574B9">
        <w:rPr>
          <w:sz w:val="22"/>
          <w:szCs w:val="22"/>
        </w:rPr>
        <w:tab/>
      </w:r>
      <w:r w:rsidRPr="00A574B9">
        <w:rPr>
          <w:sz w:val="22"/>
          <w:szCs w:val="22"/>
        </w:rPr>
        <w:fldChar w:fldCharType="begin"/>
      </w:r>
      <w:r w:rsidRPr="00A574B9">
        <w:rPr>
          <w:sz w:val="22"/>
          <w:szCs w:val="22"/>
        </w:rPr>
        <w:instrText xml:space="preserve"> PAGEREF _Toc141694110 \h </w:instrText>
      </w:r>
      <w:r w:rsidRPr="00A574B9">
        <w:rPr>
          <w:sz w:val="22"/>
          <w:szCs w:val="22"/>
        </w:rPr>
      </w:r>
      <w:r w:rsidRPr="00A574B9">
        <w:rPr>
          <w:sz w:val="22"/>
          <w:szCs w:val="22"/>
        </w:rPr>
        <w:fldChar w:fldCharType="separate"/>
      </w:r>
      <w:r w:rsidR="00A574B9">
        <w:rPr>
          <w:sz w:val="22"/>
          <w:szCs w:val="22"/>
        </w:rPr>
        <w:t>20</w:t>
      </w:r>
      <w:r w:rsidRPr="00A574B9">
        <w:rPr>
          <w:sz w:val="22"/>
          <w:szCs w:val="22"/>
        </w:rPr>
        <w:fldChar w:fldCharType="end"/>
      </w:r>
    </w:p>
    <w:p w14:paraId="2118CCA0" w14:textId="2310B277" w:rsidR="00FC6241" w:rsidRPr="00A574B9" w:rsidRDefault="00FC6241">
      <w:pPr>
        <w:pStyle w:val="Obsah2"/>
        <w:rPr>
          <w:rFonts w:asciiTheme="minorHAnsi" w:eastAsiaTheme="minorEastAsia" w:hAnsiTheme="minorHAnsi" w:cstheme="minorBidi"/>
          <w:sz w:val="22"/>
          <w:szCs w:val="22"/>
        </w:rPr>
      </w:pPr>
      <w:r w:rsidRPr="00A574B9">
        <w:rPr>
          <w:sz w:val="22"/>
          <w:szCs w:val="22"/>
        </w:rPr>
        <w:t>D.5</w:t>
      </w:r>
      <w:r w:rsidRPr="00A574B9">
        <w:rPr>
          <w:rFonts w:asciiTheme="minorHAnsi" w:eastAsiaTheme="minorEastAsia" w:hAnsiTheme="minorHAnsi" w:cstheme="minorBidi"/>
          <w:sz w:val="22"/>
          <w:szCs w:val="22"/>
        </w:rPr>
        <w:tab/>
      </w:r>
      <w:r w:rsidRPr="00A574B9">
        <w:rPr>
          <w:sz w:val="22"/>
          <w:szCs w:val="22"/>
        </w:rPr>
        <w:t>Osvěta</w:t>
      </w:r>
      <w:r w:rsidRPr="00A574B9">
        <w:rPr>
          <w:sz w:val="22"/>
          <w:szCs w:val="22"/>
        </w:rPr>
        <w:tab/>
      </w:r>
      <w:r w:rsidRPr="00A574B9">
        <w:rPr>
          <w:sz w:val="22"/>
          <w:szCs w:val="22"/>
        </w:rPr>
        <w:fldChar w:fldCharType="begin"/>
      </w:r>
      <w:r w:rsidRPr="00A574B9">
        <w:rPr>
          <w:sz w:val="22"/>
          <w:szCs w:val="22"/>
        </w:rPr>
        <w:instrText xml:space="preserve"> PAGEREF _Toc141694111 \h </w:instrText>
      </w:r>
      <w:r w:rsidRPr="00A574B9">
        <w:rPr>
          <w:sz w:val="22"/>
          <w:szCs w:val="22"/>
        </w:rPr>
      </w:r>
      <w:r w:rsidRPr="00A574B9">
        <w:rPr>
          <w:sz w:val="22"/>
          <w:szCs w:val="22"/>
        </w:rPr>
        <w:fldChar w:fldCharType="separate"/>
      </w:r>
      <w:r w:rsidR="00A574B9">
        <w:rPr>
          <w:sz w:val="22"/>
          <w:szCs w:val="22"/>
        </w:rPr>
        <w:t>21</w:t>
      </w:r>
      <w:r w:rsidRPr="00A574B9">
        <w:rPr>
          <w:sz w:val="22"/>
          <w:szCs w:val="22"/>
        </w:rPr>
        <w:fldChar w:fldCharType="end"/>
      </w:r>
    </w:p>
    <w:p w14:paraId="4F6ECA0D" w14:textId="7877A302" w:rsidR="00FC6241" w:rsidRPr="00A574B9" w:rsidRDefault="00FC6241">
      <w:pPr>
        <w:pStyle w:val="Obsah2"/>
        <w:rPr>
          <w:rFonts w:asciiTheme="minorHAnsi" w:eastAsiaTheme="minorEastAsia" w:hAnsiTheme="minorHAnsi" w:cstheme="minorBidi"/>
          <w:sz w:val="22"/>
          <w:szCs w:val="22"/>
        </w:rPr>
      </w:pPr>
      <w:r w:rsidRPr="00A574B9">
        <w:rPr>
          <w:sz w:val="22"/>
          <w:szCs w:val="22"/>
        </w:rPr>
        <w:t>D.6</w:t>
      </w:r>
      <w:r w:rsidRPr="00A574B9">
        <w:rPr>
          <w:rFonts w:asciiTheme="minorHAnsi" w:eastAsiaTheme="minorEastAsia" w:hAnsiTheme="minorHAnsi" w:cstheme="minorBidi"/>
          <w:sz w:val="22"/>
          <w:szCs w:val="22"/>
        </w:rPr>
        <w:tab/>
      </w:r>
      <w:r w:rsidRPr="00A574B9">
        <w:rPr>
          <w:sz w:val="22"/>
          <w:szCs w:val="22"/>
        </w:rPr>
        <w:t>Konference, kulaté stoly</w:t>
      </w:r>
      <w:r w:rsidR="00A83AD9">
        <w:rPr>
          <w:sz w:val="22"/>
          <w:szCs w:val="22"/>
        </w:rPr>
        <w:t xml:space="preserve"> a </w:t>
      </w:r>
      <w:r w:rsidRPr="00A574B9">
        <w:rPr>
          <w:sz w:val="22"/>
          <w:szCs w:val="22"/>
        </w:rPr>
        <w:t>školení</w:t>
      </w:r>
      <w:r w:rsidRPr="00A574B9">
        <w:rPr>
          <w:sz w:val="22"/>
          <w:szCs w:val="22"/>
        </w:rPr>
        <w:tab/>
      </w:r>
      <w:r w:rsidRPr="00A574B9">
        <w:rPr>
          <w:sz w:val="22"/>
          <w:szCs w:val="22"/>
        </w:rPr>
        <w:fldChar w:fldCharType="begin"/>
      </w:r>
      <w:r w:rsidRPr="00A574B9">
        <w:rPr>
          <w:sz w:val="22"/>
          <w:szCs w:val="22"/>
        </w:rPr>
        <w:instrText xml:space="preserve"> PAGEREF _Toc141694112 \h </w:instrText>
      </w:r>
      <w:r w:rsidRPr="00A574B9">
        <w:rPr>
          <w:sz w:val="22"/>
          <w:szCs w:val="22"/>
        </w:rPr>
      </w:r>
      <w:r w:rsidRPr="00A574B9">
        <w:rPr>
          <w:sz w:val="22"/>
          <w:szCs w:val="22"/>
        </w:rPr>
        <w:fldChar w:fldCharType="separate"/>
      </w:r>
      <w:r w:rsidR="00A574B9">
        <w:rPr>
          <w:sz w:val="22"/>
          <w:szCs w:val="22"/>
        </w:rPr>
        <w:t>21</w:t>
      </w:r>
      <w:r w:rsidRPr="00A574B9">
        <w:rPr>
          <w:sz w:val="22"/>
          <w:szCs w:val="22"/>
        </w:rPr>
        <w:fldChar w:fldCharType="end"/>
      </w:r>
    </w:p>
    <w:p w14:paraId="684A29D7" w14:textId="453C9DE4" w:rsidR="00FC6241" w:rsidRPr="00A574B9" w:rsidRDefault="00FC6241">
      <w:pPr>
        <w:pStyle w:val="Obsah2"/>
        <w:rPr>
          <w:rFonts w:asciiTheme="minorHAnsi" w:eastAsiaTheme="minorEastAsia" w:hAnsiTheme="minorHAnsi" w:cstheme="minorBidi"/>
          <w:sz w:val="22"/>
          <w:szCs w:val="22"/>
        </w:rPr>
      </w:pPr>
      <w:r w:rsidRPr="00A574B9">
        <w:rPr>
          <w:sz w:val="22"/>
          <w:szCs w:val="22"/>
        </w:rPr>
        <w:t>D.7</w:t>
      </w:r>
      <w:r w:rsidRPr="00A574B9">
        <w:rPr>
          <w:rFonts w:asciiTheme="minorHAnsi" w:eastAsiaTheme="minorEastAsia" w:hAnsiTheme="minorHAnsi" w:cstheme="minorBidi"/>
          <w:sz w:val="22"/>
          <w:szCs w:val="22"/>
        </w:rPr>
        <w:tab/>
      </w:r>
      <w:r w:rsidRPr="00A574B9">
        <w:rPr>
          <w:sz w:val="22"/>
          <w:szCs w:val="22"/>
        </w:rPr>
        <w:t>Mezinárodní spolupráce</w:t>
      </w:r>
      <w:r w:rsidRPr="00A574B9">
        <w:rPr>
          <w:sz w:val="22"/>
          <w:szCs w:val="22"/>
        </w:rPr>
        <w:tab/>
      </w:r>
      <w:r w:rsidRPr="00A574B9">
        <w:rPr>
          <w:sz w:val="22"/>
          <w:szCs w:val="22"/>
        </w:rPr>
        <w:fldChar w:fldCharType="begin"/>
      </w:r>
      <w:r w:rsidRPr="00A574B9">
        <w:rPr>
          <w:sz w:val="22"/>
          <w:szCs w:val="22"/>
        </w:rPr>
        <w:instrText xml:space="preserve"> PAGEREF _Toc141694113 \h </w:instrText>
      </w:r>
      <w:r w:rsidRPr="00A574B9">
        <w:rPr>
          <w:sz w:val="22"/>
          <w:szCs w:val="22"/>
        </w:rPr>
      </w:r>
      <w:r w:rsidRPr="00A574B9">
        <w:rPr>
          <w:sz w:val="22"/>
          <w:szCs w:val="22"/>
        </w:rPr>
        <w:fldChar w:fldCharType="separate"/>
      </w:r>
      <w:r w:rsidR="00A574B9">
        <w:rPr>
          <w:sz w:val="22"/>
          <w:szCs w:val="22"/>
        </w:rPr>
        <w:t>22</w:t>
      </w:r>
      <w:r w:rsidRPr="00A574B9">
        <w:rPr>
          <w:sz w:val="22"/>
          <w:szCs w:val="22"/>
        </w:rPr>
        <w:fldChar w:fldCharType="end"/>
      </w:r>
    </w:p>
    <w:p w14:paraId="00340423" w14:textId="35E8A412" w:rsidR="00FC6241" w:rsidRPr="00A574B9" w:rsidRDefault="00FC6241">
      <w:pPr>
        <w:pStyle w:val="Obsah1"/>
        <w:rPr>
          <w:rFonts w:asciiTheme="minorHAnsi" w:eastAsiaTheme="minorEastAsia" w:hAnsiTheme="minorHAnsi" w:cstheme="minorBidi"/>
          <w:noProof/>
          <w:sz w:val="22"/>
          <w:szCs w:val="22"/>
        </w:rPr>
      </w:pPr>
      <w:r w:rsidRPr="00A574B9">
        <w:rPr>
          <w:noProof/>
          <w:sz w:val="22"/>
          <w:szCs w:val="22"/>
        </w:rPr>
        <w:t>E.</w:t>
      </w:r>
      <w:r w:rsidRPr="00A574B9">
        <w:rPr>
          <w:rFonts w:asciiTheme="minorHAnsi" w:eastAsiaTheme="minorEastAsia" w:hAnsiTheme="minorHAnsi" w:cstheme="minorBidi"/>
          <w:noProof/>
          <w:sz w:val="22"/>
          <w:szCs w:val="22"/>
        </w:rPr>
        <w:tab/>
      </w:r>
      <w:r w:rsidRPr="00A574B9">
        <w:rPr>
          <w:noProof/>
          <w:sz w:val="22"/>
          <w:szCs w:val="22"/>
        </w:rPr>
        <w:t>Sledování práv lidí se zdravotním postižením</w:t>
      </w:r>
      <w:r w:rsidRPr="00A574B9">
        <w:rPr>
          <w:noProof/>
          <w:sz w:val="22"/>
          <w:szCs w:val="22"/>
        </w:rPr>
        <w:tab/>
      </w:r>
      <w:r w:rsidRPr="00A574B9">
        <w:rPr>
          <w:noProof/>
          <w:sz w:val="22"/>
          <w:szCs w:val="22"/>
        </w:rPr>
        <w:fldChar w:fldCharType="begin"/>
      </w:r>
      <w:r w:rsidRPr="00A574B9">
        <w:rPr>
          <w:noProof/>
          <w:sz w:val="22"/>
          <w:szCs w:val="22"/>
        </w:rPr>
        <w:instrText xml:space="preserve"> PAGEREF _Toc141694114 \h </w:instrText>
      </w:r>
      <w:r w:rsidRPr="00A574B9">
        <w:rPr>
          <w:noProof/>
          <w:sz w:val="22"/>
          <w:szCs w:val="22"/>
        </w:rPr>
      </w:r>
      <w:r w:rsidRPr="00A574B9">
        <w:rPr>
          <w:noProof/>
          <w:sz w:val="22"/>
          <w:szCs w:val="22"/>
        </w:rPr>
        <w:fldChar w:fldCharType="separate"/>
      </w:r>
      <w:r w:rsidR="00A574B9">
        <w:rPr>
          <w:noProof/>
          <w:sz w:val="22"/>
          <w:szCs w:val="22"/>
        </w:rPr>
        <w:t>23</w:t>
      </w:r>
      <w:r w:rsidRPr="00A574B9">
        <w:rPr>
          <w:noProof/>
          <w:sz w:val="22"/>
          <w:szCs w:val="22"/>
        </w:rPr>
        <w:fldChar w:fldCharType="end"/>
      </w:r>
    </w:p>
    <w:p w14:paraId="668F5CD3" w14:textId="6F64E9B0" w:rsidR="00FC6241" w:rsidRPr="00A574B9" w:rsidRDefault="00FC6241">
      <w:pPr>
        <w:pStyle w:val="Obsah2"/>
        <w:rPr>
          <w:rFonts w:asciiTheme="minorHAnsi" w:eastAsiaTheme="minorEastAsia" w:hAnsiTheme="minorHAnsi" w:cstheme="minorBidi"/>
          <w:sz w:val="22"/>
          <w:szCs w:val="22"/>
        </w:rPr>
      </w:pPr>
      <w:r w:rsidRPr="00A574B9">
        <w:rPr>
          <w:sz w:val="22"/>
          <w:szCs w:val="22"/>
        </w:rPr>
        <w:t>E.1</w:t>
      </w:r>
      <w:r w:rsidRPr="00A574B9">
        <w:rPr>
          <w:rFonts w:asciiTheme="minorHAnsi" w:eastAsiaTheme="minorEastAsia" w:hAnsiTheme="minorHAnsi" w:cstheme="minorBidi"/>
          <w:sz w:val="22"/>
          <w:szCs w:val="22"/>
        </w:rPr>
        <w:tab/>
      </w:r>
      <w:r w:rsidRPr="00A574B9">
        <w:rPr>
          <w:sz w:val="22"/>
          <w:szCs w:val="22"/>
        </w:rPr>
        <w:t>Souhlas opatrovance</w:t>
      </w:r>
      <w:r w:rsidR="00A83AD9">
        <w:rPr>
          <w:sz w:val="22"/>
          <w:szCs w:val="22"/>
        </w:rPr>
        <w:t xml:space="preserve"> s </w:t>
      </w:r>
      <w:r w:rsidRPr="00A574B9">
        <w:rPr>
          <w:sz w:val="22"/>
          <w:szCs w:val="22"/>
        </w:rPr>
        <w:t>jednotlivými úkony opatrovníka, nahlížení</w:t>
      </w:r>
      <w:r w:rsidR="00A83AD9">
        <w:rPr>
          <w:sz w:val="22"/>
          <w:szCs w:val="22"/>
        </w:rPr>
        <w:t xml:space="preserve"> do </w:t>
      </w:r>
      <w:r w:rsidRPr="00A574B9">
        <w:rPr>
          <w:sz w:val="22"/>
          <w:szCs w:val="22"/>
        </w:rPr>
        <w:t>opatrovnického spisu</w:t>
      </w:r>
      <w:r w:rsidR="00A83AD9">
        <w:rPr>
          <w:sz w:val="22"/>
          <w:szCs w:val="22"/>
        </w:rPr>
        <w:t xml:space="preserve"> a </w:t>
      </w:r>
      <w:r w:rsidRPr="00A574B9">
        <w:rPr>
          <w:sz w:val="22"/>
          <w:szCs w:val="22"/>
        </w:rPr>
        <w:t>efektivní výkon opatrovnictví (sp. zn. 6528/2023/VOP)</w:t>
      </w:r>
      <w:r w:rsidRPr="00A574B9">
        <w:rPr>
          <w:sz w:val="22"/>
          <w:szCs w:val="22"/>
        </w:rPr>
        <w:tab/>
      </w:r>
      <w:r w:rsidRPr="00A574B9">
        <w:rPr>
          <w:sz w:val="22"/>
          <w:szCs w:val="22"/>
        </w:rPr>
        <w:fldChar w:fldCharType="begin"/>
      </w:r>
      <w:r w:rsidRPr="00A574B9">
        <w:rPr>
          <w:sz w:val="22"/>
          <w:szCs w:val="22"/>
        </w:rPr>
        <w:instrText xml:space="preserve"> PAGEREF _Toc141694115 \h </w:instrText>
      </w:r>
      <w:r w:rsidRPr="00A574B9">
        <w:rPr>
          <w:sz w:val="22"/>
          <w:szCs w:val="22"/>
        </w:rPr>
      </w:r>
      <w:r w:rsidRPr="00A574B9">
        <w:rPr>
          <w:sz w:val="22"/>
          <w:szCs w:val="22"/>
        </w:rPr>
        <w:fldChar w:fldCharType="separate"/>
      </w:r>
      <w:r w:rsidR="00A574B9">
        <w:rPr>
          <w:sz w:val="22"/>
          <w:szCs w:val="22"/>
        </w:rPr>
        <w:t>23</w:t>
      </w:r>
      <w:r w:rsidRPr="00A574B9">
        <w:rPr>
          <w:sz w:val="22"/>
          <w:szCs w:val="22"/>
        </w:rPr>
        <w:fldChar w:fldCharType="end"/>
      </w:r>
    </w:p>
    <w:p w14:paraId="24E8E7A4" w14:textId="7FA84C18" w:rsidR="00FC6241" w:rsidRPr="00A574B9" w:rsidRDefault="00FC6241">
      <w:pPr>
        <w:pStyle w:val="Obsah2"/>
        <w:rPr>
          <w:rFonts w:asciiTheme="minorHAnsi" w:eastAsiaTheme="minorEastAsia" w:hAnsiTheme="minorHAnsi" w:cstheme="minorBidi"/>
          <w:sz w:val="22"/>
          <w:szCs w:val="22"/>
        </w:rPr>
      </w:pPr>
      <w:r w:rsidRPr="00A574B9">
        <w:rPr>
          <w:sz w:val="22"/>
          <w:szCs w:val="22"/>
        </w:rPr>
        <w:t>E.2</w:t>
      </w:r>
      <w:r w:rsidRPr="00A574B9">
        <w:rPr>
          <w:rFonts w:asciiTheme="minorHAnsi" w:eastAsiaTheme="minorEastAsia" w:hAnsiTheme="minorHAnsi" w:cstheme="minorBidi"/>
          <w:sz w:val="22"/>
          <w:szCs w:val="22"/>
        </w:rPr>
        <w:tab/>
      </w:r>
      <w:r w:rsidRPr="00A574B9">
        <w:rPr>
          <w:sz w:val="22"/>
          <w:szCs w:val="22"/>
        </w:rPr>
        <w:t>Výsledek uplatněných připomínek</w:t>
      </w:r>
      <w:r w:rsidR="00A83AD9">
        <w:rPr>
          <w:sz w:val="22"/>
          <w:szCs w:val="22"/>
        </w:rPr>
        <w:t xml:space="preserve"> k </w:t>
      </w:r>
      <w:r w:rsidRPr="00A574B9">
        <w:rPr>
          <w:sz w:val="22"/>
          <w:szCs w:val="22"/>
        </w:rPr>
        <w:t>novele zákona</w:t>
      </w:r>
      <w:r w:rsidR="00A83AD9">
        <w:rPr>
          <w:sz w:val="22"/>
          <w:szCs w:val="22"/>
        </w:rPr>
        <w:t xml:space="preserve"> o </w:t>
      </w:r>
      <w:r w:rsidRPr="00A574B9">
        <w:rPr>
          <w:sz w:val="22"/>
          <w:szCs w:val="22"/>
        </w:rPr>
        <w:t>vysokých školách</w:t>
      </w:r>
      <w:r w:rsidRPr="00A574B9">
        <w:rPr>
          <w:sz w:val="22"/>
          <w:szCs w:val="22"/>
        </w:rPr>
        <w:tab/>
      </w:r>
      <w:r w:rsidRPr="00A574B9">
        <w:rPr>
          <w:sz w:val="22"/>
          <w:szCs w:val="22"/>
        </w:rPr>
        <w:fldChar w:fldCharType="begin"/>
      </w:r>
      <w:r w:rsidRPr="00A574B9">
        <w:rPr>
          <w:sz w:val="22"/>
          <w:szCs w:val="22"/>
        </w:rPr>
        <w:instrText xml:space="preserve"> PAGEREF _Toc141694116 \h </w:instrText>
      </w:r>
      <w:r w:rsidRPr="00A574B9">
        <w:rPr>
          <w:sz w:val="22"/>
          <w:szCs w:val="22"/>
        </w:rPr>
      </w:r>
      <w:r w:rsidRPr="00A574B9">
        <w:rPr>
          <w:sz w:val="22"/>
          <w:szCs w:val="22"/>
        </w:rPr>
        <w:fldChar w:fldCharType="separate"/>
      </w:r>
      <w:r w:rsidR="00A574B9">
        <w:rPr>
          <w:sz w:val="22"/>
          <w:szCs w:val="22"/>
        </w:rPr>
        <w:t>24</w:t>
      </w:r>
      <w:r w:rsidRPr="00A574B9">
        <w:rPr>
          <w:sz w:val="22"/>
          <w:szCs w:val="22"/>
        </w:rPr>
        <w:fldChar w:fldCharType="end"/>
      </w:r>
    </w:p>
    <w:p w14:paraId="160B5067" w14:textId="53823182" w:rsidR="00FC6241" w:rsidRPr="00A574B9" w:rsidRDefault="00FC6241">
      <w:pPr>
        <w:pStyle w:val="Obsah2"/>
        <w:rPr>
          <w:rFonts w:asciiTheme="minorHAnsi" w:eastAsiaTheme="minorEastAsia" w:hAnsiTheme="minorHAnsi" w:cstheme="minorBidi"/>
          <w:sz w:val="22"/>
          <w:szCs w:val="22"/>
        </w:rPr>
      </w:pPr>
      <w:r w:rsidRPr="00A574B9">
        <w:rPr>
          <w:sz w:val="22"/>
          <w:szCs w:val="22"/>
        </w:rPr>
        <w:t>E.3</w:t>
      </w:r>
      <w:r w:rsidRPr="00A574B9">
        <w:rPr>
          <w:rFonts w:asciiTheme="minorHAnsi" w:eastAsiaTheme="minorEastAsia" w:hAnsiTheme="minorHAnsi" w:cstheme="minorBidi"/>
          <w:sz w:val="22"/>
          <w:szCs w:val="22"/>
        </w:rPr>
        <w:tab/>
      </w:r>
      <w:r w:rsidRPr="00A574B9">
        <w:rPr>
          <w:sz w:val="22"/>
          <w:szCs w:val="22"/>
        </w:rPr>
        <w:t>Zasedání poradního orgánu</w:t>
      </w:r>
      <w:r w:rsidRPr="00A574B9">
        <w:rPr>
          <w:sz w:val="22"/>
          <w:szCs w:val="22"/>
        </w:rPr>
        <w:tab/>
      </w:r>
      <w:r w:rsidRPr="00A574B9">
        <w:rPr>
          <w:sz w:val="22"/>
          <w:szCs w:val="22"/>
        </w:rPr>
        <w:fldChar w:fldCharType="begin"/>
      </w:r>
      <w:r w:rsidRPr="00A574B9">
        <w:rPr>
          <w:sz w:val="22"/>
          <w:szCs w:val="22"/>
        </w:rPr>
        <w:instrText xml:space="preserve"> PAGEREF _Toc141694117 \h </w:instrText>
      </w:r>
      <w:r w:rsidRPr="00A574B9">
        <w:rPr>
          <w:sz w:val="22"/>
          <w:szCs w:val="22"/>
        </w:rPr>
      </w:r>
      <w:r w:rsidRPr="00A574B9">
        <w:rPr>
          <w:sz w:val="22"/>
          <w:szCs w:val="22"/>
        </w:rPr>
        <w:fldChar w:fldCharType="separate"/>
      </w:r>
      <w:r w:rsidR="00A574B9">
        <w:rPr>
          <w:sz w:val="22"/>
          <w:szCs w:val="22"/>
        </w:rPr>
        <w:t>24</w:t>
      </w:r>
      <w:r w:rsidRPr="00A574B9">
        <w:rPr>
          <w:sz w:val="22"/>
          <w:szCs w:val="22"/>
        </w:rPr>
        <w:fldChar w:fldCharType="end"/>
      </w:r>
    </w:p>
    <w:p w14:paraId="4B184061" w14:textId="1EB79E34" w:rsidR="00FC6241" w:rsidRPr="00A574B9" w:rsidRDefault="00FC6241">
      <w:pPr>
        <w:pStyle w:val="Obsah2"/>
        <w:rPr>
          <w:rFonts w:asciiTheme="minorHAnsi" w:eastAsiaTheme="minorEastAsia" w:hAnsiTheme="minorHAnsi" w:cstheme="minorBidi"/>
          <w:sz w:val="22"/>
          <w:szCs w:val="22"/>
        </w:rPr>
      </w:pPr>
      <w:r w:rsidRPr="00A574B9">
        <w:rPr>
          <w:sz w:val="22"/>
          <w:szCs w:val="22"/>
        </w:rPr>
        <w:t>E.4</w:t>
      </w:r>
      <w:r w:rsidRPr="00A574B9">
        <w:rPr>
          <w:rFonts w:asciiTheme="minorHAnsi" w:eastAsiaTheme="minorEastAsia" w:hAnsiTheme="minorHAnsi" w:cstheme="minorBidi"/>
          <w:sz w:val="22"/>
          <w:szCs w:val="22"/>
        </w:rPr>
        <w:tab/>
      </w:r>
      <w:r w:rsidRPr="00A574B9">
        <w:rPr>
          <w:sz w:val="22"/>
          <w:szCs w:val="22"/>
        </w:rPr>
        <w:t>Výzkumy</w:t>
      </w:r>
      <w:r w:rsidR="00A83AD9">
        <w:rPr>
          <w:sz w:val="22"/>
          <w:szCs w:val="22"/>
        </w:rPr>
        <w:t xml:space="preserve"> a </w:t>
      </w:r>
      <w:r w:rsidRPr="00A574B9">
        <w:rPr>
          <w:sz w:val="22"/>
          <w:szCs w:val="22"/>
        </w:rPr>
        <w:t>doporučení</w:t>
      </w:r>
      <w:r w:rsidR="00A83AD9">
        <w:rPr>
          <w:sz w:val="22"/>
          <w:szCs w:val="22"/>
        </w:rPr>
        <w:t xml:space="preserve"> ke </w:t>
      </w:r>
      <w:r w:rsidRPr="00A574B9">
        <w:rPr>
          <w:sz w:val="22"/>
          <w:szCs w:val="22"/>
        </w:rPr>
        <w:t>zlepšení situace lidí</w:t>
      </w:r>
      <w:r w:rsidR="00A83AD9">
        <w:rPr>
          <w:sz w:val="22"/>
          <w:szCs w:val="22"/>
        </w:rPr>
        <w:t xml:space="preserve"> s </w:t>
      </w:r>
      <w:r w:rsidRPr="00A574B9">
        <w:rPr>
          <w:sz w:val="22"/>
          <w:szCs w:val="22"/>
        </w:rPr>
        <w:t>postižením</w:t>
      </w:r>
      <w:r w:rsidRPr="00A574B9">
        <w:rPr>
          <w:sz w:val="22"/>
          <w:szCs w:val="22"/>
        </w:rPr>
        <w:tab/>
      </w:r>
      <w:r w:rsidRPr="00A574B9">
        <w:rPr>
          <w:sz w:val="22"/>
          <w:szCs w:val="22"/>
        </w:rPr>
        <w:fldChar w:fldCharType="begin"/>
      </w:r>
      <w:r w:rsidRPr="00A574B9">
        <w:rPr>
          <w:sz w:val="22"/>
          <w:szCs w:val="22"/>
        </w:rPr>
        <w:instrText xml:space="preserve"> PAGEREF _Toc141694118 \h </w:instrText>
      </w:r>
      <w:r w:rsidRPr="00A574B9">
        <w:rPr>
          <w:sz w:val="22"/>
          <w:szCs w:val="22"/>
        </w:rPr>
      </w:r>
      <w:r w:rsidRPr="00A574B9">
        <w:rPr>
          <w:sz w:val="22"/>
          <w:szCs w:val="22"/>
        </w:rPr>
        <w:fldChar w:fldCharType="separate"/>
      </w:r>
      <w:r w:rsidR="00A574B9">
        <w:rPr>
          <w:sz w:val="22"/>
          <w:szCs w:val="22"/>
        </w:rPr>
        <w:t>25</w:t>
      </w:r>
      <w:r w:rsidRPr="00A574B9">
        <w:rPr>
          <w:sz w:val="22"/>
          <w:szCs w:val="22"/>
        </w:rPr>
        <w:fldChar w:fldCharType="end"/>
      </w:r>
    </w:p>
    <w:p w14:paraId="7C6AB595" w14:textId="03F829F0" w:rsidR="00FC6241" w:rsidRPr="00A574B9" w:rsidRDefault="00FC6241">
      <w:pPr>
        <w:pStyle w:val="Obsah2"/>
        <w:rPr>
          <w:rFonts w:asciiTheme="minorHAnsi" w:eastAsiaTheme="minorEastAsia" w:hAnsiTheme="minorHAnsi" w:cstheme="minorBidi"/>
          <w:sz w:val="22"/>
          <w:szCs w:val="22"/>
        </w:rPr>
      </w:pPr>
      <w:r w:rsidRPr="00A574B9">
        <w:rPr>
          <w:sz w:val="22"/>
          <w:szCs w:val="22"/>
        </w:rPr>
        <w:t>E.5</w:t>
      </w:r>
      <w:r w:rsidRPr="00A574B9">
        <w:rPr>
          <w:rFonts w:asciiTheme="minorHAnsi" w:eastAsiaTheme="minorEastAsia" w:hAnsiTheme="minorHAnsi" w:cstheme="minorBidi"/>
          <w:sz w:val="22"/>
          <w:szCs w:val="22"/>
        </w:rPr>
        <w:tab/>
      </w:r>
      <w:r w:rsidRPr="00A574B9">
        <w:rPr>
          <w:sz w:val="22"/>
          <w:szCs w:val="22"/>
        </w:rPr>
        <w:t>Mezinárodní spolupráce</w:t>
      </w:r>
      <w:r w:rsidRPr="00A574B9">
        <w:rPr>
          <w:sz w:val="22"/>
          <w:szCs w:val="22"/>
        </w:rPr>
        <w:tab/>
      </w:r>
      <w:r w:rsidRPr="00A574B9">
        <w:rPr>
          <w:sz w:val="22"/>
          <w:szCs w:val="22"/>
        </w:rPr>
        <w:fldChar w:fldCharType="begin"/>
      </w:r>
      <w:r w:rsidRPr="00A574B9">
        <w:rPr>
          <w:sz w:val="22"/>
          <w:szCs w:val="22"/>
        </w:rPr>
        <w:instrText xml:space="preserve"> PAGEREF _Toc141694119 \h </w:instrText>
      </w:r>
      <w:r w:rsidRPr="00A574B9">
        <w:rPr>
          <w:sz w:val="22"/>
          <w:szCs w:val="22"/>
        </w:rPr>
      </w:r>
      <w:r w:rsidRPr="00A574B9">
        <w:rPr>
          <w:sz w:val="22"/>
          <w:szCs w:val="22"/>
        </w:rPr>
        <w:fldChar w:fldCharType="separate"/>
      </w:r>
      <w:r w:rsidR="00A574B9">
        <w:rPr>
          <w:sz w:val="22"/>
          <w:szCs w:val="22"/>
        </w:rPr>
        <w:t>26</w:t>
      </w:r>
      <w:r w:rsidRPr="00A574B9">
        <w:rPr>
          <w:sz w:val="22"/>
          <w:szCs w:val="22"/>
        </w:rPr>
        <w:fldChar w:fldCharType="end"/>
      </w:r>
    </w:p>
    <w:p w14:paraId="24C507FF" w14:textId="0DC3C84C" w:rsidR="00FC6241" w:rsidRPr="00A574B9" w:rsidRDefault="00FC6241">
      <w:pPr>
        <w:pStyle w:val="Obsah2"/>
        <w:rPr>
          <w:rFonts w:asciiTheme="minorHAnsi" w:eastAsiaTheme="minorEastAsia" w:hAnsiTheme="minorHAnsi" w:cstheme="minorBidi"/>
          <w:sz w:val="22"/>
          <w:szCs w:val="22"/>
        </w:rPr>
      </w:pPr>
      <w:r w:rsidRPr="00A574B9">
        <w:rPr>
          <w:sz w:val="22"/>
          <w:szCs w:val="22"/>
        </w:rPr>
        <w:t>E.6</w:t>
      </w:r>
      <w:r w:rsidRPr="00A574B9">
        <w:rPr>
          <w:rFonts w:asciiTheme="minorHAnsi" w:eastAsiaTheme="minorEastAsia" w:hAnsiTheme="minorHAnsi" w:cstheme="minorBidi"/>
          <w:sz w:val="22"/>
          <w:szCs w:val="22"/>
        </w:rPr>
        <w:tab/>
      </w:r>
      <w:r w:rsidRPr="00A574B9">
        <w:rPr>
          <w:sz w:val="22"/>
          <w:szCs w:val="22"/>
        </w:rPr>
        <w:t>Spolupráce</w:t>
      </w:r>
      <w:r w:rsidR="00A83AD9">
        <w:rPr>
          <w:sz w:val="22"/>
          <w:szCs w:val="22"/>
        </w:rPr>
        <w:t xml:space="preserve"> s </w:t>
      </w:r>
      <w:r w:rsidRPr="00A574B9">
        <w:rPr>
          <w:sz w:val="22"/>
          <w:szCs w:val="22"/>
        </w:rPr>
        <w:t>neziskovými organizacemi</w:t>
      </w:r>
      <w:r w:rsidR="00A83AD9">
        <w:rPr>
          <w:sz w:val="22"/>
          <w:szCs w:val="22"/>
        </w:rPr>
        <w:t xml:space="preserve"> a </w:t>
      </w:r>
      <w:r w:rsidRPr="00A574B9">
        <w:rPr>
          <w:sz w:val="22"/>
          <w:szCs w:val="22"/>
        </w:rPr>
        <w:t>lidmi</w:t>
      </w:r>
      <w:r w:rsidR="00A83AD9">
        <w:rPr>
          <w:sz w:val="22"/>
          <w:szCs w:val="22"/>
        </w:rPr>
        <w:t xml:space="preserve"> s </w:t>
      </w:r>
      <w:r w:rsidRPr="00A574B9">
        <w:rPr>
          <w:sz w:val="22"/>
          <w:szCs w:val="22"/>
        </w:rPr>
        <w:t>postižením</w:t>
      </w:r>
      <w:r w:rsidRPr="00A574B9">
        <w:rPr>
          <w:sz w:val="22"/>
          <w:szCs w:val="22"/>
        </w:rPr>
        <w:tab/>
      </w:r>
      <w:r w:rsidRPr="00A574B9">
        <w:rPr>
          <w:sz w:val="22"/>
          <w:szCs w:val="22"/>
        </w:rPr>
        <w:fldChar w:fldCharType="begin"/>
      </w:r>
      <w:r w:rsidRPr="00A574B9">
        <w:rPr>
          <w:sz w:val="22"/>
          <w:szCs w:val="22"/>
        </w:rPr>
        <w:instrText xml:space="preserve"> PAGEREF _Toc141694120 \h </w:instrText>
      </w:r>
      <w:r w:rsidRPr="00A574B9">
        <w:rPr>
          <w:sz w:val="22"/>
          <w:szCs w:val="22"/>
        </w:rPr>
      </w:r>
      <w:r w:rsidRPr="00A574B9">
        <w:rPr>
          <w:sz w:val="22"/>
          <w:szCs w:val="22"/>
        </w:rPr>
        <w:fldChar w:fldCharType="separate"/>
      </w:r>
      <w:r w:rsidR="00A574B9">
        <w:rPr>
          <w:sz w:val="22"/>
          <w:szCs w:val="22"/>
        </w:rPr>
        <w:t>27</w:t>
      </w:r>
      <w:r w:rsidRPr="00A574B9">
        <w:rPr>
          <w:sz w:val="22"/>
          <w:szCs w:val="22"/>
        </w:rPr>
        <w:fldChar w:fldCharType="end"/>
      </w:r>
    </w:p>
    <w:p w14:paraId="35D086A6" w14:textId="1644700F" w:rsidR="00FC6241" w:rsidRPr="00A574B9" w:rsidRDefault="00FC6241">
      <w:pPr>
        <w:pStyle w:val="Obsah2"/>
        <w:rPr>
          <w:rFonts w:asciiTheme="minorHAnsi" w:eastAsiaTheme="minorEastAsia" w:hAnsiTheme="minorHAnsi" w:cstheme="minorBidi"/>
          <w:sz w:val="22"/>
          <w:szCs w:val="22"/>
        </w:rPr>
      </w:pPr>
      <w:r w:rsidRPr="00A574B9">
        <w:rPr>
          <w:sz w:val="22"/>
          <w:szCs w:val="22"/>
        </w:rPr>
        <w:t>E.7</w:t>
      </w:r>
      <w:r w:rsidRPr="00A574B9">
        <w:rPr>
          <w:rFonts w:asciiTheme="minorHAnsi" w:eastAsiaTheme="minorEastAsia" w:hAnsiTheme="minorHAnsi" w:cstheme="minorBidi"/>
          <w:sz w:val="22"/>
          <w:szCs w:val="22"/>
        </w:rPr>
        <w:tab/>
      </w:r>
      <w:r w:rsidRPr="00A574B9">
        <w:rPr>
          <w:sz w:val="22"/>
          <w:szCs w:val="22"/>
        </w:rPr>
        <w:t>Konference, kulaté stoly</w:t>
      </w:r>
      <w:r w:rsidR="00A83AD9">
        <w:rPr>
          <w:sz w:val="22"/>
          <w:szCs w:val="22"/>
        </w:rPr>
        <w:t xml:space="preserve"> a </w:t>
      </w:r>
      <w:r w:rsidRPr="00A574B9">
        <w:rPr>
          <w:sz w:val="22"/>
          <w:szCs w:val="22"/>
        </w:rPr>
        <w:t>školení</w:t>
      </w:r>
      <w:r w:rsidRPr="00A574B9">
        <w:rPr>
          <w:sz w:val="22"/>
          <w:szCs w:val="22"/>
        </w:rPr>
        <w:tab/>
      </w:r>
      <w:r w:rsidRPr="00A574B9">
        <w:rPr>
          <w:sz w:val="22"/>
          <w:szCs w:val="22"/>
        </w:rPr>
        <w:fldChar w:fldCharType="begin"/>
      </w:r>
      <w:r w:rsidRPr="00A574B9">
        <w:rPr>
          <w:sz w:val="22"/>
          <w:szCs w:val="22"/>
        </w:rPr>
        <w:instrText xml:space="preserve"> PAGEREF _Toc141694121 \h </w:instrText>
      </w:r>
      <w:r w:rsidRPr="00A574B9">
        <w:rPr>
          <w:sz w:val="22"/>
          <w:szCs w:val="22"/>
        </w:rPr>
      </w:r>
      <w:r w:rsidRPr="00A574B9">
        <w:rPr>
          <w:sz w:val="22"/>
          <w:szCs w:val="22"/>
        </w:rPr>
        <w:fldChar w:fldCharType="separate"/>
      </w:r>
      <w:r w:rsidR="00A574B9">
        <w:rPr>
          <w:sz w:val="22"/>
          <w:szCs w:val="22"/>
        </w:rPr>
        <w:t>27</w:t>
      </w:r>
      <w:r w:rsidRPr="00A574B9">
        <w:rPr>
          <w:sz w:val="22"/>
          <w:szCs w:val="22"/>
        </w:rPr>
        <w:fldChar w:fldCharType="end"/>
      </w:r>
    </w:p>
    <w:p w14:paraId="1BCA4CF3" w14:textId="53C8D726" w:rsidR="00FC6241" w:rsidRPr="00A574B9" w:rsidRDefault="00FC6241">
      <w:pPr>
        <w:pStyle w:val="Obsah2"/>
        <w:rPr>
          <w:rFonts w:asciiTheme="minorHAnsi" w:eastAsiaTheme="minorEastAsia" w:hAnsiTheme="minorHAnsi" w:cstheme="minorBidi"/>
          <w:sz w:val="22"/>
          <w:szCs w:val="22"/>
        </w:rPr>
      </w:pPr>
      <w:r w:rsidRPr="00A574B9">
        <w:rPr>
          <w:sz w:val="22"/>
          <w:szCs w:val="22"/>
        </w:rPr>
        <w:t>E.8</w:t>
      </w:r>
      <w:r w:rsidRPr="00A574B9">
        <w:rPr>
          <w:rFonts w:asciiTheme="minorHAnsi" w:eastAsiaTheme="minorEastAsia" w:hAnsiTheme="minorHAnsi" w:cstheme="minorBidi"/>
          <w:sz w:val="22"/>
          <w:szCs w:val="22"/>
        </w:rPr>
        <w:tab/>
      </w:r>
      <w:r w:rsidRPr="00A574B9">
        <w:rPr>
          <w:sz w:val="22"/>
          <w:szCs w:val="22"/>
        </w:rPr>
        <w:t>Návštěvy zařízení</w:t>
      </w:r>
      <w:r w:rsidRPr="00A574B9">
        <w:rPr>
          <w:sz w:val="22"/>
          <w:szCs w:val="22"/>
        </w:rPr>
        <w:tab/>
      </w:r>
      <w:r w:rsidRPr="00A574B9">
        <w:rPr>
          <w:sz w:val="22"/>
          <w:szCs w:val="22"/>
        </w:rPr>
        <w:fldChar w:fldCharType="begin"/>
      </w:r>
      <w:r w:rsidRPr="00A574B9">
        <w:rPr>
          <w:sz w:val="22"/>
          <w:szCs w:val="22"/>
        </w:rPr>
        <w:instrText xml:space="preserve"> PAGEREF _Toc141694122 \h </w:instrText>
      </w:r>
      <w:r w:rsidRPr="00A574B9">
        <w:rPr>
          <w:sz w:val="22"/>
          <w:szCs w:val="22"/>
        </w:rPr>
      </w:r>
      <w:r w:rsidRPr="00A574B9">
        <w:rPr>
          <w:sz w:val="22"/>
          <w:szCs w:val="22"/>
        </w:rPr>
        <w:fldChar w:fldCharType="separate"/>
      </w:r>
      <w:r w:rsidR="00A574B9">
        <w:rPr>
          <w:sz w:val="22"/>
          <w:szCs w:val="22"/>
        </w:rPr>
        <w:t>29</w:t>
      </w:r>
      <w:r w:rsidRPr="00A574B9">
        <w:rPr>
          <w:sz w:val="22"/>
          <w:szCs w:val="22"/>
        </w:rPr>
        <w:fldChar w:fldCharType="end"/>
      </w:r>
    </w:p>
    <w:p w14:paraId="2C5AC06D" w14:textId="51EE9B43" w:rsidR="000C502F" w:rsidRDefault="001864B7" w:rsidP="007A435D">
      <w:pPr>
        <w:pStyle w:val="Nadpis2"/>
      </w:pPr>
      <w:r>
        <w:lastRenderedPageBreak/>
        <w:fldChar w:fldCharType="end"/>
      </w:r>
      <w:bookmarkStart w:id="23" w:name="_Toc141694092"/>
      <w:r w:rsidR="0039224B">
        <w:t>Činnost ochránce</w:t>
      </w:r>
      <w:r w:rsidR="00A83AD9">
        <w:t xml:space="preserve"> v </w:t>
      </w:r>
      <w:r w:rsidR="0039224B">
        <w:t>číslech</w:t>
      </w:r>
      <w:bookmarkEnd w:id="23"/>
    </w:p>
    <w:p w14:paraId="3094DA4F" w14:textId="5AA59044" w:rsidR="007474B9" w:rsidRPr="00E864E3" w:rsidRDefault="0048267B" w:rsidP="00E864E3">
      <w:pPr>
        <w:pStyle w:val="Zkladntext"/>
      </w:pPr>
      <w:r>
        <w:t>V</w:t>
      </w:r>
      <w:r w:rsidR="00571547">
        <w:t>e</w:t>
      </w:r>
      <w:r w:rsidR="00BE4F03">
        <w:t xml:space="preserve"> </w:t>
      </w:r>
      <w:r w:rsidR="00571547">
        <w:t>2</w:t>
      </w:r>
      <w:r w:rsidR="00D46A2D">
        <w:t xml:space="preserve">. čtvrtletí </w:t>
      </w:r>
      <w:r w:rsidR="00E84400">
        <w:t>2023</w:t>
      </w:r>
      <w:r w:rsidR="009F0D55">
        <w:t xml:space="preserve"> </w:t>
      </w:r>
      <w:r w:rsidR="00571547">
        <w:t>ochránce o</w:t>
      </w:r>
      <w:r w:rsidR="009F0D55">
        <w:t xml:space="preserve">bdržel celkem </w:t>
      </w:r>
      <w:r w:rsidR="00571547">
        <w:rPr>
          <w:rStyle w:val="Siln"/>
        </w:rPr>
        <w:t>1</w:t>
      </w:r>
      <w:r w:rsidR="00102206">
        <w:rPr>
          <w:rStyle w:val="Siln"/>
        </w:rPr>
        <w:t xml:space="preserve"> </w:t>
      </w:r>
      <w:r w:rsidR="00571547">
        <w:rPr>
          <w:rStyle w:val="Siln"/>
        </w:rPr>
        <w:t>282</w:t>
      </w:r>
      <w:r w:rsidR="007474B9" w:rsidRPr="00E864E3">
        <w:t xml:space="preserve"> podnětů</w:t>
      </w:r>
      <w:r w:rsidR="00571547">
        <w:t xml:space="preserve">. </w:t>
      </w:r>
      <w:r w:rsidR="007474B9" w:rsidRPr="00E864E3">
        <w:t>Podíl podnětů</w:t>
      </w:r>
      <w:r w:rsidR="00A83AD9">
        <w:t xml:space="preserve"> v </w:t>
      </w:r>
      <w:r w:rsidR="007474B9" w:rsidRPr="00E864E3">
        <w:t xml:space="preserve">působnosti </w:t>
      </w:r>
      <w:r w:rsidR="004D3C72">
        <w:t xml:space="preserve"> </w:t>
      </w:r>
      <w:r w:rsidR="009F0D55">
        <w:t>(</w:t>
      </w:r>
      <w:r w:rsidR="00571547">
        <w:rPr>
          <w:rStyle w:val="Siln"/>
        </w:rPr>
        <w:t>73</w:t>
      </w:r>
      <w:r w:rsidR="009F0D55" w:rsidRPr="004E323D">
        <w:rPr>
          <w:rStyle w:val="Siln"/>
        </w:rPr>
        <w:t xml:space="preserve"> %</w:t>
      </w:r>
      <w:r w:rsidR="009F0D55">
        <w:t xml:space="preserve">) </w:t>
      </w:r>
      <w:r w:rsidR="00571547">
        <w:t xml:space="preserve">je obdobný jako </w:t>
      </w:r>
      <w:r w:rsidR="009F0D55">
        <w:t>průměr roku</w:t>
      </w:r>
      <w:r w:rsidR="007474B9" w:rsidRPr="00E864E3">
        <w:t xml:space="preserve"> </w:t>
      </w:r>
      <w:r w:rsidR="009F0D55">
        <w:t>20</w:t>
      </w:r>
      <w:r w:rsidR="006F4B2C">
        <w:t>2</w:t>
      </w:r>
      <w:r w:rsidR="00571547">
        <w:t>2</w:t>
      </w:r>
      <w:r w:rsidR="009F0D55">
        <w:t xml:space="preserve"> (</w:t>
      </w:r>
      <w:r w:rsidR="00571547">
        <w:t>72,9</w:t>
      </w:r>
      <w:r w:rsidR="007474B9" w:rsidRPr="00E864E3">
        <w:t xml:space="preserve"> %). </w:t>
      </w:r>
      <w:r w:rsidR="00766212" w:rsidRPr="00E864E3">
        <w:t>Nejvíc</w:t>
      </w:r>
      <w:r w:rsidR="00FF58C4">
        <w:t>e</w:t>
      </w:r>
      <w:r w:rsidR="00766212" w:rsidRPr="00E864E3">
        <w:t xml:space="preserve"> podnětů se </w:t>
      </w:r>
      <w:r w:rsidR="009F0D55">
        <w:t xml:space="preserve">tradičně </w:t>
      </w:r>
      <w:r w:rsidR="00766212" w:rsidRPr="00E864E3">
        <w:t xml:space="preserve">týkalo </w:t>
      </w:r>
      <w:r w:rsidR="009F0D55">
        <w:t>sociálního zabezpečení</w:t>
      </w:r>
      <w:r w:rsidR="00766212">
        <w:t xml:space="preserve"> </w:t>
      </w:r>
      <w:r w:rsidR="009F0D55">
        <w:t>– zejména důchodů</w:t>
      </w:r>
      <w:r w:rsidR="00A83AD9">
        <w:t xml:space="preserve"> a </w:t>
      </w:r>
      <w:r w:rsidR="009F0D55">
        <w:t xml:space="preserve">dávek </w:t>
      </w:r>
      <w:r w:rsidR="00766212" w:rsidRPr="00E864E3">
        <w:t>(</w:t>
      </w:r>
      <w:r w:rsidR="00102206">
        <w:t>357</w:t>
      </w:r>
      <w:r w:rsidR="009F0D55">
        <w:t>)</w:t>
      </w:r>
      <w:r w:rsidR="00102206">
        <w:t xml:space="preserve">, </w:t>
      </w:r>
      <w:r w:rsidR="009F0D55">
        <w:t>staveb (</w:t>
      </w:r>
      <w:r w:rsidR="00102206">
        <w:t>113</w:t>
      </w:r>
      <w:r w:rsidR="009F0D55">
        <w:t>)</w:t>
      </w:r>
      <w:r w:rsidR="00102206">
        <w:t>, ochrany dětí,  mládeže</w:t>
      </w:r>
      <w:r w:rsidR="00A83AD9">
        <w:t xml:space="preserve"> a </w:t>
      </w:r>
      <w:r w:rsidR="00102206">
        <w:t>rodiny (107)</w:t>
      </w:r>
      <w:r w:rsidR="00766212" w:rsidRPr="00E864E3">
        <w:t>.</w:t>
      </w:r>
    </w:p>
    <w:p w14:paraId="5987D1D4" w14:textId="351F3A1C" w:rsidR="003B015F" w:rsidRDefault="004E323D" w:rsidP="00E864E3">
      <w:pPr>
        <w:pStyle w:val="Zkladntext"/>
      </w:pPr>
      <w:r>
        <w:t>V</w:t>
      </w:r>
      <w:r w:rsidR="00BE4F03">
        <w:t xml:space="preserve"> </w:t>
      </w:r>
      <w:r w:rsidR="00102206">
        <w:rPr>
          <w:rStyle w:val="Siln"/>
        </w:rPr>
        <w:t>82</w:t>
      </w:r>
      <w:r>
        <w:rPr>
          <w:rStyle w:val="Siln"/>
        </w:rPr>
        <w:t xml:space="preserve"> </w:t>
      </w:r>
      <w:r w:rsidR="0046696F">
        <w:t>podnětech</w:t>
      </w:r>
      <w:r>
        <w:t xml:space="preserve"> </w:t>
      </w:r>
      <w:r w:rsidRPr="004E323D">
        <w:t>lidé</w:t>
      </w:r>
      <w:r w:rsidR="007474B9" w:rsidRPr="00E864E3">
        <w:t xml:space="preserve"> </w:t>
      </w:r>
      <w:r>
        <w:t>namítli nerovné zacházení,</w:t>
      </w:r>
      <w:r w:rsidR="00A83AD9">
        <w:t xml:space="preserve"> z </w:t>
      </w:r>
      <w:r>
        <w:t>toho</w:t>
      </w:r>
      <w:r w:rsidR="00A83AD9">
        <w:t xml:space="preserve"> v </w:t>
      </w:r>
      <w:r w:rsidR="00102206">
        <w:rPr>
          <w:rStyle w:val="Siln"/>
        </w:rPr>
        <w:t>61</w:t>
      </w:r>
      <w:r>
        <w:t xml:space="preserve"> </w:t>
      </w:r>
      <w:r w:rsidR="0046696F">
        <w:t>případech</w:t>
      </w:r>
      <w:r w:rsidR="00A83AD9">
        <w:t xml:space="preserve"> z </w:t>
      </w:r>
      <w:r>
        <w:t>důvodů zakázaných antidiskriminačním zákonem.</w:t>
      </w:r>
      <w:r w:rsidR="00A83AD9">
        <w:t xml:space="preserve"> V </w:t>
      </w:r>
      <w:r w:rsidR="00102206">
        <w:rPr>
          <w:rStyle w:val="Siln"/>
        </w:rPr>
        <w:t>11</w:t>
      </w:r>
      <w:r w:rsidR="007474B9" w:rsidRPr="00E864E3">
        <w:t xml:space="preserve"> případech</w:t>
      </w:r>
      <w:r w:rsidR="00335CCC">
        <w:t xml:space="preserve"> ochránce </w:t>
      </w:r>
      <w:r w:rsidR="007474B9" w:rsidRPr="00E864E3">
        <w:t>poskytl informace</w:t>
      </w:r>
      <w:r w:rsidR="00A83AD9">
        <w:t xml:space="preserve"> a </w:t>
      </w:r>
      <w:r w:rsidR="007474B9" w:rsidRPr="00E864E3">
        <w:t>analýzy týkající se diskriminace mezinárodním subj</w:t>
      </w:r>
      <w:r w:rsidR="00E84933" w:rsidRPr="00E864E3">
        <w:t>ektům či vnitrostátním orgánům</w:t>
      </w:r>
      <w:r w:rsidR="003B015F">
        <w:t>.</w:t>
      </w:r>
    </w:p>
    <w:p w14:paraId="4A8996A5" w14:textId="343AD4BF" w:rsidR="007474B9" w:rsidRDefault="00102206" w:rsidP="00E864E3">
      <w:pPr>
        <w:pStyle w:val="Zkladntext"/>
      </w:pPr>
      <w:r>
        <w:t xml:space="preserve">Ochránce uskutečnil </w:t>
      </w:r>
      <w:r>
        <w:rPr>
          <w:rStyle w:val="Siln"/>
        </w:rPr>
        <w:t xml:space="preserve">10 návštěv </w:t>
      </w:r>
      <w:r w:rsidR="007474B9" w:rsidRPr="0046696F">
        <w:rPr>
          <w:rStyle w:val="Siln"/>
        </w:rPr>
        <w:t>zařízení</w:t>
      </w:r>
      <w:r w:rsidR="00A83AD9">
        <w:t xml:space="preserve"> a </w:t>
      </w:r>
      <w:r w:rsidR="0046696F">
        <w:t xml:space="preserve">prostudoval </w:t>
      </w:r>
      <w:r>
        <w:rPr>
          <w:rStyle w:val="Siln"/>
        </w:rPr>
        <w:t>1 387</w:t>
      </w:r>
      <w:r w:rsidR="0046696F" w:rsidRPr="00E864E3">
        <w:t xml:space="preserve"> rozhodnutí</w:t>
      </w:r>
      <w:r w:rsidR="00A83AD9">
        <w:t xml:space="preserve"> o </w:t>
      </w:r>
      <w:r w:rsidR="00CE65F9">
        <w:t>vyhoštění</w:t>
      </w:r>
      <w:r w:rsidR="0046696F">
        <w:t>.</w:t>
      </w:r>
    </w:p>
    <w:p w14:paraId="0F149B15" w14:textId="52C2CD45" w:rsidR="007474B9" w:rsidRDefault="007474B9" w:rsidP="00E864E3">
      <w:pPr>
        <w:pStyle w:val="Zkladntext"/>
      </w:pPr>
      <w:r w:rsidRPr="00E864E3">
        <w:t>Počty podnětů</w:t>
      </w:r>
      <w:r w:rsidR="00A83AD9">
        <w:t xml:space="preserve"> a </w:t>
      </w:r>
      <w:r w:rsidR="00102206">
        <w:t xml:space="preserve">činnost </w:t>
      </w:r>
      <w:r w:rsidRPr="00E864E3">
        <w:t>ilustruj</w:t>
      </w:r>
      <w:r w:rsidR="00102206">
        <w:t>í</w:t>
      </w:r>
      <w:r w:rsidRPr="00E864E3">
        <w:t xml:space="preserve"> </w:t>
      </w:r>
      <w:r w:rsidR="003F1DCB">
        <w:t xml:space="preserve">následující </w:t>
      </w:r>
      <w:r w:rsidR="00102206">
        <w:t>infografiky</w:t>
      </w:r>
      <w:r w:rsidR="003F1DCB">
        <w:t>:</w:t>
      </w:r>
    </w:p>
    <w:p w14:paraId="57B19D60" w14:textId="197CFD49" w:rsidR="00102206" w:rsidRDefault="00102206" w:rsidP="00E864E3">
      <w:pPr>
        <w:pStyle w:val="Zkladntext"/>
      </w:pPr>
    </w:p>
    <w:p w14:paraId="6B0D95E9" w14:textId="55D107BC" w:rsidR="00102206" w:rsidRDefault="00102206" w:rsidP="00E864E3">
      <w:pPr>
        <w:pStyle w:val="Zkladntext"/>
      </w:pPr>
    </w:p>
    <w:p w14:paraId="4F22A930" w14:textId="4C164BFE" w:rsidR="00102206" w:rsidRDefault="00102206" w:rsidP="00E864E3">
      <w:pPr>
        <w:pStyle w:val="Zkladntext"/>
      </w:pPr>
    </w:p>
    <w:p w14:paraId="0E6E3F85" w14:textId="28F3653C" w:rsidR="00102206" w:rsidRDefault="00102206" w:rsidP="00E864E3">
      <w:pPr>
        <w:pStyle w:val="Zkladntext"/>
      </w:pPr>
    </w:p>
    <w:p w14:paraId="1C7F6FB0" w14:textId="0EB30303" w:rsidR="00102206" w:rsidRDefault="00102206" w:rsidP="00E864E3">
      <w:pPr>
        <w:pStyle w:val="Zkladntext"/>
      </w:pPr>
    </w:p>
    <w:p w14:paraId="04874523" w14:textId="1C178CB9" w:rsidR="00102206" w:rsidRDefault="00102206" w:rsidP="00E864E3">
      <w:pPr>
        <w:pStyle w:val="Zkladntext"/>
      </w:pPr>
    </w:p>
    <w:p w14:paraId="4E7E4742" w14:textId="15560EBC" w:rsidR="00102206" w:rsidRDefault="00102206" w:rsidP="00E864E3">
      <w:pPr>
        <w:pStyle w:val="Zkladntext"/>
      </w:pPr>
    </w:p>
    <w:p w14:paraId="217FF5DA" w14:textId="15AF62A0" w:rsidR="00102206" w:rsidRDefault="00102206" w:rsidP="00E864E3">
      <w:pPr>
        <w:pStyle w:val="Zkladntext"/>
      </w:pPr>
    </w:p>
    <w:p w14:paraId="046750AC" w14:textId="7F81DB4E" w:rsidR="00102206" w:rsidRDefault="00102206" w:rsidP="00E864E3">
      <w:pPr>
        <w:pStyle w:val="Zkladntext"/>
      </w:pPr>
    </w:p>
    <w:p w14:paraId="33C732E0" w14:textId="2CC16776" w:rsidR="00102206" w:rsidRDefault="00102206" w:rsidP="00E864E3">
      <w:pPr>
        <w:pStyle w:val="Zkladntext"/>
      </w:pPr>
    </w:p>
    <w:p w14:paraId="12AAE087" w14:textId="1402FDED" w:rsidR="00102206" w:rsidRDefault="00102206" w:rsidP="00E864E3">
      <w:pPr>
        <w:pStyle w:val="Zkladntext"/>
      </w:pPr>
    </w:p>
    <w:p w14:paraId="51D43122" w14:textId="0AC0DB57" w:rsidR="00102206" w:rsidRDefault="00102206" w:rsidP="00E864E3">
      <w:pPr>
        <w:pStyle w:val="Zkladntext"/>
      </w:pPr>
    </w:p>
    <w:p w14:paraId="23AB4484" w14:textId="0D3671C6" w:rsidR="00102206" w:rsidRDefault="00102206" w:rsidP="00E864E3">
      <w:pPr>
        <w:pStyle w:val="Zkladntext"/>
      </w:pPr>
    </w:p>
    <w:p w14:paraId="7CB75EB1" w14:textId="4260F121" w:rsidR="00102206" w:rsidRDefault="00102206" w:rsidP="00E864E3">
      <w:pPr>
        <w:pStyle w:val="Zkladntext"/>
      </w:pPr>
    </w:p>
    <w:p w14:paraId="1C0F4E26" w14:textId="41573F68" w:rsidR="00102206" w:rsidRDefault="00102206" w:rsidP="00E864E3">
      <w:pPr>
        <w:pStyle w:val="Zkladntext"/>
      </w:pPr>
    </w:p>
    <w:p w14:paraId="4B285970" w14:textId="4DAA6891" w:rsidR="00102206" w:rsidRDefault="00102206" w:rsidP="00E864E3">
      <w:pPr>
        <w:pStyle w:val="Zkladntext"/>
      </w:pPr>
    </w:p>
    <w:p w14:paraId="1D7A5F5D" w14:textId="655A04F5" w:rsidR="00102206" w:rsidRDefault="00102206" w:rsidP="00E864E3">
      <w:pPr>
        <w:pStyle w:val="Zkladntext"/>
      </w:pPr>
    </w:p>
    <w:p w14:paraId="497D1900" w14:textId="30ACC9A8" w:rsidR="00102206" w:rsidRDefault="00102206" w:rsidP="00E864E3">
      <w:pPr>
        <w:pStyle w:val="Zkladntext"/>
      </w:pPr>
    </w:p>
    <w:p w14:paraId="6FC0FB02" w14:textId="4BB77B57" w:rsidR="00102206" w:rsidRDefault="00102206" w:rsidP="00E864E3">
      <w:pPr>
        <w:pStyle w:val="Zkladntext"/>
      </w:pPr>
    </w:p>
    <w:p w14:paraId="590388C7" w14:textId="09860A4D" w:rsidR="00102206" w:rsidRDefault="00A83AD9" w:rsidP="00E864E3">
      <w:pPr>
        <w:pStyle w:val="Zkladntext"/>
      </w:pPr>
      <w:r>
        <w:pict w14:anchorId="616C5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95pt;height:601.2pt">
            <v:imagedata r:id="rId11" o:title="Podněty 2"/>
          </v:shape>
        </w:pict>
      </w:r>
    </w:p>
    <w:p w14:paraId="07033C6F" w14:textId="774E2F97" w:rsidR="00102206" w:rsidRDefault="00102206" w:rsidP="00E864E3">
      <w:pPr>
        <w:pStyle w:val="Zkladntext"/>
      </w:pPr>
    </w:p>
    <w:p w14:paraId="0D84AC7E" w14:textId="0D450342" w:rsidR="00102206" w:rsidRDefault="00102206" w:rsidP="00E864E3">
      <w:pPr>
        <w:pStyle w:val="Zkladntext"/>
      </w:pPr>
    </w:p>
    <w:p w14:paraId="2B9AAC22" w14:textId="73CFBF36" w:rsidR="00102206" w:rsidRDefault="00102206" w:rsidP="00E864E3">
      <w:pPr>
        <w:pStyle w:val="Zkladntext"/>
      </w:pPr>
    </w:p>
    <w:p w14:paraId="03E770A2" w14:textId="25A5F7F1" w:rsidR="00102206" w:rsidRDefault="00102206" w:rsidP="00E864E3">
      <w:pPr>
        <w:pStyle w:val="Zkladntext"/>
      </w:pPr>
    </w:p>
    <w:p w14:paraId="248E2C14" w14:textId="5FD3FC8B" w:rsidR="003F1DCB" w:rsidRPr="00985173" w:rsidRDefault="00A83AD9" w:rsidP="00985173">
      <w:r>
        <w:pict w14:anchorId="6860260A">
          <v:shape id="_x0000_i1026" type="#_x0000_t75" style="width:424.95pt;height:601.2pt">
            <v:imagedata r:id="rId12" o:title="Činnost 2"/>
          </v:shape>
        </w:pict>
      </w:r>
    </w:p>
    <w:p w14:paraId="7D3DBE9F" w14:textId="77777777" w:rsidR="003F183A" w:rsidRPr="007A435D" w:rsidRDefault="00E84933" w:rsidP="007A435D">
      <w:pPr>
        <w:pStyle w:val="Nadpis2"/>
      </w:pPr>
      <w:bookmarkStart w:id="24" w:name="_Toc141694093"/>
      <w:r w:rsidRPr="007A435D">
        <w:t>Veřejná správa</w:t>
      </w:r>
      <w:bookmarkEnd w:id="24"/>
    </w:p>
    <w:p w14:paraId="44C6E547" w14:textId="16B479C3" w:rsidR="0094030F" w:rsidRDefault="0094030F" w:rsidP="0094030F">
      <w:pPr>
        <w:pStyle w:val="Zkladntext"/>
      </w:pPr>
      <w:r w:rsidRPr="0094030F">
        <w:t>Již</w:t>
      </w:r>
      <w:r w:rsidR="00A83AD9">
        <w:t xml:space="preserve"> od </w:t>
      </w:r>
      <w:r w:rsidRPr="0094030F">
        <w:t xml:space="preserve">roku 2001 ochránce chrání osoby před nezákonným či jinak nesprávným jednáním nebo nečinností správních úřadů. </w:t>
      </w:r>
      <w:r>
        <w:t>M</w:t>
      </w:r>
      <w:r w:rsidRPr="0094030F">
        <w:t>á právo nahlížet</w:t>
      </w:r>
      <w:r w:rsidR="00A83AD9">
        <w:t xml:space="preserve"> do </w:t>
      </w:r>
      <w:r w:rsidRPr="0094030F">
        <w:t>spisů, žádat úřady</w:t>
      </w:r>
      <w:r w:rsidR="00A83AD9">
        <w:t xml:space="preserve"> o </w:t>
      </w:r>
      <w:r w:rsidRPr="0094030F">
        <w:t>vysvětlení</w:t>
      </w:r>
      <w:r w:rsidR="00A83AD9">
        <w:t xml:space="preserve"> a </w:t>
      </w:r>
      <w:r w:rsidRPr="0094030F">
        <w:t xml:space="preserve">může </w:t>
      </w:r>
      <w:r>
        <w:t>vést</w:t>
      </w:r>
      <w:r w:rsidRPr="0094030F">
        <w:t xml:space="preserve"> místní šetření. </w:t>
      </w:r>
      <w:r>
        <w:t>Zjistí</w:t>
      </w:r>
      <w:r>
        <w:noBreakHyphen/>
        <w:t>li</w:t>
      </w:r>
      <w:r w:rsidRPr="0094030F">
        <w:t xml:space="preserve"> pochybení úřadu</w:t>
      </w:r>
      <w:r>
        <w:t>, doporučuje opatření</w:t>
      </w:r>
      <w:r w:rsidR="00A83AD9">
        <w:t xml:space="preserve"> k </w:t>
      </w:r>
      <w:r>
        <w:t>nápravě, rozhodnutí úřadu nemůže zrušit ani nahradit.</w:t>
      </w:r>
    </w:p>
    <w:p w14:paraId="0C984E71" w14:textId="3719053F" w:rsidR="004C52FA" w:rsidRDefault="006B0CE0" w:rsidP="006B0CE0">
      <w:pPr>
        <w:pStyle w:val="Nadpis3"/>
      </w:pPr>
      <w:bookmarkStart w:id="25" w:name="_Toc141694094"/>
      <w:r w:rsidRPr="006B0CE0">
        <w:t>Připomínky veřejného ochránce práv</w:t>
      </w:r>
      <w:r w:rsidR="00A83AD9">
        <w:t xml:space="preserve"> k </w:t>
      </w:r>
      <w:r w:rsidRPr="006B0CE0">
        <w:t>návrhům právních předpisů</w:t>
      </w:r>
      <w:bookmarkEnd w:id="25"/>
    </w:p>
    <w:p w14:paraId="2760716B" w14:textId="78A58AD5" w:rsidR="006B0CE0" w:rsidRDefault="006B0CE0" w:rsidP="006B0CE0">
      <w:pPr>
        <w:pStyle w:val="Zkladntext"/>
        <w:spacing w:after="0"/>
      </w:pPr>
      <w:r>
        <w:t>Ochránce se jako připomínkové místo</w:t>
      </w:r>
      <w:r w:rsidR="00A83AD9">
        <w:t xml:space="preserve"> pro </w:t>
      </w:r>
      <w:r>
        <w:t>meziresortní připomínkové řízení aktivně zapojuje</w:t>
      </w:r>
    </w:p>
    <w:p w14:paraId="298BFF7C" w14:textId="2E2B5516" w:rsidR="006B0CE0" w:rsidRDefault="006B0CE0" w:rsidP="006B0CE0">
      <w:pPr>
        <w:pStyle w:val="Zkladntext"/>
        <w:spacing w:after="0"/>
      </w:pPr>
      <w:r>
        <w:t>do připomínkování právních předpisů</w:t>
      </w:r>
      <w:r w:rsidR="00A83AD9">
        <w:t xml:space="preserve"> i </w:t>
      </w:r>
      <w:r>
        <w:t>nelegislativních materiálů, které předkládají jednotlivá ministerstva či vláda</w:t>
      </w:r>
      <w:r w:rsidR="00A83AD9">
        <w:t xml:space="preserve"> a </w:t>
      </w:r>
      <w:r>
        <w:t>spadají</w:t>
      </w:r>
      <w:r w:rsidR="00A83AD9">
        <w:t xml:space="preserve"> do </w:t>
      </w:r>
      <w:r>
        <w:t>jeho působnosti.</w:t>
      </w:r>
      <w:r w:rsidR="00A83AD9">
        <w:t xml:space="preserve"> V </w:t>
      </w:r>
      <w:r>
        <w:t>druhé</w:t>
      </w:r>
      <w:r w:rsidR="00375C5C">
        <w:t>m</w:t>
      </w:r>
      <w:r>
        <w:t xml:space="preserve"> čtvrtletí tohoto roku</w:t>
      </w:r>
    </w:p>
    <w:p w14:paraId="0721508F" w14:textId="1F935281" w:rsidR="006B0CE0" w:rsidRDefault="006B0CE0" w:rsidP="006B0CE0">
      <w:pPr>
        <w:pStyle w:val="Zkladntext"/>
        <w:spacing w:after="0"/>
      </w:pPr>
      <w:r>
        <w:t>ochránce vstoupil prostřednictvím uplatněných připomínek</w:t>
      </w:r>
      <w:r w:rsidR="00A83AD9">
        <w:t xml:space="preserve"> do </w:t>
      </w:r>
      <w:r w:rsidR="0029313E">
        <w:t>5</w:t>
      </w:r>
      <w:r>
        <w:t xml:space="preserve"> řízení</w:t>
      </w:r>
      <w:r w:rsidR="00A83AD9">
        <w:t xml:space="preserve"> o </w:t>
      </w:r>
      <w:r>
        <w:t>návrzích právních</w:t>
      </w:r>
      <w:r w:rsidR="009C41E5">
        <w:t xml:space="preserve"> </w:t>
      </w:r>
      <w:r>
        <w:t>předpisů.</w:t>
      </w:r>
      <w:r w:rsidR="00A83AD9">
        <w:t xml:space="preserve"> V </w:t>
      </w:r>
      <w:r>
        <w:t>připomínkách pak celkově vznesl 1</w:t>
      </w:r>
      <w:r w:rsidR="0029313E">
        <w:t>6</w:t>
      </w:r>
      <w:r>
        <w:t>7 dílčích připomínek.</w:t>
      </w:r>
      <w:r w:rsidR="00A83AD9">
        <w:t xml:space="preserve"> Ve </w:t>
      </w:r>
      <w:r>
        <w:t>stejném období roku 2022 ochránce vstoupil prostřednictvím uplatněných připomínek</w:t>
      </w:r>
      <w:r w:rsidR="00A83AD9">
        <w:t xml:space="preserve"> do </w:t>
      </w:r>
      <w:r>
        <w:t>21 řízení</w:t>
      </w:r>
      <w:r w:rsidR="00A83AD9">
        <w:t xml:space="preserve"> o </w:t>
      </w:r>
      <w:r>
        <w:t>návrzích právních předpisů</w:t>
      </w:r>
      <w:r w:rsidR="00A83AD9">
        <w:t xml:space="preserve"> a </w:t>
      </w:r>
      <w:r>
        <w:t>vznesl celkem 146 dílčích připomínek. Tuto činnost ochránce ilustruje následující obráz</w:t>
      </w:r>
      <w:r w:rsidR="0029313E">
        <w:t>ek</w:t>
      </w:r>
      <w:r>
        <w:t>:</w:t>
      </w:r>
    </w:p>
    <w:p w14:paraId="3EF1D902" w14:textId="296540FB" w:rsidR="006B0CE0" w:rsidRDefault="006B0CE0" w:rsidP="006B0CE0">
      <w:pPr>
        <w:pStyle w:val="Zkladntext"/>
        <w:spacing w:after="0"/>
      </w:pPr>
    </w:p>
    <w:p w14:paraId="2C7AADE2" w14:textId="019AC5D1" w:rsidR="006B0CE0" w:rsidRDefault="006B0CE0" w:rsidP="006B0CE0">
      <w:pPr>
        <w:pStyle w:val="Zkladntext"/>
        <w:spacing w:after="0"/>
      </w:pPr>
    </w:p>
    <w:p w14:paraId="29A38FBC" w14:textId="7E9C5E9D" w:rsidR="006B0CE0" w:rsidRDefault="00A83AD9" w:rsidP="006B0CE0">
      <w:pPr>
        <w:pStyle w:val="Zkladntext"/>
        <w:spacing w:after="0"/>
      </w:pPr>
      <w:r>
        <w:pict w14:anchorId="226D9789">
          <v:shape id="_x0000_i1027" type="#_x0000_t75" style="width:424.95pt;height:369.3pt">
            <v:imagedata r:id="rId13" o:title="připomínky (oprava)"/>
          </v:shape>
        </w:pict>
      </w:r>
    </w:p>
    <w:p w14:paraId="292FCBCE" w14:textId="77777777" w:rsidR="006B0CE0" w:rsidRDefault="006B0CE0" w:rsidP="006B0CE0">
      <w:pPr>
        <w:pStyle w:val="Zkladntext"/>
        <w:spacing w:after="0"/>
      </w:pPr>
    </w:p>
    <w:p w14:paraId="1E4A6CA9" w14:textId="77777777" w:rsidR="006B0CE0" w:rsidRDefault="006B0CE0" w:rsidP="004C52FA">
      <w:pPr>
        <w:pStyle w:val="Zkladntext"/>
        <w:rPr>
          <w:b/>
        </w:rPr>
      </w:pPr>
    </w:p>
    <w:p w14:paraId="68B28EA9" w14:textId="2996A254" w:rsidR="004C52FA" w:rsidRPr="004C52FA" w:rsidRDefault="004C52FA" w:rsidP="004C52FA">
      <w:pPr>
        <w:pStyle w:val="Zkladntext"/>
        <w:rPr>
          <w:b/>
        </w:rPr>
      </w:pPr>
      <w:r w:rsidRPr="004C52FA">
        <w:rPr>
          <w:b/>
        </w:rPr>
        <w:t>Připomínky</w:t>
      </w:r>
      <w:r w:rsidR="00A83AD9">
        <w:rPr>
          <w:b/>
        </w:rPr>
        <w:t xml:space="preserve"> k </w:t>
      </w:r>
      <w:r w:rsidRPr="004C52FA">
        <w:rPr>
          <w:b/>
        </w:rPr>
        <w:t>návrhu zákona</w:t>
      </w:r>
      <w:r w:rsidR="00A83AD9">
        <w:rPr>
          <w:b/>
        </w:rPr>
        <w:t xml:space="preserve"> o </w:t>
      </w:r>
      <w:r w:rsidRPr="004C52FA">
        <w:rPr>
          <w:b/>
        </w:rPr>
        <w:t>podpoře</w:t>
      </w:r>
      <w:r w:rsidR="00A83AD9">
        <w:rPr>
          <w:b/>
        </w:rPr>
        <w:t xml:space="preserve"> v </w:t>
      </w:r>
      <w:r w:rsidRPr="004C52FA">
        <w:rPr>
          <w:b/>
        </w:rPr>
        <w:t>bydlení</w:t>
      </w:r>
      <w:r w:rsidR="00F302F7">
        <w:rPr>
          <w:rStyle w:val="Znakapoznpodarou"/>
          <w:b w:val="0"/>
        </w:rPr>
        <w:footnoteReference w:id="1"/>
      </w:r>
    </w:p>
    <w:p w14:paraId="5332EB9A" w14:textId="74BFBE50" w:rsidR="00964717" w:rsidRPr="005E3C68" w:rsidRDefault="004C52FA" w:rsidP="00964717">
      <w:pPr>
        <w:pStyle w:val="Zkladntext"/>
      </w:pPr>
      <w:r>
        <w:t>Ochránce uplatnil zásadní připomínky</w:t>
      </w:r>
      <w:r w:rsidR="00A83AD9">
        <w:t xml:space="preserve"> k </w:t>
      </w:r>
      <w:r>
        <w:t>návrhu zákona</w:t>
      </w:r>
      <w:r w:rsidR="00A83AD9">
        <w:t xml:space="preserve"> o </w:t>
      </w:r>
      <w:r>
        <w:t>podpoře</w:t>
      </w:r>
      <w:r w:rsidR="00A83AD9">
        <w:t xml:space="preserve"> v </w:t>
      </w:r>
      <w:r>
        <w:t xml:space="preserve">bydlení. </w:t>
      </w:r>
      <w:r w:rsidR="00964717">
        <w:t>Zejména upozornil</w:t>
      </w:r>
      <w:r w:rsidR="00A83AD9">
        <w:t xml:space="preserve"> na </w:t>
      </w:r>
      <w:r w:rsidR="00964717">
        <w:t>to, že n</w:t>
      </w:r>
      <w:r w:rsidR="00964717" w:rsidRPr="005E3C68">
        <w:t>amísto zákona</w:t>
      </w:r>
      <w:r w:rsidR="00A83AD9">
        <w:t xml:space="preserve"> o </w:t>
      </w:r>
      <w:r w:rsidR="00964717" w:rsidRPr="005E3C68">
        <w:t>sociálním bydlení, který má vláda</w:t>
      </w:r>
      <w:r w:rsidR="00A83AD9">
        <w:t xml:space="preserve"> ve </w:t>
      </w:r>
      <w:r w:rsidR="00964717" w:rsidRPr="005E3C68">
        <w:t>svém programovém prohlášení, ministerstvo předložilo zákon</w:t>
      </w:r>
      <w:r w:rsidR="00A83AD9">
        <w:t xml:space="preserve"> o </w:t>
      </w:r>
      <w:r w:rsidR="00964717" w:rsidRPr="005E3C68">
        <w:t>podpoře</w:t>
      </w:r>
      <w:r w:rsidR="00A83AD9">
        <w:t xml:space="preserve"> v </w:t>
      </w:r>
      <w:r w:rsidR="00964717" w:rsidRPr="005E3C68">
        <w:t xml:space="preserve">bydlení. Ačkoliv </w:t>
      </w:r>
      <w:r w:rsidR="00C33BCA">
        <w:t xml:space="preserve"> ochránce </w:t>
      </w:r>
      <w:r w:rsidR="00964717" w:rsidRPr="005E3C68">
        <w:t>oceňuj</w:t>
      </w:r>
      <w:r w:rsidR="00C33BCA">
        <w:t>e</w:t>
      </w:r>
      <w:r w:rsidR="00964717" w:rsidRPr="005E3C68">
        <w:t>, že vláda učinila tento krok</w:t>
      </w:r>
      <w:r w:rsidR="00A83AD9">
        <w:t xml:space="preserve"> ke </w:t>
      </w:r>
      <w:r w:rsidR="00964717" w:rsidRPr="005E3C68">
        <w:t>zlepšení bytové nouze,</w:t>
      </w:r>
      <w:r w:rsidR="00A83AD9">
        <w:t xml:space="preserve"> od </w:t>
      </w:r>
      <w:r w:rsidR="00964717" w:rsidRPr="005E3C68">
        <w:t>dříve připravovaných variant zákona</w:t>
      </w:r>
      <w:r w:rsidR="00A83AD9">
        <w:t xml:space="preserve"> o </w:t>
      </w:r>
      <w:r w:rsidR="00964717" w:rsidRPr="005E3C68">
        <w:t>sociálním bydlení se liší</w:t>
      </w:r>
      <w:r w:rsidR="00A83AD9">
        <w:t xml:space="preserve"> v </w:t>
      </w:r>
      <w:r w:rsidR="00964717" w:rsidRPr="005E3C68">
        <w:t xml:space="preserve">jednom zásadním </w:t>
      </w:r>
      <w:r w:rsidR="00964717" w:rsidRPr="00C33BCA">
        <w:t xml:space="preserve">bodě – </w:t>
      </w:r>
      <w:r w:rsidR="00964717" w:rsidRPr="00C33BCA">
        <w:rPr>
          <w:bCs/>
        </w:rPr>
        <w:t>nikomu nestanoví povinnost sociální bydlení skutečně zajišťovat</w:t>
      </w:r>
      <w:r w:rsidR="00964717" w:rsidRPr="00C33BCA">
        <w:t xml:space="preserve">. </w:t>
      </w:r>
      <w:r w:rsidR="00964717" w:rsidRPr="005E3C68">
        <w:t>Zákon</w:t>
      </w:r>
      <w:r w:rsidR="00A83AD9">
        <w:t xml:space="preserve"> o </w:t>
      </w:r>
      <w:r w:rsidR="00964717" w:rsidRPr="005E3C68">
        <w:t>podpoře</w:t>
      </w:r>
      <w:r w:rsidR="00A83AD9">
        <w:t xml:space="preserve"> v </w:t>
      </w:r>
      <w:r w:rsidR="00964717" w:rsidRPr="005E3C68">
        <w:t>bydlení počítá</w:t>
      </w:r>
      <w:r w:rsidR="00A83AD9">
        <w:t xml:space="preserve"> s </w:t>
      </w:r>
      <w:r w:rsidR="00964717" w:rsidRPr="005E3C68">
        <w:t>dobrovolným zapojením obcí</w:t>
      </w:r>
      <w:r w:rsidR="00A83AD9">
        <w:t xml:space="preserve"> i </w:t>
      </w:r>
      <w:r w:rsidR="00964717" w:rsidRPr="005E3C68">
        <w:t>jiných vlastníků bytů</w:t>
      </w:r>
      <w:r w:rsidR="00A83AD9">
        <w:t xml:space="preserve"> s </w:t>
      </w:r>
      <w:r w:rsidR="00964717" w:rsidRPr="005E3C68">
        <w:t>tím, že</w:t>
      </w:r>
      <w:r w:rsidR="00A83AD9">
        <w:t xml:space="preserve"> do </w:t>
      </w:r>
      <w:r w:rsidR="00964717" w:rsidRPr="005E3C68">
        <w:t>připravovaného systému své byty potřebným lidem poskytnou. Úspěch celého systému tak stojí</w:t>
      </w:r>
      <w:r w:rsidR="00A83AD9">
        <w:t xml:space="preserve"> a </w:t>
      </w:r>
      <w:r w:rsidR="00964717" w:rsidRPr="005E3C68">
        <w:t>padá</w:t>
      </w:r>
      <w:r w:rsidR="00A83AD9">
        <w:t xml:space="preserve"> s </w:t>
      </w:r>
      <w:r w:rsidR="00964717" w:rsidRPr="005E3C68">
        <w:t>ochotou poskytovatelů bydlení byty</w:t>
      </w:r>
      <w:r w:rsidR="00A83AD9">
        <w:t xml:space="preserve"> do </w:t>
      </w:r>
      <w:r w:rsidR="00964717" w:rsidRPr="005E3C68">
        <w:t>systému nabídnout. To samozřejmě přináší jak riziko, že bytů nebude dostatek</w:t>
      </w:r>
      <w:r w:rsidR="00A83AD9">
        <w:t xml:space="preserve"> pro </w:t>
      </w:r>
      <w:r w:rsidR="00964717" w:rsidRPr="005E3C68">
        <w:t xml:space="preserve">všechny potřebné, tak také riziko regionálních nerovností. Už nyní jsou totiž znatelné rozdíly mezi obcemi, kdy některé disponují velkým bytovým fondem, jiné naopak svůj bytový fond privatizovaly. Stejně tak </w:t>
      </w:r>
      <w:r w:rsidR="00602222">
        <w:t xml:space="preserve">je </w:t>
      </w:r>
      <w:r w:rsidR="00964717" w:rsidRPr="005E3C68">
        <w:t>míra sociálního vyloučení</w:t>
      </w:r>
      <w:r w:rsidR="00A83AD9">
        <w:t xml:space="preserve"> a s </w:t>
      </w:r>
      <w:r w:rsidR="00964717" w:rsidRPr="005E3C68">
        <w:t>ním spojené bytové nouze</w:t>
      </w:r>
      <w:r w:rsidR="00A83AD9">
        <w:t xml:space="preserve"> v </w:t>
      </w:r>
      <w:r w:rsidR="00964717" w:rsidRPr="005E3C68">
        <w:t>jednotlivých regionech našeho státu rozdílná</w:t>
      </w:r>
      <w:r w:rsidR="00602222">
        <w:t>. O</w:t>
      </w:r>
      <w:r w:rsidR="00964717" w:rsidRPr="005E3C68">
        <w:t>chota poskytovat byty</w:t>
      </w:r>
      <w:r w:rsidR="00A83AD9">
        <w:t xml:space="preserve"> do </w:t>
      </w:r>
      <w:r w:rsidR="00964717" w:rsidRPr="005E3C68">
        <w:t>systému podporovaného bydlení může být nižší právě</w:t>
      </w:r>
      <w:r w:rsidR="00A83AD9">
        <w:t xml:space="preserve"> v </w:t>
      </w:r>
      <w:r w:rsidR="00964717" w:rsidRPr="005E3C68">
        <w:t>těch regionech, kde bude poptávka</w:t>
      </w:r>
      <w:r w:rsidR="00A83AD9">
        <w:t xml:space="preserve"> po </w:t>
      </w:r>
      <w:r w:rsidR="00964717" w:rsidRPr="005E3C68">
        <w:t xml:space="preserve">nich nejvyšší. </w:t>
      </w:r>
    </w:p>
    <w:p w14:paraId="638548E3" w14:textId="5A13FDF3" w:rsidR="00964717" w:rsidRPr="005E3C68" w:rsidRDefault="00C33BCA" w:rsidP="00964717">
      <w:pPr>
        <w:pStyle w:val="Zkladntext"/>
      </w:pPr>
      <w:r>
        <w:t xml:space="preserve">Za další nedostatek zákona ochránce považuje </w:t>
      </w:r>
      <w:r w:rsidR="00964717" w:rsidRPr="005E3C68">
        <w:t>jeho obsáhlost</w:t>
      </w:r>
      <w:r w:rsidR="00A83AD9">
        <w:t xml:space="preserve"> a </w:t>
      </w:r>
      <w:r w:rsidR="00964717" w:rsidRPr="005E3C68">
        <w:t>kazuisti</w:t>
      </w:r>
      <w:r>
        <w:t xml:space="preserve">čnost, které </w:t>
      </w:r>
      <w:r w:rsidR="00964717" w:rsidRPr="005E3C68">
        <w:t>může být</w:t>
      </w:r>
      <w:r w:rsidR="00A83AD9">
        <w:t xml:space="preserve"> pro </w:t>
      </w:r>
      <w:r w:rsidR="00964717" w:rsidRPr="005E3C68">
        <w:t xml:space="preserve">mnoho občanů, kterým je určen, nesrozumitelný. Nakolik funkčním nástrojem však tento zákon skutečně bude, ukáže až praxe. </w:t>
      </w:r>
      <w:r>
        <w:t>Ochránce má</w:t>
      </w:r>
      <w:r w:rsidR="00A83AD9">
        <w:t xml:space="preserve"> za </w:t>
      </w:r>
      <w:r>
        <w:t xml:space="preserve">to, </w:t>
      </w:r>
      <w:r w:rsidR="00964717" w:rsidRPr="005E3C68">
        <w:t>že</w:t>
      </w:r>
      <w:r w:rsidR="00A83AD9">
        <w:t xml:space="preserve"> po </w:t>
      </w:r>
      <w:r w:rsidR="00964717" w:rsidRPr="005E3C68">
        <w:t>určité době jeho účinnosti by měla vláda provést vyhodnocení, zda je nástrojem dostatečným,</w:t>
      </w:r>
      <w:r w:rsidR="00A83AD9">
        <w:t xml:space="preserve"> a </w:t>
      </w:r>
      <w:r w:rsidR="00964717" w:rsidRPr="005E3C68">
        <w:t xml:space="preserve">to napříč všemi regiony </w:t>
      </w:r>
      <w:r w:rsidR="00A83AD9">
        <w:t xml:space="preserve"> a </w:t>
      </w:r>
      <w:r w:rsidR="00964717" w:rsidRPr="005E3C68">
        <w:t>vůči všem skupinám zvlášť potřebných osob, či zda bude přece jen třeba doplnit jej dalším opatřením, například nejen třeba zákonem</w:t>
      </w:r>
      <w:r w:rsidR="00A83AD9">
        <w:t xml:space="preserve"> o </w:t>
      </w:r>
      <w:r w:rsidR="00964717" w:rsidRPr="005E3C68">
        <w:t xml:space="preserve">bydlení sociálním. </w:t>
      </w:r>
    </w:p>
    <w:p w14:paraId="2517CF60" w14:textId="12D14E22" w:rsidR="004C52FA" w:rsidRDefault="006C2431" w:rsidP="004C52FA">
      <w:pPr>
        <w:pStyle w:val="Zkladntext"/>
        <w:rPr>
          <w:rStyle w:val="Siln"/>
          <w:b w:val="0"/>
        </w:rPr>
      </w:pPr>
      <w:r>
        <w:t xml:space="preserve">Ochránce </w:t>
      </w:r>
      <w:r w:rsidR="00C33BCA">
        <w:t>se také zaměřil</w:t>
      </w:r>
      <w:r w:rsidR="00A83AD9">
        <w:t xml:space="preserve"> na </w:t>
      </w:r>
      <w:r w:rsidR="00C33BCA">
        <w:t>ty části návrhu zákona</w:t>
      </w:r>
      <w:r>
        <w:t>, kter</w:t>
      </w:r>
      <w:r w:rsidR="00C33BCA">
        <w:t>é</w:t>
      </w:r>
      <w:r>
        <w:t xml:space="preserve"> se týkají</w:t>
      </w:r>
      <w:r w:rsidR="00C33BCA">
        <w:t xml:space="preserve"> jeho činnosti spočívající </w:t>
      </w:r>
      <w:r w:rsidR="00A83AD9">
        <w:t xml:space="preserve"> v </w:t>
      </w:r>
      <w:r w:rsidR="004C52FA" w:rsidRPr="005E3C68">
        <w:rPr>
          <w:rStyle w:val="Siln"/>
          <w:b w:val="0"/>
        </w:rPr>
        <w:t>monitor</w:t>
      </w:r>
      <w:r w:rsidR="00C33BCA">
        <w:rPr>
          <w:rStyle w:val="Siln"/>
          <w:b w:val="0"/>
        </w:rPr>
        <w:t xml:space="preserve">ingu </w:t>
      </w:r>
      <w:r w:rsidR="004C52FA" w:rsidRPr="005E3C68">
        <w:rPr>
          <w:rStyle w:val="Siln"/>
          <w:b w:val="0"/>
        </w:rPr>
        <w:t>naplňování Úmluvy</w:t>
      </w:r>
      <w:r>
        <w:rPr>
          <w:rStyle w:val="Siln"/>
          <w:b w:val="0"/>
        </w:rPr>
        <w:t>.</w:t>
      </w:r>
      <w:r w:rsidR="004C52FA" w:rsidRPr="005E3C68">
        <w:rPr>
          <w:b/>
          <w:color w:val="008576"/>
          <w:vertAlign w:val="superscript"/>
        </w:rPr>
        <w:footnoteReference w:id="2"/>
      </w:r>
      <w:r w:rsidR="004C52FA" w:rsidRPr="005E3C68">
        <w:rPr>
          <w:rStyle w:val="Siln"/>
          <w:b w:val="0"/>
        </w:rPr>
        <w:t xml:space="preserve"> </w:t>
      </w:r>
      <w:r>
        <w:rPr>
          <w:rStyle w:val="Siln"/>
          <w:b w:val="0"/>
        </w:rPr>
        <w:t>O</w:t>
      </w:r>
      <w:r w:rsidR="004C52FA">
        <w:rPr>
          <w:rStyle w:val="Siln"/>
          <w:b w:val="0"/>
        </w:rPr>
        <w:t>chránce doporučil</w:t>
      </w:r>
      <w:r w:rsidR="004C52FA" w:rsidRPr="005E3C68">
        <w:rPr>
          <w:rStyle w:val="Siln"/>
          <w:b w:val="0"/>
        </w:rPr>
        <w:t>, aby předkladatel</w:t>
      </w:r>
      <w:r w:rsidR="00A83AD9">
        <w:rPr>
          <w:rStyle w:val="Siln"/>
          <w:b w:val="0"/>
        </w:rPr>
        <w:t xml:space="preserve"> při </w:t>
      </w:r>
      <w:r w:rsidR="004C52FA" w:rsidRPr="005E3C68">
        <w:rPr>
          <w:rStyle w:val="Siln"/>
          <w:b w:val="0"/>
        </w:rPr>
        <w:t>tvorbě vyhlášek či metodik, které budou podstatné</w:t>
      </w:r>
      <w:r w:rsidR="00A83AD9">
        <w:rPr>
          <w:rStyle w:val="Siln"/>
          <w:b w:val="0"/>
        </w:rPr>
        <w:t xml:space="preserve"> pro </w:t>
      </w:r>
      <w:r w:rsidR="004C52FA" w:rsidRPr="005E3C68">
        <w:rPr>
          <w:rStyle w:val="Siln"/>
          <w:b w:val="0"/>
        </w:rPr>
        <w:t>provádění tohoto zákona, neopomněl zohlednit potřeby lidí</w:t>
      </w:r>
      <w:r w:rsidR="00A83AD9">
        <w:rPr>
          <w:rStyle w:val="Siln"/>
          <w:b w:val="0"/>
        </w:rPr>
        <w:t xml:space="preserve"> s </w:t>
      </w:r>
      <w:r w:rsidR="004C52FA" w:rsidRPr="005E3C68">
        <w:rPr>
          <w:rStyle w:val="Siln"/>
          <w:b w:val="0"/>
        </w:rPr>
        <w:t>postižením (v celém jejich širokém spektru).</w:t>
      </w:r>
    </w:p>
    <w:p w14:paraId="3D9630ED" w14:textId="115879A2" w:rsidR="00F302F7" w:rsidRDefault="00F302F7" w:rsidP="00F302F7">
      <w:pPr>
        <w:pStyle w:val="Zkladntext"/>
        <w:rPr>
          <w:b/>
        </w:rPr>
      </w:pPr>
      <w:r w:rsidRPr="004C52FA">
        <w:rPr>
          <w:b/>
        </w:rPr>
        <w:t>Připomínky</w:t>
      </w:r>
      <w:r w:rsidR="00A83AD9">
        <w:rPr>
          <w:b/>
        </w:rPr>
        <w:t xml:space="preserve"> k </w:t>
      </w:r>
      <w:r>
        <w:rPr>
          <w:b/>
        </w:rPr>
        <w:t xml:space="preserve">novele </w:t>
      </w:r>
      <w:r w:rsidRPr="00F302F7">
        <w:rPr>
          <w:b/>
        </w:rPr>
        <w:t>zákona</w:t>
      </w:r>
      <w:r w:rsidR="00A83AD9">
        <w:rPr>
          <w:b/>
        </w:rPr>
        <w:t xml:space="preserve"> o </w:t>
      </w:r>
      <w:r w:rsidRPr="00F302F7">
        <w:rPr>
          <w:b/>
        </w:rPr>
        <w:t>důchodovém pojištění</w:t>
      </w:r>
      <w:r>
        <w:rPr>
          <w:rStyle w:val="Znakapoznpodarou"/>
          <w:b w:val="0"/>
        </w:rPr>
        <w:footnoteReference w:id="3"/>
      </w:r>
    </w:p>
    <w:p w14:paraId="5669385E" w14:textId="7F7FC639" w:rsidR="007B3D41" w:rsidRPr="007B3D41" w:rsidRDefault="007B3D41" w:rsidP="007B3D41">
      <w:pPr>
        <w:pStyle w:val="Zkladntext"/>
        <w:rPr>
          <w:rFonts w:eastAsia="Calibri"/>
        </w:rPr>
      </w:pPr>
      <w:r>
        <w:t>Ochránce mimo jiné upozornil</w:t>
      </w:r>
      <w:r w:rsidR="00A83AD9">
        <w:t xml:space="preserve"> na </w:t>
      </w:r>
      <w:r>
        <w:t>to, že z</w:t>
      </w:r>
      <w:r w:rsidRPr="007B3D41">
        <w:rPr>
          <w:rFonts w:eastAsia="Calibri"/>
        </w:rPr>
        <w:t>ákon</w:t>
      </w:r>
      <w:r w:rsidR="00A83AD9">
        <w:rPr>
          <w:rFonts w:eastAsia="Calibri"/>
        </w:rPr>
        <w:t xml:space="preserve"> o </w:t>
      </w:r>
      <w:r w:rsidRPr="007B3D41">
        <w:rPr>
          <w:rFonts w:eastAsia="Calibri"/>
        </w:rPr>
        <w:t>důchodovém pojištění stanovuje</w:t>
      </w:r>
      <w:r w:rsidR="00A83AD9">
        <w:rPr>
          <w:rFonts w:eastAsia="Calibri"/>
        </w:rPr>
        <w:t xml:space="preserve"> v § </w:t>
      </w:r>
      <w:r w:rsidRPr="007B3D41">
        <w:rPr>
          <w:rFonts w:eastAsia="Calibri"/>
        </w:rPr>
        <w:t xml:space="preserve">67 </w:t>
      </w:r>
      <w:r w:rsidR="00D30D8B">
        <w:rPr>
          <w:rFonts w:eastAsia="Calibri"/>
        </w:rPr>
        <w:t xml:space="preserve"> </w:t>
      </w:r>
      <w:r w:rsidRPr="007B3D41">
        <w:rPr>
          <w:rFonts w:eastAsia="Calibri"/>
        </w:rPr>
        <w:t>odst.</w:t>
      </w:r>
      <w:r w:rsidR="00D30D8B">
        <w:rPr>
          <w:rFonts w:eastAsia="Calibri"/>
        </w:rPr>
        <w:t xml:space="preserve"> </w:t>
      </w:r>
      <w:r w:rsidRPr="007B3D41">
        <w:rPr>
          <w:rFonts w:eastAsia="Calibri"/>
        </w:rPr>
        <w:t>1, že se</w:t>
      </w:r>
      <w:r w:rsidR="00A83AD9">
        <w:rPr>
          <w:rFonts w:eastAsia="Calibri"/>
        </w:rPr>
        <w:t xml:space="preserve"> v </w:t>
      </w:r>
      <w:r w:rsidRPr="007B3D41">
        <w:rPr>
          <w:rFonts w:eastAsia="Calibri"/>
        </w:rPr>
        <w:t>závislosti</w:t>
      </w:r>
      <w:r w:rsidR="00A83AD9">
        <w:rPr>
          <w:rFonts w:eastAsia="Calibri"/>
        </w:rPr>
        <w:t xml:space="preserve"> na </w:t>
      </w:r>
      <w:r w:rsidRPr="007B3D41">
        <w:rPr>
          <w:rFonts w:eastAsia="Calibri"/>
        </w:rPr>
        <w:t>růstu indexu spotřebitelských cen</w:t>
      </w:r>
      <w:r w:rsidR="00A83AD9">
        <w:rPr>
          <w:rFonts w:eastAsia="Calibri"/>
        </w:rPr>
        <w:t xml:space="preserve"> a na </w:t>
      </w:r>
      <w:r w:rsidRPr="007B3D41">
        <w:rPr>
          <w:rFonts w:eastAsia="Calibri"/>
        </w:rPr>
        <w:t>růstu mezd zvyšují „vyplácené důchody.“ Novela navrhuje vynětí procentní výměry důchodu</w:t>
      </w:r>
      <w:r w:rsidR="00A83AD9">
        <w:rPr>
          <w:rFonts w:eastAsia="Calibri"/>
        </w:rPr>
        <w:t xml:space="preserve"> u </w:t>
      </w:r>
      <w:r w:rsidRPr="007B3D41">
        <w:rPr>
          <w:rFonts w:eastAsia="Calibri"/>
        </w:rPr>
        <w:t>předčasných důchodů</w:t>
      </w:r>
      <w:r w:rsidR="00A83AD9">
        <w:rPr>
          <w:rFonts w:eastAsia="Calibri"/>
        </w:rPr>
        <w:t xml:space="preserve"> z </w:t>
      </w:r>
      <w:r w:rsidRPr="007B3D41">
        <w:rPr>
          <w:rFonts w:eastAsia="Calibri"/>
        </w:rPr>
        <w:t>valorizace, čímž vytváří nerovnost mezi příjemci důchodů, kteří splnili podmínky zákona</w:t>
      </w:r>
      <w:r w:rsidR="00A83AD9">
        <w:rPr>
          <w:rFonts w:eastAsia="Calibri"/>
        </w:rPr>
        <w:t xml:space="preserve"> pro </w:t>
      </w:r>
      <w:r w:rsidRPr="007B3D41">
        <w:rPr>
          <w:rFonts w:eastAsia="Calibri"/>
        </w:rPr>
        <w:t>přiznání některého</w:t>
      </w:r>
      <w:r w:rsidR="00A83AD9">
        <w:rPr>
          <w:rFonts w:eastAsia="Calibri"/>
        </w:rPr>
        <w:t xml:space="preserve"> z </w:t>
      </w:r>
      <w:r w:rsidRPr="007B3D41">
        <w:rPr>
          <w:rFonts w:eastAsia="Calibri"/>
        </w:rPr>
        <w:t>druhů důchodu.</w:t>
      </w:r>
      <w:r w:rsidR="00A83AD9">
        <w:rPr>
          <w:rFonts w:eastAsia="Calibri"/>
        </w:rPr>
        <w:t xml:space="preserve"> V </w:t>
      </w:r>
      <w:r w:rsidRPr="007B3D41">
        <w:rPr>
          <w:rFonts w:eastAsia="Calibri"/>
        </w:rPr>
        <w:t>případě příjemců předčasných starobních důchodů by podle návrhu zvyšovala pouze jeho základní výměra důchodu. Nezvyšoval by se tedy</w:t>
      </w:r>
      <w:r w:rsidR="00A83AD9">
        <w:rPr>
          <w:rFonts w:eastAsia="Calibri"/>
        </w:rPr>
        <w:t xml:space="preserve"> u </w:t>
      </w:r>
      <w:r w:rsidRPr="007B3D41">
        <w:rPr>
          <w:rFonts w:eastAsia="Calibri"/>
        </w:rPr>
        <w:t xml:space="preserve">nich „vyplácený důchod“, jak stanoví zákon, nýbrž pouze „vyplácená část důchodu.“ </w:t>
      </w:r>
    </w:p>
    <w:p w14:paraId="1DA45E9E" w14:textId="4BEE97C6" w:rsidR="007B3D41" w:rsidRPr="007B3D41" w:rsidRDefault="007B3D41" w:rsidP="007B3D41">
      <w:pPr>
        <w:pStyle w:val="Zkladntext"/>
        <w:rPr>
          <w:rFonts w:eastAsia="Calibri"/>
        </w:rPr>
      </w:pPr>
      <w:r w:rsidRPr="007B3D41">
        <w:rPr>
          <w:rFonts w:eastAsia="Calibri"/>
        </w:rPr>
        <w:t>Mechanismus zvyšování důchodů je</w:t>
      </w:r>
      <w:r w:rsidR="00A83AD9">
        <w:rPr>
          <w:rFonts w:eastAsia="Calibri"/>
        </w:rPr>
        <w:t xml:space="preserve"> v </w:t>
      </w:r>
      <w:r w:rsidRPr="007B3D41">
        <w:rPr>
          <w:rFonts w:eastAsia="Calibri"/>
        </w:rPr>
        <w:t>zákoně</w:t>
      </w:r>
      <w:r w:rsidR="00A83AD9">
        <w:rPr>
          <w:rFonts w:eastAsia="Calibri"/>
        </w:rPr>
        <w:t xml:space="preserve"> o </w:t>
      </w:r>
      <w:r w:rsidRPr="007B3D41">
        <w:rPr>
          <w:rFonts w:eastAsia="Calibri"/>
        </w:rPr>
        <w:t>důchodovém pojištění upraven</w:t>
      </w:r>
      <w:r w:rsidR="00A83AD9">
        <w:rPr>
          <w:rFonts w:eastAsia="Calibri"/>
        </w:rPr>
        <w:t xml:space="preserve"> z </w:t>
      </w:r>
      <w:r w:rsidRPr="007B3D41">
        <w:rPr>
          <w:rFonts w:eastAsia="Calibri"/>
        </w:rPr>
        <w:t>toho důvodu, aby chránil příjemce starobního důchodu, kteří zpravidla již nemají jiné prostředky, než je příjem jejich starobního důchodu, před inflací</w:t>
      </w:r>
      <w:r w:rsidR="00A83AD9">
        <w:rPr>
          <w:rFonts w:eastAsia="Calibri"/>
        </w:rPr>
        <w:t xml:space="preserve"> a </w:t>
      </w:r>
      <w:r w:rsidRPr="007B3D41">
        <w:rPr>
          <w:rFonts w:eastAsia="Calibri"/>
        </w:rPr>
        <w:t>pádem</w:t>
      </w:r>
      <w:r w:rsidR="00A83AD9">
        <w:rPr>
          <w:rFonts w:eastAsia="Calibri"/>
        </w:rPr>
        <w:t xml:space="preserve"> do </w:t>
      </w:r>
      <w:r w:rsidRPr="007B3D41">
        <w:rPr>
          <w:rFonts w:eastAsia="Calibri"/>
        </w:rPr>
        <w:t xml:space="preserve">chudoby. </w:t>
      </w:r>
    </w:p>
    <w:p w14:paraId="45CE9F87" w14:textId="31058780" w:rsidR="007B3D41" w:rsidRPr="007B3D41" w:rsidRDefault="007B3D41" w:rsidP="007B3D41">
      <w:pPr>
        <w:pStyle w:val="Zkladntext"/>
        <w:rPr>
          <w:rFonts w:eastAsia="Calibri"/>
        </w:rPr>
      </w:pPr>
      <w:r w:rsidRPr="007B3D41">
        <w:rPr>
          <w:rFonts w:eastAsia="Calibri"/>
        </w:rPr>
        <w:t>Důchodce pobírající předčasný starobní důchod přitom nemůže</w:t>
      </w:r>
      <w:r w:rsidR="00A83AD9">
        <w:rPr>
          <w:rFonts w:eastAsia="Calibri"/>
        </w:rPr>
        <w:t xml:space="preserve"> do </w:t>
      </w:r>
      <w:r w:rsidRPr="007B3D41">
        <w:rPr>
          <w:rFonts w:eastAsia="Calibri"/>
        </w:rPr>
        <w:t>dosažení důchodového věku vykonávat výdělečnou činnost, která zakládá účast</w:t>
      </w:r>
      <w:r w:rsidR="00A83AD9">
        <w:rPr>
          <w:rFonts w:eastAsia="Calibri"/>
        </w:rPr>
        <w:t xml:space="preserve"> na </w:t>
      </w:r>
      <w:r w:rsidRPr="007B3D41">
        <w:rPr>
          <w:rFonts w:eastAsia="Calibri"/>
        </w:rPr>
        <w:t>pojištění</w:t>
      </w:r>
      <w:r w:rsidR="00A83AD9">
        <w:rPr>
          <w:rFonts w:eastAsia="Calibri"/>
        </w:rPr>
        <w:t xml:space="preserve"> a </w:t>
      </w:r>
      <w:r w:rsidRPr="007B3D41">
        <w:rPr>
          <w:rFonts w:eastAsia="Calibri"/>
        </w:rPr>
        <w:t>je zpravidla odkázán pouze</w:t>
      </w:r>
      <w:r w:rsidR="00A83AD9">
        <w:rPr>
          <w:rFonts w:eastAsia="Calibri"/>
        </w:rPr>
        <w:t xml:space="preserve"> na </w:t>
      </w:r>
      <w:r w:rsidRPr="007B3D41">
        <w:rPr>
          <w:rFonts w:eastAsia="Calibri"/>
        </w:rPr>
        <w:t>důchodovou dávku. </w:t>
      </w:r>
    </w:p>
    <w:p w14:paraId="22CAC680" w14:textId="5BDBCA1B" w:rsidR="007B3D41" w:rsidRPr="007B3D41" w:rsidRDefault="007B3D41" w:rsidP="007B3D41">
      <w:pPr>
        <w:pStyle w:val="Zkladntext"/>
        <w:rPr>
          <w:rFonts w:eastAsia="Calibri"/>
        </w:rPr>
      </w:pPr>
      <w:r w:rsidRPr="007B3D41">
        <w:rPr>
          <w:rFonts w:eastAsia="Calibri"/>
        </w:rPr>
        <w:t xml:space="preserve">Jak uvádí důvodová zpráva, více než </w:t>
      </w:r>
      <w:r w:rsidR="00EC1CA1">
        <w:rPr>
          <w:rFonts w:eastAsia="Calibri"/>
        </w:rPr>
        <w:t>čtvrtina žada</w:t>
      </w:r>
      <w:r w:rsidRPr="007B3D41">
        <w:rPr>
          <w:rFonts w:eastAsia="Calibri"/>
        </w:rPr>
        <w:t>telů</w:t>
      </w:r>
      <w:r w:rsidR="00A83AD9">
        <w:rPr>
          <w:rFonts w:eastAsia="Calibri"/>
        </w:rPr>
        <w:t xml:space="preserve"> o </w:t>
      </w:r>
      <w:r w:rsidRPr="007B3D41">
        <w:rPr>
          <w:rFonts w:eastAsia="Calibri"/>
        </w:rPr>
        <w:t>předčasný důchod byla těsně před odchodem</w:t>
      </w:r>
      <w:r w:rsidR="00A83AD9">
        <w:rPr>
          <w:rFonts w:eastAsia="Calibri"/>
        </w:rPr>
        <w:t xml:space="preserve"> do </w:t>
      </w:r>
      <w:r w:rsidRPr="007B3D41">
        <w:rPr>
          <w:rFonts w:eastAsia="Calibri"/>
        </w:rPr>
        <w:t>důchodu</w:t>
      </w:r>
      <w:r w:rsidR="00A83AD9">
        <w:rPr>
          <w:rFonts w:eastAsia="Calibri"/>
        </w:rPr>
        <w:t xml:space="preserve"> v </w:t>
      </w:r>
      <w:r w:rsidRPr="007B3D41">
        <w:rPr>
          <w:rFonts w:eastAsia="Calibri"/>
        </w:rPr>
        <w:t>evidenci úřadu práce</w:t>
      </w:r>
      <w:r w:rsidR="00A83AD9">
        <w:rPr>
          <w:rFonts w:eastAsia="Calibri"/>
        </w:rPr>
        <w:t xml:space="preserve"> a ze </w:t>
      </w:r>
      <w:r w:rsidRPr="007B3D41">
        <w:rPr>
          <w:rFonts w:eastAsia="Calibri"/>
        </w:rPr>
        <w:t>zbytku byla zhruba polovina těch, co pečovali</w:t>
      </w:r>
      <w:r w:rsidR="00A83AD9">
        <w:rPr>
          <w:rFonts w:eastAsia="Calibri"/>
        </w:rPr>
        <w:t xml:space="preserve"> o </w:t>
      </w:r>
      <w:r w:rsidRPr="007B3D41">
        <w:rPr>
          <w:rFonts w:eastAsia="Calibri"/>
        </w:rPr>
        <w:t>závislou osobu (aniž by byli výdělečně činní)</w:t>
      </w:r>
      <w:r w:rsidR="00A83AD9">
        <w:rPr>
          <w:rFonts w:eastAsia="Calibri"/>
        </w:rPr>
        <w:t xml:space="preserve"> a </w:t>
      </w:r>
      <w:r w:rsidRPr="007B3D41">
        <w:rPr>
          <w:rFonts w:eastAsia="Calibri"/>
        </w:rPr>
        <w:t>druhá polovina byla invalidní (bez výdělečně činnosti),</w:t>
      </w:r>
      <w:r w:rsidR="00A83AD9">
        <w:rPr>
          <w:rFonts w:eastAsia="Calibri"/>
        </w:rPr>
        <w:t xml:space="preserve"> a </w:t>
      </w:r>
      <w:r w:rsidRPr="007B3D41">
        <w:rPr>
          <w:rFonts w:eastAsia="Calibri"/>
        </w:rPr>
        <w:t>to především</w:t>
      </w:r>
      <w:r w:rsidR="00A83AD9">
        <w:rPr>
          <w:rFonts w:eastAsia="Calibri"/>
        </w:rPr>
        <w:t xml:space="preserve"> v </w:t>
      </w:r>
      <w:r w:rsidRPr="007B3D41">
        <w:rPr>
          <w:rFonts w:eastAsia="Calibri"/>
        </w:rPr>
        <w:t>prvním</w:t>
      </w:r>
      <w:r w:rsidR="00A83AD9">
        <w:rPr>
          <w:rFonts w:eastAsia="Calibri"/>
        </w:rPr>
        <w:t xml:space="preserve"> a </w:t>
      </w:r>
      <w:r w:rsidRPr="007B3D41">
        <w:rPr>
          <w:rFonts w:eastAsia="Calibri"/>
        </w:rPr>
        <w:t>druhém stupni invalidity.</w:t>
      </w:r>
    </w:p>
    <w:p w14:paraId="582DE8C7" w14:textId="76BBB06C" w:rsidR="007B3D41" w:rsidRPr="007B3D41" w:rsidRDefault="007B3D41" w:rsidP="007B3D41">
      <w:pPr>
        <w:pStyle w:val="Zkladntext"/>
        <w:rPr>
          <w:rFonts w:eastAsia="Calibri"/>
        </w:rPr>
      </w:pPr>
      <w:r w:rsidRPr="007B3D41">
        <w:rPr>
          <w:rFonts w:eastAsia="Calibri"/>
        </w:rPr>
        <w:t>Příjemci předčasných starobních důchodů jsou přitom novou úpravou výrazně penalizováni již</w:t>
      </w:r>
      <w:r w:rsidR="00A83AD9">
        <w:rPr>
          <w:rFonts w:eastAsia="Calibri"/>
        </w:rPr>
        <w:t xml:space="preserve"> při </w:t>
      </w:r>
      <w:r w:rsidRPr="007B3D41">
        <w:rPr>
          <w:rFonts w:eastAsia="Calibri"/>
        </w:rPr>
        <w:t>samotném výpočtu výše důchodu,</w:t>
      </w:r>
      <w:r w:rsidR="00A83AD9">
        <w:rPr>
          <w:rFonts w:eastAsia="Calibri"/>
        </w:rPr>
        <w:t xml:space="preserve"> a </w:t>
      </w:r>
      <w:r w:rsidRPr="007B3D41">
        <w:rPr>
          <w:rFonts w:eastAsia="Calibri"/>
        </w:rPr>
        <w:t>to trvale. Tito příjemci důchodu splnili podmínky potřebné doby pojištění</w:t>
      </w:r>
      <w:r w:rsidR="00A83AD9">
        <w:rPr>
          <w:rFonts w:eastAsia="Calibri"/>
        </w:rPr>
        <w:t xml:space="preserve"> pro </w:t>
      </w:r>
      <w:r w:rsidRPr="007B3D41">
        <w:rPr>
          <w:rFonts w:eastAsia="Calibri"/>
        </w:rPr>
        <w:t>přiznání zákonem upraveného druhu starobního důchodu. Nemělo by se tedy</w:t>
      </w:r>
      <w:r w:rsidR="00A83AD9">
        <w:rPr>
          <w:rFonts w:eastAsia="Calibri"/>
        </w:rPr>
        <w:t xml:space="preserve"> z </w:t>
      </w:r>
      <w:r w:rsidRPr="007B3D41">
        <w:rPr>
          <w:rFonts w:eastAsia="Calibri"/>
        </w:rPr>
        <w:t>hlediska dopadu růstu cen</w:t>
      </w:r>
      <w:r w:rsidR="00A83AD9">
        <w:rPr>
          <w:rFonts w:eastAsia="Calibri"/>
        </w:rPr>
        <w:t xml:space="preserve"> na </w:t>
      </w:r>
      <w:r w:rsidRPr="007B3D41">
        <w:rPr>
          <w:rFonts w:eastAsia="Calibri"/>
        </w:rPr>
        <w:t>příjemce důchodů</w:t>
      </w:r>
      <w:r w:rsidR="00A83AD9">
        <w:rPr>
          <w:rFonts w:eastAsia="Calibri"/>
        </w:rPr>
        <w:t xml:space="preserve"> s </w:t>
      </w:r>
      <w:r w:rsidRPr="007B3D41">
        <w:rPr>
          <w:rFonts w:eastAsia="Calibri"/>
        </w:rPr>
        <w:t>nimi zacházet rozdílně.</w:t>
      </w:r>
    </w:p>
    <w:p w14:paraId="1EB9A699" w14:textId="3B3945BD" w:rsidR="00F302F7" w:rsidRPr="004C52FA" w:rsidRDefault="00F302F7" w:rsidP="00F302F7">
      <w:pPr>
        <w:pStyle w:val="Zkladntext"/>
        <w:rPr>
          <w:b/>
        </w:rPr>
      </w:pPr>
      <w:r w:rsidRPr="004C52FA">
        <w:rPr>
          <w:b/>
        </w:rPr>
        <w:t>Připomínky</w:t>
      </w:r>
      <w:r w:rsidR="00A83AD9">
        <w:rPr>
          <w:b/>
        </w:rPr>
        <w:t xml:space="preserve"> k </w:t>
      </w:r>
      <w:r w:rsidR="00201623" w:rsidRPr="00201623">
        <w:rPr>
          <w:b/>
        </w:rPr>
        <w:t>Hodnot</w:t>
      </w:r>
      <w:r w:rsidR="00EC1CA1">
        <w:rPr>
          <w:b/>
        </w:rPr>
        <w:t>i</w:t>
      </w:r>
      <w:r w:rsidR="00201623" w:rsidRPr="00201623">
        <w:rPr>
          <w:b/>
        </w:rPr>
        <w:t>cí zprávě</w:t>
      </w:r>
      <w:r w:rsidR="00A83AD9">
        <w:rPr>
          <w:b/>
        </w:rPr>
        <w:t xml:space="preserve"> k </w:t>
      </w:r>
      <w:r w:rsidR="00201623" w:rsidRPr="00201623">
        <w:rPr>
          <w:b/>
        </w:rPr>
        <w:t>výsledkům kontrol výkonu přenesené</w:t>
      </w:r>
      <w:r w:rsidR="00A83AD9">
        <w:rPr>
          <w:b/>
        </w:rPr>
        <w:t xml:space="preserve"> a </w:t>
      </w:r>
      <w:r w:rsidR="00201623" w:rsidRPr="00201623">
        <w:rPr>
          <w:b/>
        </w:rPr>
        <w:t>samostatné působnosti svěřené orgánům obcí, krajů</w:t>
      </w:r>
      <w:r w:rsidR="00A83AD9">
        <w:rPr>
          <w:b/>
        </w:rPr>
        <w:t xml:space="preserve"> a </w:t>
      </w:r>
      <w:r w:rsidR="00201623" w:rsidRPr="00201623">
        <w:rPr>
          <w:b/>
        </w:rPr>
        <w:t>hlavního města Prahy</w:t>
      </w:r>
      <w:r w:rsidR="00A83AD9">
        <w:rPr>
          <w:b/>
        </w:rPr>
        <w:t xml:space="preserve"> za </w:t>
      </w:r>
      <w:r w:rsidR="00201623" w:rsidRPr="00201623">
        <w:rPr>
          <w:b/>
        </w:rPr>
        <w:t>léta 2020</w:t>
      </w:r>
      <w:r w:rsidR="00D30D8B">
        <w:rPr>
          <w:b/>
        </w:rPr>
        <w:t xml:space="preserve"> </w:t>
      </w:r>
      <w:r w:rsidR="00201623" w:rsidRPr="00201623">
        <w:rPr>
          <w:b/>
        </w:rPr>
        <w:t>–</w:t>
      </w:r>
      <w:r w:rsidR="00D30D8B">
        <w:rPr>
          <w:b/>
        </w:rPr>
        <w:t xml:space="preserve"> </w:t>
      </w:r>
      <w:r w:rsidR="00201623" w:rsidRPr="00201623">
        <w:rPr>
          <w:b/>
        </w:rPr>
        <w:t>2022</w:t>
      </w:r>
      <w:r w:rsidRPr="00EC1CA1">
        <w:rPr>
          <w:rStyle w:val="Znakapoznpodarou"/>
        </w:rPr>
        <w:footnoteReference w:id="4"/>
      </w:r>
    </w:p>
    <w:p w14:paraId="5DCDB9C0" w14:textId="42C61837" w:rsidR="006422AA" w:rsidRDefault="006422AA" w:rsidP="006422AA">
      <w:pPr>
        <w:pStyle w:val="Zkladntext"/>
        <w:spacing w:before="200"/>
        <w:rPr>
          <w:rStyle w:val="Siln"/>
          <w:b w:val="0"/>
        </w:rPr>
      </w:pPr>
      <w:r>
        <w:rPr>
          <w:rStyle w:val="Siln"/>
          <w:b w:val="0"/>
        </w:rPr>
        <w:t>Ochránce vznesl dvě zásadní připomínky, které vychází</w:t>
      </w:r>
      <w:r w:rsidR="00A83AD9">
        <w:rPr>
          <w:rStyle w:val="Siln"/>
          <w:b w:val="0"/>
        </w:rPr>
        <w:t xml:space="preserve"> z </w:t>
      </w:r>
      <w:r>
        <w:rPr>
          <w:rStyle w:val="Siln"/>
          <w:b w:val="0"/>
        </w:rPr>
        <w:t>jím provedených šetření</w:t>
      </w:r>
      <w:r w:rsidR="00A83AD9">
        <w:rPr>
          <w:rStyle w:val="Siln"/>
          <w:b w:val="0"/>
        </w:rPr>
        <w:t xml:space="preserve"> z </w:t>
      </w:r>
      <w:r>
        <w:rPr>
          <w:rStyle w:val="Siln"/>
          <w:b w:val="0"/>
        </w:rPr>
        <w:t xml:space="preserve">vlastní iniciativy. </w:t>
      </w:r>
    </w:p>
    <w:p w14:paraId="3B04B4DD" w14:textId="2239CEEE" w:rsidR="006C2431" w:rsidRPr="006422AA" w:rsidRDefault="006C2431" w:rsidP="006422AA">
      <w:pPr>
        <w:pStyle w:val="Zkladntext"/>
        <w:spacing w:before="200"/>
        <w:rPr>
          <w:rStyle w:val="Siln"/>
          <w:b w:val="0"/>
        </w:rPr>
      </w:pPr>
      <w:r>
        <w:t>V rámci šetření</w:t>
      </w:r>
      <w:r w:rsidR="00A83AD9">
        <w:t xml:space="preserve"> z </w:t>
      </w:r>
      <w:r>
        <w:t>vlastní iniciativy ochránce poukázal</w:t>
      </w:r>
      <w:r w:rsidR="00A83AD9">
        <w:t xml:space="preserve"> na </w:t>
      </w:r>
      <w:r>
        <w:t>nejednotný postup úřadů během pandemické situace, nedostatečnou informovanost</w:t>
      </w:r>
      <w:r w:rsidR="00A83AD9">
        <w:t xml:space="preserve"> o </w:t>
      </w:r>
      <w:r>
        <w:t>omezeném chodu některých agend</w:t>
      </w:r>
      <w:r w:rsidR="00A83AD9">
        <w:t xml:space="preserve"> a </w:t>
      </w:r>
      <w:r>
        <w:t>také</w:t>
      </w:r>
      <w:r w:rsidR="00A83AD9">
        <w:t xml:space="preserve"> na </w:t>
      </w:r>
      <w:r>
        <w:t xml:space="preserve">znevýhodnění </w:t>
      </w:r>
      <w:r w:rsidRPr="00DF6B56">
        <w:t>určit</w:t>
      </w:r>
      <w:r>
        <w:t>ých skupin</w:t>
      </w:r>
      <w:r w:rsidRPr="00DF6B56">
        <w:t xml:space="preserve"> obyvatel</w:t>
      </w:r>
      <w:r w:rsidR="00A83AD9">
        <w:t xml:space="preserve"> v </w:t>
      </w:r>
      <w:r w:rsidRPr="00DF6B56">
        <w:t>případě distančního způsobu komunikace</w:t>
      </w:r>
      <w:r>
        <w:t>.</w:t>
      </w:r>
      <w:r w:rsidR="006422AA">
        <w:t xml:space="preserve"> Ochránce navrhl celou řadu </w:t>
      </w:r>
      <w:r w:rsidR="006422AA" w:rsidRPr="002A7672">
        <w:t xml:space="preserve">aktivit </w:t>
      </w:r>
      <w:r w:rsidR="006422AA">
        <w:t>směřujících</w:t>
      </w:r>
      <w:r w:rsidR="00A83AD9">
        <w:t xml:space="preserve"> ke </w:t>
      </w:r>
      <w:r w:rsidR="006422AA" w:rsidRPr="002A7672">
        <w:t>sjednocení praxe veřejné správy, její před</w:t>
      </w:r>
      <w:r w:rsidR="006422AA">
        <w:t>vídatelnosti</w:t>
      </w:r>
      <w:r w:rsidR="00A83AD9">
        <w:t xml:space="preserve"> a </w:t>
      </w:r>
      <w:r w:rsidR="006422AA">
        <w:t xml:space="preserve">transparentnosti. Ministerstvo </w:t>
      </w:r>
      <w:r>
        <w:t xml:space="preserve">vnitra nechtělo </w:t>
      </w:r>
      <w:r w:rsidRPr="002A7672">
        <w:t>podniknout</w:t>
      </w:r>
      <w:r>
        <w:t xml:space="preserve"> navržené</w:t>
      </w:r>
      <w:r w:rsidRPr="002A7672">
        <w:t xml:space="preserve"> aktivity</w:t>
      </w:r>
      <w:r w:rsidR="006422AA">
        <w:t>, tak se ochránce obrátil</w:t>
      </w:r>
      <w:r w:rsidR="00A83AD9">
        <w:t xml:space="preserve"> na </w:t>
      </w:r>
      <w:r w:rsidR="006422AA">
        <w:t>vládu</w:t>
      </w:r>
      <w:r>
        <w:t>.</w:t>
      </w:r>
      <w:r>
        <w:rPr>
          <w:rStyle w:val="Znakapoznpodarou"/>
        </w:rPr>
        <w:footnoteReference w:id="5"/>
      </w:r>
      <w:r>
        <w:t xml:space="preserve"> Navrhl jí, aby prostřednictvím novely krizového zákona</w:t>
      </w:r>
      <w:r>
        <w:rPr>
          <w:rStyle w:val="Znakapoznpodarou"/>
        </w:rPr>
        <w:footnoteReference w:id="6"/>
      </w:r>
      <w:r>
        <w:t xml:space="preserve"> pověřila Ministerstvo vnitra nebo jiný ústřední orgány státní správy</w:t>
      </w:r>
      <w:r w:rsidRPr="00B55DB4">
        <w:t xml:space="preserve"> tím, aby sjednocoval postup veřejné správy</w:t>
      </w:r>
      <w:r w:rsidR="00A83AD9">
        <w:t xml:space="preserve"> a </w:t>
      </w:r>
      <w:r>
        <w:t>vydával metodická doporučení.</w:t>
      </w:r>
      <w:r w:rsidR="00A83AD9">
        <w:t xml:space="preserve"> Na </w:t>
      </w:r>
      <w:r>
        <w:t>jednání vlády, které se konalo dne 31. srpna 2022, ministr vnitra ocenil zjištění</w:t>
      </w:r>
      <w:r w:rsidR="00A83AD9">
        <w:t xml:space="preserve"> a </w:t>
      </w:r>
      <w:r>
        <w:t>poznatky</w:t>
      </w:r>
      <w:r w:rsidR="00A83AD9">
        <w:t xml:space="preserve"> a </w:t>
      </w:r>
      <w:r w:rsidR="006422AA">
        <w:t>ochránci s</w:t>
      </w:r>
      <w:r>
        <w:t>dělil</w:t>
      </w:r>
      <w:r w:rsidR="006422AA">
        <w:t>,</w:t>
      </w:r>
      <w:r>
        <w:t xml:space="preserve"> že nepovažuje</w:t>
      </w:r>
      <w:r w:rsidR="00A83AD9">
        <w:t xml:space="preserve"> za </w:t>
      </w:r>
      <w:r>
        <w:t>ideální</w:t>
      </w:r>
      <w:r w:rsidR="00A83AD9">
        <w:t xml:space="preserve"> a </w:t>
      </w:r>
      <w:r>
        <w:t xml:space="preserve">vhodné řešení přijímat pouhou dílčí novelu krizového zákona. </w:t>
      </w:r>
      <w:r w:rsidR="00EC1CA1">
        <w:t>Dále p</w:t>
      </w:r>
      <w:r>
        <w:t>řislíbil, že jeho resort</w:t>
      </w:r>
      <w:r w:rsidRPr="002C55F0">
        <w:t xml:space="preserve"> </w:t>
      </w:r>
      <w:r>
        <w:t>zapracuje</w:t>
      </w:r>
      <w:r w:rsidR="006422AA">
        <w:t xml:space="preserve"> </w:t>
      </w:r>
      <w:r>
        <w:t>doporučení</w:t>
      </w:r>
      <w:r w:rsidR="00A83AD9">
        <w:t xml:space="preserve"> do </w:t>
      </w:r>
      <w:r>
        <w:t>komplexní revize legislativy</w:t>
      </w:r>
      <w:r w:rsidR="00A83AD9">
        <w:t xml:space="preserve"> pro </w:t>
      </w:r>
      <w:r>
        <w:t>krizové řízení</w:t>
      </w:r>
      <w:r w:rsidR="00A83AD9">
        <w:t xml:space="preserve"> a </w:t>
      </w:r>
      <w:r>
        <w:t>kritickou infrastrukturu,</w:t>
      </w:r>
      <w:r w:rsidR="00A83AD9">
        <w:t xml:space="preserve"> k </w:t>
      </w:r>
      <w:r>
        <w:t>níž se zavázal</w:t>
      </w:r>
      <w:r w:rsidR="00A83AD9">
        <w:t xml:space="preserve"> v </w:t>
      </w:r>
      <w:r>
        <w:t>programovém prohlášení vlády.</w:t>
      </w:r>
      <w:r>
        <w:rPr>
          <w:rStyle w:val="Znakapoznpodarou"/>
        </w:rPr>
        <w:footnoteReference w:id="7"/>
      </w:r>
      <w:r w:rsidR="006422AA">
        <w:t xml:space="preserve"> </w:t>
      </w:r>
      <w:r>
        <w:t>Ministerstvo vnitra nyní</w:t>
      </w:r>
      <w:r w:rsidR="00A83AD9">
        <w:t xml:space="preserve"> v </w:t>
      </w:r>
      <w:r w:rsidR="006422AA">
        <w:t>hodnot</w:t>
      </w:r>
      <w:r w:rsidR="00EC1CA1">
        <w:t>i</w:t>
      </w:r>
      <w:r w:rsidR="006422AA">
        <w:t xml:space="preserve">cí zprávě </w:t>
      </w:r>
      <w:r>
        <w:t>uvádí jako doporučení</w:t>
      </w:r>
      <w:r w:rsidR="00A83AD9">
        <w:t xml:space="preserve"> pro </w:t>
      </w:r>
      <w:r>
        <w:t xml:space="preserve">ústřední správní úřady: </w:t>
      </w:r>
      <w:r w:rsidRPr="006422AA">
        <w:t>„analyzovat závěry šetření 14/2022/SZD/MG […]</w:t>
      </w:r>
      <w:r w:rsidR="00A83AD9">
        <w:t xml:space="preserve"> a na </w:t>
      </w:r>
      <w:r w:rsidRPr="006422AA">
        <w:t>daném úseku přijmout příslušná opatření sjednocující postup správních orgánů</w:t>
      </w:r>
      <w:r w:rsidR="00A83AD9">
        <w:t xml:space="preserve"> v </w:t>
      </w:r>
      <w:r w:rsidRPr="006422AA">
        <w:t>době mimořádných situací.“</w:t>
      </w:r>
      <w:r>
        <w:rPr>
          <w:rStyle w:val="Znakapoznpodarou"/>
        </w:rPr>
        <w:footnoteReference w:id="8"/>
      </w:r>
      <w:r w:rsidR="006422AA">
        <w:t xml:space="preserve"> </w:t>
      </w:r>
      <w:r>
        <w:t xml:space="preserve">Navržené opatření </w:t>
      </w:r>
      <w:r w:rsidR="006422AA">
        <w:t>n</w:t>
      </w:r>
      <w:r>
        <w:t>ekoresponduje</w:t>
      </w:r>
      <w:r w:rsidR="00A83AD9">
        <w:t xml:space="preserve"> s </w:t>
      </w:r>
      <w:r>
        <w:t>vyjádřením ministra vnitra</w:t>
      </w:r>
      <w:r w:rsidR="00A83AD9">
        <w:t xml:space="preserve"> a </w:t>
      </w:r>
      <w:r w:rsidR="006422AA">
        <w:t>s</w:t>
      </w:r>
      <w:r>
        <w:t>oučasně má</w:t>
      </w:r>
      <w:r w:rsidR="006422AA">
        <w:t xml:space="preserve"> ochránce</w:t>
      </w:r>
      <w:r w:rsidR="00A83AD9">
        <w:t xml:space="preserve"> za </w:t>
      </w:r>
      <w:r>
        <w:t>to, že Ministerstvo vnitra mělo dostatečný časový prostor</w:t>
      </w:r>
      <w:r w:rsidR="00A83AD9">
        <w:t xml:space="preserve"> na </w:t>
      </w:r>
      <w:r>
        <w:t xml:space="preserve">to, aby řádně vyhodnotilo </w:t>
      </w:r>
      <w:r w:rsidR="00EC1CA1">
        <w:t>jeho</w:t>
      </w:r>
      <w:r>
        <w:t xml:space="preserve"> poznatky</w:t>
      </w:r>
      <w:r w:rsidR="00A83AD9">
        <w:t xml:space="preserve"> a </w:t>
      </w:r>
      <w:r>
        <w:t>navrhlo specifičtější sy</w:t>
      </w:r>
      <w:r w:rsidRPr="006422AA">
        <w:t>stémové řešení.</w:t>
      </w:r>
      <w:r w:rsidR="006422AA" w:rsidRPr="006422AA">
        <w:t xml:space="preserve"> Ochránce proto žádal, aby M</w:t>
      </w:r>
      <w:r w:rsidRPr="006422AA">
        <w:rPr>
          <w:rStyle w:val="Siln"/>
          <w:b w:val="0"/>
        </w:rPr>
        <w:t>inisterstvo vnitra své doporučení revidovalo.</w:t>
      </w:r>
    </w:p>
    <w:p w14:paraId="07A3AA5E" w14:textId="2FFA1643" w:rsidR="006C2431" w:rsidRDefault="006422AA" w:rsidP="006422AA">
      <w:pPr>
        <w:pStyle w:val="Zkladntext"/>
        <w:spacing w:before="200"/>
      </w:pPr>
      <w:r w:rsidRPr="006422AA">
        <w:rPr>
          <w:rStyle w:val="Siln"/>
          <w:b w:val="0"/>
        </w:rPr>
        <w:t>Druhá připomínka se týkala p</w:t>
      </w:r>
      <w:r w:rsidR="006C2431" w:rsidRPr="006422AA">
        <w:rPr>
          <w:rStyle w:val="Siln"/>
          <w:b w:val="0"/>
        </w:rPr>
        <w:t>řístupnost</w:t>
      </w:r>
      <w:r w:rsidR="00D30D8B">
        <w:rPr>
          <w:rStyle w:val="Siln"/>
          <w:b w:val="0"/>
        </w:rPr>
        <w:t>i</w:t>
      </w:r>
      <w:r w:rsidR="006C2431" w:rsidRPr="006422AA">
        <w:rPr>
          <w:rStyle w:val="Siln"/>
          <w:b w:val="0"/>
        </w:rPr>
        <w:t xml:space="preserve"> webových stránek</w:t>
      </w:r>
      <w:r w:rsidR="00A83AD9">
        <w:rPr>
          <w:rStyle w:val="Siln"/>
          <w:b w:val="0"/>
        </w:rPr>
        <w:t xml:space="preserve"> pro </w:t>
      </w:r>
      <w:r w:rsidR="006C2431" w:rsidRPr="006422AA">
        <w:rPr>
          <w:rStyle w:val="Siln"/>
          <w:b w:val="0"/>
        </w:rPr>
        <w:t>lidi se zrakovým</w:t>
      </w:r>
      <w:r w:rsidR="00A83AD9">
        <w:rPr>
          <w:rStyle w:val="Siln"/>
          <w:b w:val="0"/>
        </w:rPr>
        <w:t xml:space="preserve"> a </w:t>
      </w:r>
      <w:r>
        <w:rPr>
          <w:rStyle w:val="Siln"/>
          <w:b w:val="0"/>
        </w:rPr>
        <w:t>sluchovým postižení</w:t>
      </w:r>
      <w:r w:rsidR="00EC1CA1">
        <w:rPr>
          <w:rStyle w:val="Siln"/>
          <w:b w:val="0"/>
        </w:rPr>
        <w:t>m</w:t>
      </w:r>
      <w:r>
        <w:rPr>
          <w:rStyle w:val="Siln"/>
          <w:b w:val="0"/>
        </w:rPr>
        <w:t>.</w:t>
      </w:r>
      <w:r w:rsidR="00A83AD9">
        <w:rPr>
          <w:rStyle w:val="Siln"/>
          <w:b w:val="0"/>
        </w:rPr>
        <w:t xml:space="preserve"> V </w:t>
      </w:r>
      <w:r w:rsidR="006C2431">
        <w:t>šetření</w:t>
      </w:r>
      <w:r w:rsidR="00A83AD9">
        <w:t xml:space="preserve"> z </w:t>
      </w:r>
      <w:r w:rsidR="006C2431">
        <w:t>vlastní iniciativy</w:t>
      </w:r>
      <w:r>
        <w:t xml:space="preserve"> se ochránce </w:t>
      </w:r>
      <w:r w:rsidR="006C2431">
        <w:t>zabýval přístupností webových stránek</w:t>
      </w:r>
      <w:r w:rsidR="00A83AD9">
        <w:t xml:space="preserve"> pro </w:t>
      </w:r>
      <w:r w:rsidR="006C2431">
        <w:t>lidi se zrakovým</w:t>
      </w:r>
      <w:r w:rsidR="00A83AD9">
        <w:t xml:space="preserve"> a </w:t>
      </w:r>
      <w:r w:rsidR="006C2431">
        <w:t>sluchovým postižením.</w:t>
      </w:r>
      <w:r w:rsidR="006C2431">
        <w:rPr>
          <w:rStyle w:val="Znakapoznpodarou"/>
        </w:rPr>
        <w:footnoteReference w:id="9"/>
      </w:r>
      <w:r w:rsidR="006C2431">
        <w:t xml:space="preserve"> Konstatoval, že dosavadní parametry kontrol</w:t>
      </w:r>
      <w:r w:rsidR="00A83AD9">
        <w:t xml:space="preserve"> a </w:t>
      </w:r>
      <w:r w:rsidR="006C2431">
        <w:t>vynucování povinností</w:t>
      </w:r>
      <w:r w:rsidR="00A83AD9">
        <w:t xml:space="preserve"> ze </w:t>
      </w:r>
      <w:r w:rsidR="006C2431">
        <w:t>strany Ministerstva vnitra nepovažuj</w:t>
      </w:r>
      <w:r>
        <w:t>e</w:t>
      </w:r>
      <w:r w:rsidR="00A83AD9">
        <w:t xml:space="preserve"> za </w:t>
      </w:r>
      <w:r w:rsidR="006C2431">
        <w:t>efektivní. Přestože</w:t>
      </w:r>
      <w:r w:rsidR="00A83AD9">
        <w:t xml:space="preserve"> na </w:t>
      </w:r>
      <w:r w:rsidR="006C2431">
        <w:t>tento problém opětovně poukázal</w:t>
      </w:r>
      <w:r w:rsidR="00A83AD9">
        <w:t xml:space="preserve"> v </w:t>
      </w:r>
      <w:r w:rsidR="006C2431">
        <w:t>části 4.6.</w:t>
      </w:r>
      <w:r w:rsidR="00D30D8B">
        <w:t xml:space="preserve"> </w:t>
      </w:r>
      <w:r w:rsidR="006C2431">
        <w:t>hodnot</w:t>
      </w:r>
      <w:r w:rsidR="00EC1CA1">
        <w:t>i</w:t>
      </w:r>
      <w:r w:rsidR="006C2431">
        <w:t>cí zprávy,</w:t>
      </w:r>
      <w:r w:rsidR="006C2431">
        <w:rPr>
          <w:rStyle w:val="Znakapoznpodarou"/>
        </w:rPr>
        <w:footnoteReference w:id="10"/>
      </w:r>
      <w:r w:rsidR="006C2431">
        <w:t xml:space="preserve"> Ministerstvo vnitra nenavrhlo konkrétní opatření</w:t>
      </w:r>
      <w:r w:rsidR="00A83AD9">
        <w:t xml:space="preserve"> k </w:t>
      </w:r>
      <w:r w:rsidR="006C2431">
        <w:t xml:space="preserve">nápravě. </w:t>
      </w:r>
      <w:r w:rsidR="00225AE7">
        <w:t>Ochránce</w:t>
      </w:r>
      <w:r w:rsidR="00A83AD9">
        <w:t xml:space="preserve"> v </w:t>
      </w:r>
      <w:r w:rsidR="00684B42">
        <w:t xml:space="preserve">připomínce požádal, aby </w:t>
      </w:r>
      <w:r w:rsidR="00225AE7">
        <w:t>ministerstvo</w:t>
      </w:r>
      <w:r w:rsidR="00D30D8B">
        <w:t xml:space="preserve"> </w:t>
      </w:r>
      <w:r w:rsidR="00684B42">
        <w:t>alespoň</w:t>
      </w:r>
      <w:r w:rsidR="00A83AD9">
        <w:t xml:space="preserve"> v </w:t>
      </w:r>
      <w:r w:rsidR="006C2431">
        <w:t xml:space="preserve">obecné rovině nastínilo </w:t>
      </w:r>
      <w:r w:rsidR="00225AE7">
        <w:t xml:space="preserve">svůj </w:t>
      </w:r>
      <w:r w:rsidR="006C2431">
        <w:t>další postup</w:t>
      </w:r>
      <w:r w:rsidR="00A83AD9">
        <w:t xml:space="preserve"> v </w:t>
      </w:r>
      <w:r w:rsidR="006C2431">
        <w:t>této problematice.</w:t>
      </w:r>
    </w:p>
    <w:p w14:paraId="5B0AA583" w14:textId="5A643D09" w:rsidR="00F302F7" w:rsidRDefault="00F302F7" w:rsidP="00F302F7">
      <w:pPr>
        <w:pStyle w:val="Zkladntext"/>
        <w:rPr>
          <w:b/>
        </w:rPr>
      </w:pPr>
      <w:r w:rsidRPr="004C52FA">
        <w:rPr>
          <w:b/>
        </w:rPr>
        <w:t>Připomínky</w:t>
      </w:r>
      <w:r w:rsidR="00A83AD9">
        <w:rPr>
          <w:b/>
        </w:rPr>
        <w:t xml:space="preserve"> k </w:t>
      </w:r>
      <w:r w:rsidR="002138A0">
        <w:rPr>
          <w:b/>
        </w:rPr>
        <w:t>novele zákona</w:t>
      </w:r>
      <w:r w:rsidR="00A83AD9">
        <w:rPr>
          <w:b/>
        </w:rPr>
        <w:t xml:space="preserve"> o </w:t>
      </w:r>
      <w:r w:rsidR="002138A0" w:rsidRPr="002138A0">
        <w:rPr>
          <w:b/>
        </w:rPr>
        <w:t>ochraně ovzduší</w:t>
      </w:r>
      <w:r w:rsidRPr="00EC1CA1">
        <w:rPr>
          <w:rStyle w:val="Znakapoznpodarou"/>
        </w:rPr>
        <w:footnoteReference w:id="11"/>
      </w:r>
    </w:p>
    <w:p w14:paraId="024F0F37" w14:textId="56717B5F" w:rsidR="00F1535B" w:rsidRDefault="003C424C" w:rsidP="00F1535B">
      <w:pPr>
        <w:pStyle w:val="Zkladntext"/>
      </w:pPr>
      <w:r>
        <w:t>Ochránce mimo jiné upozornil</w:t>
      </w:r>
      <w:r w:rsidR="00A83AD9">
        <w:t xml:space="preserve"> na </w:t>
      </w:r>
      <w:r>
        <w:t xml:space="preserve">navrhované </w:t>
      </w:r>
      <w:r w:rsidR="00F1535B" w:rsidRPr="00F1535B">
        <w:t>ustanovení</w:t>
      </w:r>
      <w:r w:rsidR="00A83AD9">
        <w:t xml:space="preserve"> § </w:t>
      </w:r>
      <w:r w:rsidR="00F1535B" w:rsidRPr="00F1535B">
        <w:t>13a</w:t>
      </w:r>
      <w:r>
        <w:t xml:space="preserve">, které </w:t>
      </w:r>
      <w:r w:rsidR="00F1535B" w:rsidRPr="00F1535B">
        <w:t xml:space="preserve"> zakotvuje právo tzv. ekologických spolků (právnických osob soukromého práva, jejichž předmětem činnosti je ochrana životního prostředí nebo ochrana veřejného zdraví) účastnit se řízení</w:t>
      </w:r>
      <w:r w:rsidR="00A83AD9">
        <w:t xml:space="preserve"> o </w:t>
      </w:r>
      <w:r w:rsidR="00F1535B" w:rsidRPr="00F1535B">
        <w:t>povolení provozu nebo změně povolení provozu. Jednou</w:t>
      </w:r>
      <w:r w:rsidR="00A83AD9">
        <w:t xml:space="preserve"> z </w:t>
      </w:r>
      <w:r w:rsidR="00F1535B" w:rsidRPr="00F1535B">
        <w:t>podmínek</w:t>
      </w:r>
      <w:r w:rsidR="00A83AD9">
        <w:t xml:space="preserve"> pro </w:t>
      </w:r>
      <w:r w:rsidR="00F1535B" w:rsidRPr="00F1535B">
        <w:t>tuto účast je to, že spolek vznikl alespoň 3 roky před dnem zveřejnění informace</w:t>
      </w:r>
      <w:r w:rsidR="00A83AD9">
        <w:t xml:space="preserve"> o </w:t>
      </w:r>
      <w:r w:rsidR="00F1535B" w:rsidRPr="00F1535B">
        <w:t>zahájení řízení</w:t>
      </w:r>
      <w:r w:rsidR="00A83AD9">
        <w:t xml:space="preserve"> na </w:t>
      </w:r>
      <w:r w:rsidR="00F1535B" w:rsidRPr="00F1535B">
        <w:t>úřední desce.</w:t>
      </w:r>
      <w:r>
        <w:t xml:space="preserve"> </w:t>
      </w:r>
      <w:r w:rsidR="00F1535B" w:rsidRPr="00F1535B">
        <w:t>Obdobně konstruují účast ekologických spolků</w:t>
      </w:r>
      <w:r w:rsidR="00A83AD9">
        <w:t xml:space="preserve"> i </w:t>
      </w:r>
      <w:r w:rsidR="00F1535B" w:rsidRPr="00F1535B">
        <w:t>zákon</w:t>
      </w:r>
      <w:r w:rsidR="00A83AD9">
        <w:t xml:space="preserve"> o </w:t>
      </w:r>
      <w:r w:rsidR="00F1535B" w:rsidRPr="00F1535B">
        <w:t>posuzování vlivů</w:t>
      </w:r>
      <w:r w:rsidR="00A83AD9">
        <w:t xml:space="preserve"> na </w:t>
      </w:r>
      <w:r w:rsidR="00F1535B" w:rsidRPr="00F1535B">
        <w:t>životní prostředí</w:t>
      </w:r>
      <w:r w:rsidR="00A83AD9">
        <w:t xml:space="preserve"> a </w:t>
      </w:r>
      <w:r w:rsidR="00F1535B" w:rsidRPr="00F1535B">
        <w:t>vodní zákon. Tyto právní předpisy však jako alternativu</w:t>
      </w:r>
      <w:r w:rsidR="00A83AD9">
        <w:t xml:space="preserve"> k </w:t>
      </w:r>
      <w:r w:rsidR="00F1535B" w:rsidRPr="00F1535B">
        <w:t>podmínce minimálně tříleté existence spolku stanoví podmínku předložení podporující listiny</w:t>
      </w:r>
      <w:r w:rsidR="00A83AD9">
        <w:t xml:space="preserve"> s </w:t>
      </w:r>
      <w:r w:rsidR="00F1535B" w:rsidRPr="00F1535B">
        <w:t>podpisem nejméně 200 osob.</w:t>
      </w:r>
      <w:r w:rsidR="00A83AD9">
        <w:t xml:space="preserve"> S </w:t>
      </w:r>
      <w:r w:rsidR="00F1535B" w:rsidRPr="00F1535B">
        <w:t>obdobnou konstrukcí</w:t>
      </w:r>
      <w:r w:rsidR="00A83AD9">
        <w:t xml:space="preserve"> do </w:t>
      </w:r>
      <w:r w:rsidR="00F1535B" w:rsidRPr="00F1535B">
        <w:t>budoucna počítá</w:t>
      </w:r>
      <w:r w:rsidR="00A83AD9">
        <w:t xml:space="preserve"> i </w:t>
      </w:r>
      <w:r w:rsidR="00F1535B" w:rsidRPr="00F1535B">
        <w:t>zákon</w:t>
      </w:r>
      <w:r w:rsidR="00A83AD9">
        <w:t xml:space="preserve"> o </w:t>
      </w:r>
      <w:r w:rsidR="00F1535B" w:rsidRPr="00F1535B">
        <w:t>integrované prevenci</w:t>
      </w:r>
      <w:r>
        <w:t>.  D</w:t>
      </w:r>
      <w:r w:rsidR="00F1535B" w:rsidRPr="00F1535B">
        <w:t xml:space="preserve">le názoru </w:t>
      </w:r>
      <w:r>
        <w:t xml:space="preserve">ochránce </w:t>
      </w:r>
      <w:r w:rsidR="00F1535B" w:rsidRPr="00F1535B">
        <w:t>není důvod, proč se</w:t>
      </w:r>
      <w:r w:rsidR="00A83AD9">
        <w:t xml:space="preserve"> od </w:t>
      </w:r>
      <w:r w:rsidR="00F1535B" w:rsidRPr="00F1535B">
        <w:t>této konstrukce</w:t>
      </w:r>
      <w:r w:rsidR="00A83AD9">
        <w:t xml:space="preserve"> v </w:t>
      </w:r>
      <w:r w:rsidR="00F1535B" w:rsidRPr="00F1535B">
        <w:t>případě zákona</w:t>
      </w:r>
      <w:r w:rsidR="00A83AD9">
        <w:t xml:space="preserve"> o </w:t>
      </w:r>
      <w:r w:rsidR="00F1535B" w:rsidRPr="00F1535B">
        <w:t>ochraně ovzduší odchýlit</w:t>
      </w:r>
      <w:r w:rsidR="00A83AD9">
        <w:t xml:space="preserve"> a </w:t>
      </w:r>
      <w:r w:rsidR="00F1535B" w:rsidRPr="00F1535B">
        <w:t>omezit účast spolků jen</w:t>
      </w:r>
      <w:r w:rsidR="00A83AD9">
        <w:t xml:space="preserve"> na </w:t>
      </w:r>
      <w:r w:rsidR="00F1535B" w:rsidRPr="00F1535B">
        <w:t>spolky, které již minimálně tři roky existují.</w:t>
      </w:r>
      <w:r w:rsidR="00A83AD9">
        <w:t xml:space="preserve"> I v </w:t>
      </w:r>
      <w:r w:rsidR="00F1535B" w:rsidRPr="00F1535B">
        <w:t>oblasti ochrany ovzduší může dojít</w:t>
      </w:r>
      <w:r w:rsidR="00A83AD9">
        <w:t xml:space="preserve"> k </w:t>
      </w:r>
      <w:r w:rsidR="00F1535B" w:rsidRPr="00F1535B">
        <w:t>tomu, že potřeba vytvořit místní ekologický spolek vznikne až</w:t>
      </w:r>
      <w:r w:rsidR="00A83AD9">
        <w:t xml:space="preserve"> za </w:t>
      </w:r>
      <w:r w:rsidR="00F1535B" w:rsidRPr="00F1535B">
        <w:t>situace aktuálně plánovaného umístění konkrétního vyjmenovávaného stacionárního zdroje,</w:t>
      </w:r>
      <w:r w:rsidR="00A83AD9">
        <w:t xml:space="preserve"> k </w:t>
      </w:r>
      <w:r w:rsidR="00F1535B" w:rsidRPr="00F1535B">
        <w:t>němuž se budou chtít místní obyvatelé prostřednictvím spolku vyjádřit.</w:t>
      </w:r>
      <w:r>
        <w:t xml:space="preserve"> Ochránce proto n</w:t>
      </w:r>
      <w:r w:rsidR="00F1535B" w:rsidRPr="00F1535B">
        <w:t>avrh</w:t>
      </w:r>
      <w:r>
        <w:t xml:space="preserve">l </w:t>
      </w:r>
      <w:r w:rsidR="00F1535B" w:rsidRPr="00F1535B">
        <w:t>upravit znění</w:t>
      </w:r>
      <w:r w:rsidR="00A83AD9">
        <w:t xml:space="preserve"> § </w:t>
      </w:r>
      <w:r w:rsidR="00F1535B" w:rsidRPr="00F1535B">
        <w:t>13a odst. 3 tak, že účastníkem řízení bude také právnická osoba soukromého práva, (…) která vznikla alespoň 3 roky před dnem zveřejnění informace</w:t>
      </w:r>
      <w:r w:rsidR="00A83AD9">
        <w:t xml:space="preserve"> o </w:t>
      </w:r>
      <w:r w:rsidR="00F1535B" w:rsidRPr="00F1535B">
        <w:t>zahájení řízení</w:t>
      </w:r>
      <w:r w:rsidR="00A83AD9">
        <w:t xml:space="preserve"> na </w:t>
      </w:r>
      <w:r w:rsidR="00F1535B" w:rsidRPr="00F1535B">
        <w:t>úřední desce nebo kterou podporuje svými podpisy nejméně 200 osob</w:t>
      </w:r>
      <w:r w:rsidR="00A83AD9">
        <w:t xml:space="preserve"> na </w:t>
      </w:r>
      <w:r w:rsidR="00F1535B" w:rsidRPr="00F1535B">
        <w:t xml:space="preserve">podporující listině, (….). </w:t>
      </w:r>
    </w:p>
    <w:p w14:paraId="7476471E" w14:textId="7D4021EE" w:rsidR="00D30D8B" w:rsidRDefault="00D30D8B" w:rsidP="00F1535B">
      <w:pPr>
        <w:pStyle w:val="Zkladntext"/>
      </w:pPr>
    </w:p>
    <w:p w14:paraId="206290E3" w14:textId="77777777" w:rsidR="00D30D8B" w:rsidRPr="00F1535B" w:rsidRDefault="00D30D8B" w:rsidP="00F1535B">
      <w:pPr>
        <w:pStyle w:val="Zkladntext"/>
      </w:pPr>
    </w:p>
    <w:p w14:paraId="6FA6F263" w14:textId="2FAC68F4" w:rsidR="00684B42" w:rsidRDefault="00684B42" w:rsidP="00684B42">
      <w:pPr>
        <w:pStyle w:val="Zkladntext"/>
        <w:rPr>
          <w:b/>
        </w:rPr>
      </w:pPr>
      <w:r w:rsidRPr="00627BE3">
        <w:rPr>
          <w:b/>
        </w:rPr>
        <w:t>Připomínky</w:t>
      </w:r>
      <w:r w:rsidR="00A83AD9">
        <w:rPr>
          <w:b/>
        </w:rPr>
        <w:t xml:space="preserve"> k </w:t>
      </w:r>
      <w:r w:rsidRPr="00627BE3">
        <w:rPr>
          <w:b/>
        </w:rPr>
        <w:t>no</w:t>
      </w:r>
      <w:r w:rsidR="00063835">
        <w:rPr>
          <w:b/>
        </w:rPr>
        <w:t xml:space="preserve">vému cizineckému </w:t>
      </w:r>
      <w:r w:rsidRPr="00627BE3">
        <w:rPr>
          <w:b/>
        </w:rPr>
        <w:t>zákon</w:t>
      </w:r>
      <w:r w:rsidR="00063835">
        <w:rPr>
          <w:b/>
        </w:rPr>
        <w:t>u</w:t>
      </w:r>
      <w:r w:rsidRPr="00627BE3">
        <w:rPr>
          <w:rStyle w:val="Znakapoznpodarou"/>
          <w:b w:val="0"/>
        </w:rPr>
        <w:footnoteReference w:id="12"/>
      </w:r>
    </w:p>
    <w:p w14:paraId="1E5CD12F" w14:textId="23052F3C" w:rsidR="00063835" w:rsidRPr="00063835" w:rsidRDefault="00063835" w:rsidP="00063835">
      <w:pPr>
        <w:pStyle w:val="Zkladntext"/>
      </w:pPr>
      <w:r w:rsidRPr="00063835">
        <w:t>Ochránce uplatnil celkem 139 připomínek</w:t>
      </w:r>
      <w:r w:rsidR="00A83AD9">
        <w:t xml:space="preserve"> k </w:t>
      </w:r>
      <w:r w:rsidRPr="00063835">
        <w:t>návrhu nového zákona</w:t>
      </w:r>
      <w:r w:rsidR="00A83AD9">
        <w:t xml:space="preserve"> o </w:t>
      </w:r>
      <w:r w:rsidRPr="00063835">
        <w:t>vstupu</w:t>
      </w:r>
      <w:r w:rsidR="00A83AD9">
        <w:t xml:space="preserve"> a </w:t>
      </w:r>
      <w:r w:rsidRPr="00063835">
        <w:t>pobytu cizinců. Návrh představuje zcela novou podobu cizineckého zákona, připomínky proto směřovaly</w:t>
      </w:r>
      <w:r w:rsidR="00A83AD9">
        <w:t xml:space="preserve"> k </w:t>
      </w:r>
      <w:r w:rsidRPr="00063835">
        <w:t>různým ustanovením napříč celým jeho zněním</w:t>
      </w:r>
      <w:r w:rsidR="00A83AD9">
        <w:t xml:space="preserve"> a </w:t>
      </w:r>
      <w:r w:rsidRPr="00063835">
        <w:t>týkaly se jak hmotněprávních, tak procesních aspektů. Ochránce upozornil mimo jiné</w:t>
      </w:r>
      <w:r w:rsidR="00A83AD9">
        <w:t xml:space="preserve"> na </w:t>
      </w:r>
      <w:r w:rsidRPr="00063835">
        <w:t>nedostatky</w:t>
      </w:r>
      <w:r w:rsidR="00A83AD9">
        <w:t xml:space="preserve"> v </w:t>
      </w:r>
      <w:r w:rsidRPr="00063835">
        <w:t>úpravě týkající se občanů EU</w:t>
      </w:r>
      <w:r w:rsidR="00A83AD9">
        <w:t xml:space="preserve"> a </w:t>
      </w:r>
      <w:r w:rsidRPr="00063835">
        <w:t>jejich rodinných příslušníků,</w:t>
      </w:r>
      <w:r w:rsidR="00A83AD9">
        <w:t xml:space="preserve"> a </w:t>
      </w:r>
      <w:r w:rsidRPr="00063835">
        <w:t>to jak</w:t>
      </w:r>
      <w:r w:rsidR="00A83AD9">
        <w:t xml:space="preserve"> při </w:t>
      </w:r>
      <w:r w:rsidRPr="00063835">
        <w:t>jejich vstupu</w:t>
      </w:r>
      <w:r w:rsidR="00A83AD9">
        <w:t xml:space="preserve"> na </w:t>
      </w:r>
      <w:r w:rsidRPr="00063835">
        <w:t>území, tak např.</w:t>
      </w:r>
      <w:r w:rsidR="00A83AD9">
        <w:t xml:space="preserve"> při </w:t>
      </w:r>
      <w:r w:rsidRPr="00063835">
        <w:t>neudělení trvalého pobytu či jeho ukončení. Zabýval se úpravou postavení nezletilých bez doprovodu včetně určování jejich věku. Poukázal</w:t>
      </w:r>
      <w:r w:rsidR="00A83AD9">
        <w:t xml:space="preserve"> na </w:t>
      </w:r>
      <w:r w:rsidRPr="00063835">
        <w:t>nedostatky</w:t>
      </w:r>
      <w:r w:rsidR="00A83AD9">
        <w:t xml:space="preserve"> v </w:t>
      </w:r>
      <w:r w:rsidRPr="00063835">
        <w:t>právní úpravě nově zaváděného institutu garanta. Řada připomínek směřovala</w:t>
      </w:r>
      <w:r w:rsidR="00A83AD9">
        <w:t xml:space="preserve"> i k </w:t>
      </w:r>
      <w:r w:rsidRPr="00063835">
        <w:t>procesu udělování dlouhodobých víz. Ochránce dále opakovaně rozporoval nedostatky týkající se úpravy postavení osob bez státní příslušnosti, které dostatečně neřeší ani nový zákon. Problémy shledal</w:t>
      </w:r>
      <w:r w:rsidR="00A83AD9">
        <w:t xml:space="preserve"> i ve </w:t>
      </w:r>
      <w:r w:rsidRPr="00063835">
        <w:t>vztahu</w:t>
      </w:r>
      <w:r w:rsidR="00A83AD9">
        <w:t xml:space="preserve"> ke </w:t>
      </w:r>
      <w:r w:rsidRPr="00063835">
        <w:t>změnám týkajícím se zajištění cizinců. Množství připomínek pak směřovalo</w:t>
      </w:r>
      <w:r w:rsidR="00A83AD9">
        <w:t xml:space="preserve"> na </w:t>
      </w:r>
      <w:r w:rsidRPr="00063835">
        <w:t>různé procesní aspekty právní úpravy,</w:t>
      </w:r>
      <w:r w:rsidR="00A83AD9">
        <w:t xml:space="preserve"> od </w:t>
      </w:r>
      <w:r w:rsidRPr="00063835">
        <w:t>podávání žádostí, přes otázku účastenství</w:t>
      </w:r>
      <w:r w:rsidR="00A83AD9">
        <w:t xml:space="preserve"> v </w:t>
      </w:r>
      <w:r w:rsidRPr="00063835">
        <w:t>řízení,</w:t>
      </w:r>
      <w:r w:rsidR="00A83AD9">
        <w:t xml:space="preserve"> po </w:t>
      </w:r>
      <w:r w:rsidRPr="00063835">
        <w:t>problematické výluky soudního přezkumu nebo nakládání</w:t>
      </w:r>
      <w:r w:rsidR="00A83AD9">
        <w:t xml:space="preserve"> s </w:t>
      </w:r>
      <w:r w:rsidRPr="00063835">
        <w:t>utajovanými informacemi.</w:t>
      </w:r>
    </w:p>
    <w:p w14:paraId="1D56B707" w14:textId="3A3BE58E" w:rsidR="0087661D" w:rsidRDefault="00AB2440" w:rsidP="00AB2440">
      <w:pPr>
        <w:pStyle w:val="Nadpis3"/>
      </w:pPr>
      <w:bookmarkStart w:id="26" w:name="_Toc141694095"/>
      <w:r w:rsidRPr="00AB2440">
        <w:t>Bezpečný výjezd</w:t>
      </w:r>
      <w:r w:rsidR="00A83AD9">
        <w:t xml:space="preserve"> z </w:t>
      </w:r>
      <w:r w:rsidRPr="00AB2440">
        <w:t>pozemku</w:t>
      </w:r>
      <w:r w:rsidR="00A83AD9">
        <w:t xml:space="preserve"> na </w:t>
      </w:r>
      <w:r w:rsidRPr="00AB2440">
        <w:t>pozemní komunikaci</w:t>
      </w:r>
      <w:r w:rsidR="0087661D">
        <w:t xml:space="preserve"> (</w:t>
      </w:r>
      <w:r w:rsidR="0087661D" w:rsidRPr="00ED4F91">
        <w:t xml:space="preserve">sp. zn. </w:t>
      </w:r>
      <w:r>
        <w:t>15049</w:t>
      </w:r>
      <w:r w:rsidR="0087661D" w:rsidRPr="008D4F1F">
        <w:t>/20</w:t>
      </w:r>
      <w:r>
        <w:t>22</w:t>
      </w:r>
      <w:r w:rsidR="0087661D" w:rsidRPr="008D4F1F">
        <w:t>/</w:t>
      </w:r>
      <w:r>
        <w:t>VOP</w:t>
      </w:r>
      <w:r w:rsidR="0087661D">
        <w:t>)</w:t>
      </w:r>
      <w:r w:rsidR="004D4219">
        <w:rPr>
          <w:rStyle w:val="Znakapoznpodarou"/>
        </w:rPr>
        <w:footnoteReference w:id="13"/>
      </w:r>
      <w:bookmarkEnd w:id="26"/>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7927"/>
      </w:tblGrid>
      <w:tr w:rsidR="008A1027" w14:paraId="1A364B7A" w14:textId="77777777" w:rsidTr="008D4F1F">
        <w:tc>
          <w:tcPr>
            <w:tcW w:w="567" w:type="dxa"/>
          </w:tcPr>
          <w:p w14:paraId="22B8400B" w14:textId="77777777" w:rsidR="008A1027" w:rsidRDefault="008A1027" w:rsidP="008A1027">
            <w:pPr>
              <w:pStyle w:val="Zkladntext"/>
              <w:jc w:val="center"/>
            </w:pPr>
            <w:r>
              <w:rPr>
                <w:noProof/>
              </w:rPr>
              <w:drawing>
                <wp:anchor distT="0" distB="0" distL="114300" distR="114300" simplePos="0" relativeHeight="251658240" behindDoc="0" locked="0" layoutInCell="1" allowOverlap="1" wp14:anchorId="2AE8BCD6" wp14:editId="3DA11736">
                  <wp:simplePos x="0" y="0"/>
                  <wp:positionH relativeFrom="column">
                    <wp:posOffset>-3810</wp:posOffset>
                  </wp:positionH>
                  <wp:positionV relativeFrom="paragraph">
                    <wp:posOffset>5715</wp:posOffset>
                  </wp:positionV>
                  <wp:extent cx="283210" cy="283210"/>
                  <wp:effectExtent l="0" t="0" r="0" b="2540"/>
                  <wp:wrapNone/>
                  <wp:docPr id="89" name="Grafický objekt 89" descr="Žáro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ightbul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5"/>
                              </a:ext>
                            </a:extLst>
                          </a:blip>
                          <a:stretch>
                            <a:fillRect/>
                          </a:stretch>
                        </pic:blipFill>
                        <pic:spPr>
                          <a:xfrm>
                            <a:off x="0" y="0"/>
                            <a:ext cx="283210" cy="283210"/>
                          </a:xfrm>
                          <a:prstGeom prst="rect">
                            <a:avLst/>
                          </a:prstGeom>
                        </pic:spPr>
                      </pic:pic>
                    </a:graphicData>
                  </a:graphic>
                </wp:anchor>
              </w:drawing>
            </w:r>
          </w:p>
        </w:tc>
        <w:tc>
          <w:tcPr>
            <w:tcW w:w="7927" w:type="dxa"/>
          </w:tcPr>
          <w:p w14:paraId="117D97D4" w14:textId="514FC4D1" w:rsidR="008D4F1F" w:rsidRDefault="003110A7" w:rsidP="00AB2440">
            <w:pPr>
              <w:pStyle w:val="Zkladntext"/>
            </w:pPr>
            <w:r w:rsidRPr="003110A7">
              <w:t>Nedostatečný rozhled</w:t>
            </w:r>
            <w:r w:rsidR="00A83AD9">
              <w:t xml:space="preserve"> na </w:t>
            </w:r>
            <w:r w:rsidRPr="003110A7">
              <w:t>výjezdu</w:t>
            </w:r>
            <w:r w:rsidR="00A83AD9">
              <w:t xml:space="preserve"> z </w:t>
            </w:r>
            <w:r w:rsidRPr="003110A7">
              <w:t>pozemku</w:t>
            </w:r>
            <w:r w:rsidR="00A83AD9">
              <w:t xml:space="preserve"> na </w:t>
            </w:r>
            <w:r w:rsidRPr="003110A7">
              <w:t>pozemní komunikaci musí být řešen efektivně. Dopravní značení zakazující předjíždění, upozorňující</w:t>
            </w:r>
            <w:r w:rsidR="00A83AD9">
              <w:t xml:space="preserve"> na </w:t>
            </w:r>
            <w:r w:rsidRPr="003110A7">
              <w:t>nejvyšší povolenou rychlost</w:t>
            </w:r>
            <w:r w:rsidR="00A83AD9">
              <w:t xml:space="preserve"> a </w:t>
            </w:r>
            <w:r w:rsidRPr="003110A7">
              <w:t>pohyb chodců je nutné doplnit</w:t>
            </w:r>
            <w:r w:rsidR="00A83AD9">
              <w:t xml:space="preserve"> o </w:t>
            </w:r>
            <w:r w:rsidRPr="003110A7">
              <w:t>další prostředky, například protiparkovací sloupky nebo dopravní zrcadlo.</w:t>
            </w:r>
          </w:p>
        </w:tc>
      </w:tr>
    </w:tbl>
    <w:p w14:paraId="42C99602" w14:textId="77777777" w:rsidR="00AB2440" w:rsidRDefault="00AB2440" w:rsidP="00AB2440">
      <w:pPr>
        <w:pStyle w:val="Zkladntext"/>
      </w:pPr>
    </w:p>
    <w:p w14:paraId="301781CC" w14:textId="2A81BAD3" w:rsidR="003110A7" w:rsidRDefault="003110A7" w:rsidP="003110A7">
      <w:pPr>
        <w:pStyle w:val="Zkladntext"/>
      </w:pPr>
      <w:r w:rsidRPr="007040C8">
        <w:t xml:space="preserve">Stěžovatelka </w:t>
      </w:r>
      <w:r>
        <w:t>měla kvůli nelegálnímu parkování cizích vozidel</w:t>
      </w:r>
      <w:r w:rsidR="00A83AD9">
        <w:t xml:space="preserve"> na </w:t>
      </w:r>
      <w:r>
        <w:t>travnaté ploše podél komunikace nedostatečné rozhledové podmínky</w:t>
      </w:r>
      <w:r w:rsidR="00A83AD9">
        <w:t xml:space="preserve"> při </w:t>
      </w:r>
      <w:r>
        <w:t>výjezdu</w:t>
      </w:r>
      <w:r w:rsidR="00A83AD9">
        <w:t xml:space="preserve"> ze </w:t>
      </w:r>
      <w:r>
        <w:t>svého pozemku. Silniční správní úřad</w:t>
      </w:r>
      <w:r w:rsidR="00A83AD9">
        <w:t xml:space="preserve"> na </w:t>
      </w:r>
      <w:r>
        <w:t>pozemní komunikaci umístil dopravní značení zakazující předjíždění</w:t>
      </w:r>
      <w:r w:rsidR="00A83AD9">
        <w:t xml:space="preserve"> a </w:t>
      </w:r>
      <w:r>
        <w:t>zdůrazňující povinnost jezdit maximální rychlostí 50 km/h</w:t>
      </w:r>
      <w:r w:rsidR="00A83AD9">
        <w:t xml:space="preserve"> a </w:t>
      </w:r>
      <w:r>
        <w:t>umístil</w:t>
      </w:r>
      <w:r w:rsidR="00A83AD9">
        <w:t xml:space="preserve"> k </w:t>
      </w:r>
      <w:r>
        <w:t>parkovací ploše sloupky zabraňující parkování</w:t>
      </w:r>
      <w:r w:rsidR="00A83AD9">
        <w:t xml:space="preserve"> v </w:t>
      </w:r>
      <w:r>
        <w:t>úplné blízkosti výjezdu. Stěžovatelka ale tato opatření nepovažovala</w:t>
      </w:r>
      <w:r w:rsidR="00A83AD9">
        <w:t xml:space="preserve"> za </w:t>
      </w:r>
      <w:r>
        <w:t xml:space="preserve">dostatečná. </w:t>
      </w:r>
    </w:p>
    <w:p w14:paraId="10DB3DA3" w14:textId="4C6E99C6" w:rsidR="003110A7" w:rsidRDefault="003110A7" w:rsidP="003110A7">
      <w:pPr>
        <w:pStyle w:val="Zkladntext"/>
      </w:pPr>
      <w:r>
        <w:t>Ochránce požádal dopravní inspektorát Policie ČR jako odborného garanta BESIP</w:t>
      </w:r>
      <w:r w:rsidR="00A83AD9">
        <w:t xml:space="preserve"> o </w:t>
      </w:r>
      <w:r>
        <w:t>vyjádření. Inspektorát potvrdil nedostatečné rozhledové poměry. Silniční správní úřad</w:t>
      </w:r>
      <w:r w:rsidR="00A83AD9">
        <w:t xml:space="preserve"> po </w:t>
      </w:r>
      <w:r>
        <w:t xml:space="preserve"> výzvě ochránce podpořené stanoviskem inspektorátu povolil naproti výjezdu stěžovatelky umístění dopravního odrazového zrcadla.</w:t>
      </w:r>
      <w:r w:rsidR="00A83AD9">
        <w:t xml:space="preserve"> K </w:t>
      </w:r>
      <w:r>
        <w:t xml:space="preserve">úplnému vyřešení problému dojde až odstraněním nelegální parkovací plochy. Postupem stavebního úřadu, který řešil vznik této nelegální parkovací plochy, se ochránce zabývá </w:t>
      </w:r>
      <w:r w:rsidR="00A83AD9">
        <w:t xml:space="preserve"> v </w:t>
      </w:r>
      <w:r>
        <w:t xml:space="preserve">samostatném případu. </w:t>
      </w:r>
    </w:p>
    <w:p w14:paraId="0C4C65A5" w14:textId="735AD252" w:rsidR="008E594E" w:rsidRDefault="004D4219" w:rsidP="004D4219">
      <w:pPr>
        <w:pStyle w:val="Nadpis3"/>
      </w:pPr>
      <w:bookmarkStart w:id="27" w:name="_Toc141694096"/>
      <w:r w:rsidRPr="004D4219">
        <w:t>Hranice mezi nátlakem</w:t>
      </w:r>
      <w:r w:rsidR="00A83AD9">
        <w:t xml:space="preserve"> a </w:t>
      </w:r>
      <w:r w:rsidRPr="004D4219">
        <w:t>informováním</w:t>
      </w:r>
      <w:r w:rsidR="00A83AD9">
        <w:t xml:space="preserve"> o </w:t>
      </w:r>
      <w:r w:rsidRPr="004D4219">
        <w:t>možnosti léčby bez souhlasu pacienta</w:t>
      </w:r>
      <w:r w:rsidR="008E594E">
        <w:t xml:space="preserve"> (</w:t>
      </w:r>
      <w:r w:rsidR="008E594E" w:rsidRPr="00ED4F91">
        <w:t xml:space="preserve">sp. zn. </w:t>
      </w:r>
      <w:r>
        <w:t>17181</w:t>
      </w:r>
      <w:r w:rsidR="008E594E" w:rsidRPr="008D4F1F">
        <w:t>/20</w:t>
      </w:r>
      <w:r>
        <w:t>22</w:t>
      </w:r>
      <w:r w:rsidR="008E594E" w:rsidRPr="008D4F1F">
        <w:t>/</w:t>
      </w:r>
      <w:r>
        <w:t>VOP</w:t>
      </w:r>
      <w:r w:rsidR="008E594E">
        <w:t>)</w:t>
      </w:r>
      <w:r w:rsidR="006824E7">
        <w:rPr>
          <w:rStyle w:val="Znakapoznpodarou"/>
        </w:rPr>
        <w:footnoteReference w:id="14"/>
      </w:r>
      <w:bookmarkEnd w:id="27"/>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7927"/>
      </w:tblGrid>
      <w:tr w:rsidR="008E594E" w14:paraId="79D57283" w14:textId="77777777" w:rsidTr="00FE444B">
        <w:tc>
          <w:tcPr>
            <w:tcW w:w="567" w:type="dxa"/>
          </w:tcPr>
          <w:p w14:paraId="69E42635" w14:textId="77777777" w:rsidR="008E594E" w:rsidRDefault="008E594E" w:rsidP="00FE444B">
            <w:pPr>
              <w:pStyle w:val="Zkladntext"/>
              <w:jc w:val="center"/>
            </w:pPr>
            <w:r>
              <w:rPr>
                <w:noProof/>
              </w:rPr>
              <w:drawing>
                <wp:anchor distT="0" distB="0" distL="114300" distR="114300" simplePos="0" relativeHeight="251660288" behindDoc="0" locked="0" layoutInCell="1" allowOverlap="1" wp14:anchorId="1B712A19" wp14:editId="5F68BADA">
                  <wp:simplePos x="0" y="0"/>
                  <wp:positionH relativeFrom="column">
                    <wp:posOffset>-3810</wp:posOffset>
                  </wp:positionH>
                  <wp:positionV relativeFrom="paragraph">
                    <wp:posOffset>5715</wp:posOffset>
                  </wp:positionV>
                  <wp:extent cx="283210" cy="283210"/>
                  <wp:effectExtent l="0" t="0" r="0" b="2540"/>
                  <wp:wrapNone/>
                  <wp:docPr id="4" name="Grafický objekt 89" descr="Žáro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ightbul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5"/>
                              </a:ext>
                            </a:extLst>
                          </a:blip>
                          <a:stretch>
                            <a:fillRect/>
                          </a:stretch>
                        </pic:blipFill>
                        <pic:spPr>
                          <a:xfrm>
                            <a:off x="0" y="0"/>
                            <a:ext cx="283210" cy="283210"/>
                          </a:xfrm>
                          <a:prstGeom prst="rect">
                            <a:avLst/>
                          </a:prstGeom>
                        </pic:spPr>
                      </pic:pic>
                    </a:graphicData>
                  </a:graphic>
                </wp:anchor>
              </w:drawing>
            </w:r>
          </w:p>
        </w:tc>
        <w:tc>
          <w:tcPr>
            <w:tcW w:w="7927" w:type="dxa"/>
          </w:tcPr>
          <w:p w14:paraId="709AB317" w14:textId="56FFFFF0" w:rsidR="008E594E" w:rsidRDefault="008E594E" w:rsidP="004D4219">
            <w:pPr>
              <w:pStyle w:val="Zkladntext"/>
            </w:pPr>
            <w:r>
              <w:t xml:space="preserve"> </w:t>
            </w:r>
            <w:r w:rsidR="006824E7" w:rsidRPr="006824E7">
              <w:t>Pokud hrozí, že se pacientův zdravotní stav bez léčby</w:t>
            </w:r>
            <w:r w:rsidR="00A83AD9">
              <w:t xml:space="preserve"> z </w:t>
            </w:r>
            <w:r w:rsidR="006824E7" w:rsidRPr="006824E7">
              <w:t>důvodu duševní poruchy zhorší tak, že se vážně ohrozí</w:t>
            </w:r>
            <w:r w:rsidR="00A83AD9">
              <w:t xml:space="preserve"> a </w:t>
            </w:r>
            <w:r w:rsidR="006824E7" w:rsidRPr="006824E7">
              <w:t>bude proto nutné přistoupit</w:t>
            </w:r>
            <w:r w:rsidR="00A83AD9">
              <w:t xml:space="preserve"> k </w:t>
            </w:r>
            <w:r w:rsidR="006824E7" w:rsidRPr="006824E7">
              <w:t>léčbě bez jeho souhlasu, musí</w:t>
            </w:r>
            <w:r w:rsidR="00A83AD9">
              <w:t xml:space="preserve"> o </w:t>
            </w:r>
            <w:r w:rsidR="006824E7" w:rsidRPr="006824E7">
              <w:t>tom být informován.</w:t>
            </w:r>
            <w:r w:rsidR="00A83AD9">
              <w:t xml:space="preserve"> Z </w:t>
            </w:r>
            <w:r w:rsidR="006824E7" w:rsidRPr="006824E7">
              <w:t>poskytnutých informací musí být zřejmé, že</w:t>
            </w:r>
            <w:r w:rsidR="00A83AD9">
              <w:t xml:space="preserve"> k </w:t>
            </w:r>
            <w:r w:rsidR="006824E7" w:rsidRPr="006824E7">
              <w:t>léčbě bez souhlasu by zdravotníci přistoupili jen</w:t>
            </w:r>
            <w:r w:rsidR="00A83AD9">
              <w:t xml:space="preserve"> v </w:t>
            </w:r>
            <w:r w:rsidR="006824E7" w:rsidRPr="006824E7">
              <w:t>krajní situaci</w:t>
            </w:r>
            <w:r w:rsidR="00A83AD9">
              <w:t xml:space="preserve"> z </w:t>
            </w:r>
            <w:r w:rsidR="006824E7" w:rsidRPr="006824E7">
              <w:t>opodstatněných obav</w:t>
            </w:r>
            <w:r w:rsidR="00A83AD9">
              <w:t xml:space="preserve"> a </w:t>
            </w:r>
            <w:r w:rsidR="006824E7" w:rsidRPr="006824E7">
              <w:t>pouze</w:t>
            </w:r>
            <w:r w:rsidR="00A83AD9">
              <w:t xml:space="preserve"> za </w:t>
            </w:r>
            <w:r w:rsidR="006824E7" w:rsidRPr="006824E7">
              <w:t>účelem neodkladné ochrany života</w:t>
            </w:r>
            <w:r w:rsidR="00A83AD9">
              <w:t xml:space="preserve"> a </w:t>
            </w:r>
            <w:r w:rsidR="006824E7" w:rsidRPr="006824E7">
              <w:t>zdraví pacienta. Pokud je to možné, musí pacienta poučit</w:t>
            </w:r>
            <w:r w:rsidR="00A83AD9">
              <w:t xml:space="preserve"> o </w:t>
            </w:r>
            <w:r w:rsidR="006824E7" w:rsidRPr="006824E7">
              <w:t>alternativách, které by mu mohly pomoci. Informace musí být přizpůsobené pacientovi</w:t>
            </w:r>
            <w:r w:rsidR="00A83AD9">
              <w:t xml:space="preserve"> a </w:t>
            </w:r>
            <w:r w:rsidR="006824E7" w:rsidRPr="006824E7">
              <w:t>jeho stavu</w:t>
            </w:r>
            <w:r w:rsidR="00A83AD9">
              <w:t xml:space="preserve"> a </w:t>
            </w:r>
            <w:r w:rsidR="006824E7" w:rsidRPr="006824E7">
              <w:t>nesmí mít podobu nátlaku nebo dokonce výhrůžek.</w:t>
            </w:r>
          </w:p>
        </w:tc>
      </w:tr>
    </w:tbl>
    <w:p w14:paraId="0C9700DB" w14:textId="415CCD1D" w:rsidR="008E594E" w:rsidRDefault="008E594E" w:rsidP="008E594E">
      <w:pPr>
        <w:pStyle w:val="Zkladntext"/>
      </w:pPr>
    </w:p>
    <w:p w14:paraId="50522004" w14:textId="43B342C5" w:rsidR="006824E7" w:rsidRDefault="006824E7" w:rsidP="006824E7">
      <w:pPr>
        <w:pStyle w:val="Zkladntext"/>
      </w:pPr>
      <w:r>
        <w:t>Stěžovatelka má diagnostikovanou paranoidní schizofrenii. Dlouhodobě popírá, že je nemocná</w:t>
      </w:r>
      <w:r w:rsidR="00A83AD9">
        <w:t xml:space="preserve"> a </w:t>
      </w:r>
      <w:r>
        <w:t>má výhrady</w:t>
      </w:r>
      <w:r w:rsidR="00A83AD9">
        <w:t xml:space="preserve"> k </w:t>
      </w:r>
      <w:r>
        <w:t>léčbě</w:t>
      </w:r>
      <w:r w:rsidR="00A83AD9">
        <w:t xml:space="preserve"> v </w:t>
      </w:r>
      <w:r>
        <w:t>ústavu</w:t>
      </w:r>
      <w:r w:rsidR="00A83AD9">
        <w:t xml:space="preserve"> pro </w:t>
      </w:r>
      <w:r>
        <w:t>výkon zabezpečovací detence. Bez léčby</w:t>
      </w:r>
      <w:r w:rsidR="00A83AD9">
        <w:t xml:space="preserve"> v </w:t>
      </w:r>
      <w:r>
        <w:t>zařízení pobývala prvních 6 měsíců. Pak se její zdravotní stav zhoršil. Stěžovatelka byla přesvědčena, že ji zařízení chce otrávit</w:t>
      </w:r>
      <w:r w:rsidR="00A83AD9">
        <w:t xml:space="preserve"> a </w:t>
      </w:r>
      <w:r>
        <w:t>že vraždí jiné vězně. Případem stěžovatelky už jsme se</w:t>
      </w:r>
      <w:r w:rsidR="00A83AD9">
        <w:t xml:space="preserve"> v </w:t>
      </w:r>
      <w:r>
        <w:t>minulosti zabývali. Shledali jsme pochybení zařízení, protože stěžovatelce vyhrožovalo, že když léky nepřijme</w:t>
      </w:r>
      <w:r w:rsidR="00A83AD9">
        <w:t xml:space="preserve"> v </w:t>
      </w:r>
      <w:r>
        <w:t>podobě tablet, budou jí podány injekčně. Stěžovatelka tvrdila, že se</w:t>
      </w:r>
      <w:r w:rsidR="00A83AD9">
        <w:t xml:space="preserve"> od </w:t>
      </w:r>
      <w:r>
        <w:t xml:space="preserve">minulého šetření nic nezměnilo. </w:t>
      </w:r>
    </w:p>
    <w:p w14:paraId="30415AB0" w14:textId="63CD0ECA" w:rsidR="006824E7" w:rsidRDefault="006824E7" w:rsidP="006824E7">
      <w:pPr>
        <w:pStyle w:val="Zkladntext"/>
      </w:pPr>
      <w:r>
        <w:t>Šetřením</w:t>
      </w:r>
      <w:r w:rsidR="00A83AD9">
        <w:t xml:space="preserve"> na </w:t>
      </w:r>
      <w:r>
        <w:t>místě jsme zjistili, že zařízení stěžovatelce znovu nevyhrožovalo, ale upozorňovalo ji</w:t>
      </w:r>
      <w:r w:rsidR="00A83AD9">
        <w:t xml:space="preserve"> na </w:t>
      </w:r>
      <w:r>
        <w:t>to, že bez léčby se její zdravotní stav může opět zhoršit. Zařízení stěžovatelce umožňuje léky měnit</w:t>
      </w:r>
      <w:r w:rsidR="00A83AD9">
        <w:t xml:space="preserve"> i </w:t>
      </w:r>
      <w:r>
        <w:t>odmítnout. Podle našeho názoru proto zařízení nepochybilo. To, že stěžovatelku zdravotníci upozorňují</w:t>
      </w:r>
      <w:r w:rsidR="00A83AD9">
        <w:t xml:space="preserve"> na </w:t>
      </w:r>
      <w:r>
        <w:t>možnost zhoršení zdravotního stavu až</w:t>
      </w:r>
      <w:r w:rsidR="00A83AD9">
        <w:t xml:space="preserve"> do </w:t>
      </w:r>
      <w:r>
        <w:t>té míry, že by byly naplněny podmínky</w:t>
      </w:r>
      <w:r w:rsidR="00A83AD9">
        <w:t xml:space="preserve"> pro </w:t>
      </w:r>
      <w:r>
        <w:t>léčbu bez souhlasu, nelze považovat</w:t>
      </w:r>
      <w:r w:rsidR="00A83AD9">
        <w:t xml:space="preserve"> za </w:t>
      </w:r>
      <w:r>
        <w:t>nátlak. Jistou formu nátlaku lze najít</w:t>
      </w:r>
      <w:r w:rsidR="00A83AD9">
        <w:t xml:space="preserve"> v </w:t>
      </w:r>
      <w:r>
        <w:t>samotné situaci stěžovatelky. Ta musí volit mezi omezením osobní svobody</w:t>
      </w:r>
      <w:r w:rsidR="00A83AD9">
        <w:t xml:space="preserve"> a </w:t>
      </w:r>
      <w:r>
        <w:t>léčbou, kterou si nepřeje, ale zvyšuje její šance</w:t>
      </w:r>
      <w:r w:rsidR="00A83AD9">
        <w:t xml:space="preserve"> na </w:t>
      </w:r>
      <w:r>
        <w:t>propuštění</w:t>
      </w:r>
      <w:r w:rsidR="00A83AD9">
        <w:t xml:space="preserve"> ze </w:t>
      </w:r>
      <w:r>
        <w:t>zařízení.</w:t>
      </w:r>
      <w:r w:rsidR="00A83AD9">
        <w:t xml:space="preserve"> Za </w:t>
      </w:r>
      <w:r>
        <w:t>tuto formu nátlaku ale nemůže být odpovědné zařízení.</w:t>
      </w:r>
      <w:r w:rsidR="00A83AD9">
        <w:t xml:space="preserve"> O </w:t>
      </w:r>
      <w:r>
        <w:t>omezení osobní svobody stěžovatelky rozhodl soud.</w:t>
      </w:r>
      <w:r w:rsidR="00A83AD9">
        <w:t xml:space="preserve"> Do </w:t>
      </w:r>
      <w:r>
        <w:t>jeho rozhodovací činnosti nemůžeme zasahovat.</w:t>
      </w:r>
    </w:p>
    <w:p w14:paraId="5AAA8D34" w14:textId="4B7144C4" w:rsidR="008E594E" w:rsidRDefault="00A91C5C" w:rsidP="00A91C5C">
      <w:pPr>
        <w:pStyle w:val="Nadpis3"/>
      </w:pPr>
      <w:bookmarkStart w:id="28" w:name="_Toc141694097"/>
      <w:r w:rsidRPr="00A91C5C">
        <w:t>Státní dozor</w:t>
      </w:r>
      <w:r w:rsidR="00A83AD9">
        <w:t xml:space="preserve"> v </w:t>
      </w:r>
      <w:r w:rsidRPr="00A91C5C">
        <w:t xml:space="preserve">oblasti autoškolství </w:t>
      </w:r>
      <w:r w:rsidR="008E594E">
        <w:t>(</w:t>
      </w:r>
      <w:r w:rsidR="008E594E" w:rsidRPr="00ED4F91">
        <w:t xml:space="preserve">sp. zn. </w:t>
      </w:r>
      <w:r>
        <w:t>13433</w:t>
      </w:r>
      <w:r w:rsidR="008E594E" w:rsidRPr="008D4F1F">
        <w:t>/20</w:t>
      </w:r>
      <w:r>
        <w:t>22</w:t>
      </w:r>
      <w:r w:rsidR="008E594E" w:rsidRPr="008D4F1F">
        <w:t>/</w:t>
      </w:r>
      <w:r>
        <w:t>VOP</w:t>
      </w:r>
      <w:r w:rsidR="008E594E">
        <w:t>)</w:t>
      </w:r>
      <w:r>
        <w:rPr>
          <w:rStyle w:val="Znakapoznpodarou"/>
        </w:rPr>
        <w:footnoteReference w:id="15"/>
      </w:r>
      <w:bookmarkEnd w:id="28"/>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7927"/>
      </w:tblGrid>
      <w:tr w:rsidR="008E594E" w14:paraId="004289D3" w14:textId="77777777" w:rsidTr="00FE444B">
        <w:tc>
          <w:tcPr>
            <w:tcW w:w="567" w:type="dxa"/>
          </w:tcPr>
          <w:p w14:paraId="5BF7D988" w14:textId="77777777" w:rsidR="008E594E" w:rsidRDefault="008E594E" w:rsidP="00FE444B">
            <w:pPr>
              <w:pStyle w:val="Zkladntext"/>
              <w:jc w:val="center"/>
            </w:pPr>
            <w:r>
              <w:rPr>
                <w:noProof/>
              </w:rPr>
              <w:drawing>
                <wp:anchor distT="0" distB="0" distL="114300" distR="114300" simplePos="0" relativeHeight="251662336" behindDoc="0" locked="0" layoutInCell="1" allowOverlap="1" wp14:anchorId="6264FABB" wp14:editId="56F3C60F">
                  <wp:simplePos x="0" y="0"/>
                  <wp:positionH relativeFrom="column">
                    <wp:posOffset>-3810</wp:posOffset>
                  </wp:positionH>
                  <wp:positionV relativeFrom="paragraph">
                    <wp:posOffset>5715</wp:posOffset>
                  </wp:positionV>
                  <wp:extent cx="283210" cy="283210"/>
                  <wp:effectExtent l="0" t="0" r="0" b="2540"/>
                  <wp:wrapNone/>
                  <wp:docPr id="5" name="Grafický objekt 89" descr="Žáro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ightbul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5"/>
                              </a:ext>
                            </a:extLst>
                          </a:blip>
                          <a:stretch>
                            <a:fillRect/>
                          </a:stretch>
                        </pic:blipFill>
                        <pic:spPr>
                          <a:xfrm>
                            <a:off x="0" y="0"/>
                            <a:ext cx="283210" cy="283210"/>
                          </a:xfrm>
                          <a:prstGeom prst="rect">
                            <a:avLst/>
                          </a:prstGeom>
                        </pic:spPr>
                      </pic:pic>
                    </a:graphicData>
                  </a:graphic>
                </wp:anchor>
              </w:drawing>
            </w:r>
          </w:p>
        </w:tc>
        <w:tc>
          <w:tcPr>
            <w:tcW w:w="7927" w:type="dxa"/>
          </w:tcPr>
          <w:p w14:paraId="4E6127D9" w14:textId="4872C179" w:rsidR="008E594E" w:rsidRDefault="00FC6241" w:rsidP="00C673C1">
            <w:pPr>
              <w:pStyle w:val="Zkladntext"/>
            </w:pPr>
            <w:r w:rsidRPr="00FC6241">
              <w:t>Stát má</w:t>
            </w:r>
            <w:r w:rsidR="00A83AD9">
              <w:t xml:space="preserve"> na </w:t>
            </w:r>
            <w:r w:rsidRPr="00FC6241">
              <w:t>základě evropských předpisů povinnost dbát</w:t>
            </w:r>
            <w:r w:rsidR="00A83AD9">
              <w:t xml:space="preserve"> na </w:t>
            </w:r>
            <w:r w:rsidRPr="00FC6241">
              <w:t>trvale vysokou úroveň znalostí</w:t>
            </w:r>
            <w:r w:rsidR="00A83AD9">
              <w:t xml:space="preserve"> a </w:t>
            </w:r>
            <w:r w:rsidRPr="00FC6241">
              <w:t>dovedností zkušebních komisařů. Tu musí zajistit  dostatečným personálním obsazením osob vykonávajících státní dozor</w:t>
            </w:r>
            <w:r w:rsidR="00A83AD9">
              <w:t xml:space="preserve"> a </w:t>
            </w:r>
            <w:r w:rsidRPr="00FC6241">
              <w:t>prostřednictvím  adekvátního nastavení kritérií obtížnosti</w:t>
            </w:r>
            <w:r w:rsidR="00A83AD9">
              <w:t xml:space="preserve"> při </w:t>
            </w:r>
            <w:r w:rsidRPr="00FC6241">
              <w:t>jejich přezkušování.</w:t>
            </w:r>
          </w:p>
        </w:tc>
      </w:tr>
    </w:tbl>
    <w:p w14:paraId="3050A7E2" w14:textId="77777777" w:rsidR="00A91C5C" w:rsidRDefault="00A91C5C" w:rsidP="00A91C5C">
      <w:pPr>
        <w:pStyle w:val="Zkladntext"/>
      </w:pPr>
    </w:p>
    <w:p w14:paraId="077B54EC" w14:textId="6E302797" w:rsidR="00A91C5C" w:rsidRDefault="00A91C5C" w:rsidP="00A91C5C">
      <w:pPr>
        <w:pStyle w:val="Zkladntext"/>
      </w:pPr>
      <w:r>
        <w:t>Na veřejného ochránce práv se obrátila Asociace zkušebních komisařů autoškol</w:t>
      </w:r>
      <w:r w:rsidR="00A83AD9">
        <w:t xml:space="preserve"> a </w:t>
      </w:r>
      <w:r>
        <w:t>dalších pracovníků</w:t>
      </w:r>
      <w:r w:rsidR="00A83AD9">
        <w:t xml:space="preserve"> na </w:t>
      </w:r>
      <w:r>
        <w:t>úseku registru řidičů, protože nesouhlasila</w:t>
      </w:r>
      <w:r w:rsidR="00A83AD9">
        <w:t xml:space="preserve"> s </w:t>
      </w:r>
      <w:r>
        <w:t>tím, že zkušební komisaři jsou pravidelně (1x</w:t>
      </w:r>
      <w:r w:rsidR="00A83AD9">
        <w:t xml:space="preserve"> za </w:t>
      </w:r>
      <w:r>
        <w:t>5 let) přezkušování před komisí</w:t>
      </w:r>
      <w:r w:rsidR="00A83AD9">
        <w:t xml:space="preserve"> a </w:t>
      </w:r>
      <w:r>
        <w:t>dále namítala, že Ministerstvo dopravy neplní svou zákonnou povinnost provádět státní dozor alespoň</w:t>
      </w:r>
      <w:r w:rsidR="00A83AD9">
        <w:t xml:space="preserve"> v </w:t>
      </w:r>
      <w:r>
        <w:t>rozsahu 4 hodin</w:t>
      </w:r>
      <w:r w:rsidR="00A83AD9">
        <w:t xml:space="preserve"> v </w:t>
      </w:r>
      <w:r>
        <w:t>průběhu 5 let</w:t>
      </w:r>
      <w:r w:rsidR="00A83AD9">
        <w:t xml:space="preserve"> u </w:t>
      </w:r>
      <w:r>
        <w:t>každého zkušebního komisaře; dozor zahrnuje provádění nejméně 2 zkoušek odborné způsobilosti žadatelů</w:t>
      </w:r>
      <w:r w:rsidR="00A83AD9">
        <w:t xml:space="preserve"> o </w:t>
      </w:r>
      <w:r>
        <w:t>řidičská oprávnění (viz</w:t>
      </w:r>
      <w:r w:rsidR="00A83AD9">
        <w:t xml:space="preserve"> § </w:t>
      </w:r>
      <w:r>
        <w:t>54 odst. 1 zákona</w:t>
      </w:r>
      <w:r w:rsidR="00A83AD9">
        <w:t xml:space="preserve"> č. </w:t>
      </w:r>
      <w:r>
        <w:t>247/2000 Sb.).</w:t>
      </w:r>
    </w:p>
    <w:p w14:paraId="21759EF4" w14:textId="62D69A80" w:rsidR="00A91C5C" w:rsidRDefault="00A91C5C" w:rsidP="00A91C5C">
      <w:pPr>
        <w:pStyle w:val="Zkladntext"/>
      </w:pPr>
      <w:r>
        <w:t>V otázce pravidelných přezkoušení ochránce pochybení neshledal, neboť stát má</w:t>
      </w:r>
      <w:r w:rsidR="00A83AD9">
        <w:t xml:space="preserve"> na </w:t>
      </w:r>
      <w:r>
        <w:t>základě evropských předpisů  povinnost dbát</w:t>
      </w:r>
      <w:r w:rsidR="00A83AD9">
        <w:t xml:space="preserve"> na </w:t>
      </w:r>
      <w:r>
        <w:t>trvale vysokou úroveň znalostí</w:t>
      </w:r>
      <w:r w:rsidR="00A83AD9">
        <w:t xml:space="preserve"> a </w:t>
      </w:r>
      <w:r>
        <w:t>dovedností zkušebních komisařů</w:t>
      </w:r>
      <w:r w:rsidR="00A83AD9">
        <w:t xml:space="preserve"> a za </w:t>
      </w:r>
      <w:r>
        <w:t>tímto účelem může zřídit systém opětovných akreditací – což Česká republika využila</w:t>
      </w:r>
      <w:r w:rsidR="00A83AD9">
        <w:t xml:space="preserve"> a </w:t>
      </w:r>
      <w:r>
        <w:t>zkušební komisaři se tak každoročně účastní školicích akcí</w:t>
      </w:r>
      <w:r w:rsidR="00A83AD9">
        <w:t xml:space="preserve"> a </w:t>
      </w:r>
      <w:r>
        <w:t>jednou</w:t>
      </w:r>
      <w:r w:rsidR="00A83AD9">
        <w:t xml:space="preserve"> za </w:t>
      </w:r>
      <w:r>
        <w:t>5 let se musí podrobit přezkoušení. Bez něj nemohou svou práci dále vykonávat. Ochránce zjistil, že hodnotící kritéria</w:t>
      </w:r>
      <w:r w:rsidR="00A83AD9">
        <w:t xml:space="preserve"> u </w:t>
      </w:r>
      <w:r>
        <w:t>přezkoušení nejsou nepřiměřeně přísná, protože zkoušky úspěšně složí drtivá většina zkušebních komisařů.</w:t>
      </w:r>
    </w:p>
    <w:p w14:paraId="385FB97A" w14:textId="759F6215" w:rsidR="00A91C5C" w:rsidRDefault="00A91C5C" w:rsidP="00A91C5C">
      <w:pPr>
        <w:pStyle w:val="Zkladntext"/>
      </w:pPr>
      <w:r>
        <w:t>Pochybení ale ochránce shledal</w:t>
      </w:r>
      <w:r w:rsidR="00A83AD9">
        <w:t xml:space="preserve"> v </w:t>
      </w:r>
      <w:r>
        <w:t>naplňování zákonného požadavku</w:t>
      </w:r>
      <w:r w:rsidR="00A83AD9">
        <w:t xml:space="preserve"> na </w:t>
      </w:r>
      <w:r>
        <w:t>výkon státního dozoru. Ten je nyní nastaven tak, že jej ministerstvo není</w:t>
      </w:r>
      <w:r w:rsidR="00A83AD9">
        <w:t xml:space="preserve"> s </w:t>
      </w:r>
      <w:r>
        <w:t>to</w:t>
      </w:r>
      <w:r w:rsidR="00A83AD9">
        <w:t xml:space="preserve"> z </w:t>
      </w:r>
      <w:r>
        <w:t>kapacitních důvodů realizovat. Ministerstvo</w:t>
      </w:r>
      <w:r w:rsidR="00A83AD9">
        <w:t xml:space="preserve"> za </w:t>
      </w:r>
      <w:r>
        <w:t>poslední 3 roky provedlo celkem 65 kontrol (17, 29</w:t>
      </w:r>
      <w:r w:rsidR="00A83AD9">
        <w:t xml:space="preserve"> a </w:t>
      </w:r>
      <w:r>
        <w:t>19). Aktuální počet zkušebních komisařů je 471 zaměstnaných obecními úřady</w:t>
      </w:r>
      <w:r w:rsidR="00A83AD9">
        <w:t xml:space="preserve"> s </w:t>
      </w:r>
      <w:r>
        <w:t>rozšířenou působností</w:t>
      </w:r>
      <w:r w:rsidR="00A83AD9">
        <w:t xml:space="preserve"> a </w:t>
      </w:r>
      <w:r>
        <w:t>20 zkušebních komisařů Armády ČR</w:t>
      </w:r>
      <w:r w:rsidR="00A83AD9">
        <w:t xml:space="preserve"> ve </w:t>
      </w:r>
      <w:r>
        <w:t xml:space="preserve">služebním poměru. Je tedy zjevné, že dosavadní tempo provádění kontrol není dostačující, protože během 5 let by měl být každý zkušební komisař podroben státnímu dozoru. </w:t>
      </w:r>
    </w:p>
    <w:p w14:paraId="13AE1CE7" w14:textId="336E817D" w:rsidR="008E594E" w:rsidRDefault="00A91C5C" w:rsidP="00A91C5C">
      <w:pPr>
        <w:pStyle w:val="Zkladntext"/>
      </w:pPr>
      <w:r>
        <w:t>Ochránce uznává, že současný požadavek zákona je bez navýšení počtu úředních osob nesplnitelný</w:t>
      </w:r>
      <w:r w:rsidR="00A83AD9">
        <w:t xml:space="preserve"> a </w:t>
      </w:r>
      <w:r>
        <w:t>stejně tak požadavek</w:t>
      </w:r>
      <w:r w:rsidR="00A83AD9">
        <w:t xml:space="preserve"> na </w:t>
      </w:r>
      <w:r>
        <w:t>zvýšení počtu úředníků není</w:t>
      </w:r>
      <w:r w:rsidR="00A83AD9">
        <w:t xml:space="preserve"> v </w:t>
      </w:r>
      <w:r>
        <w:t>dnešní době politicky průchodný. Jediné řešení, jak zabránit porušování zákona je jeho změna. Protože ale</w:t>
      </w:r>
      <w:r w:rsidR="00A83AD9">
        <w:t xml:space="preserve"> i </w:t>
      </w:r>
      <w:r>
        <w:t>tento požadavek vychází</w:t>
      </w:r>
      <w:r w:rsidR="00A83AD9">
        <w:t xml:space="preserve"> z </w:t>
      </w:r>
      <w:r>
        <w:t>evropského práva, spokojil se ochránce</w:t>
      </w:r>
      <w:r w:rsidR="00A83AD9">
        <w:t xml:space="preserve"> s </w:t>
      </w:r>
      <w:r>
        <w:t>příslibem minstra dopravy iniciovat možnost změny dosavadního znění Směrnice EP</w:t>
      </w:r>
      <w:r w:rsidR="00A83AD9">
        <w:t xml:space="preserve"> a </w:t>
      </w:r>
      <w:r>
        <w:t>Rady</w:t>
      </w:r>
      <w:r w:rsidR="00A83AD9">
        <w:t xml:space="preserve"> o </w:t>
      </w:r>
      <w:r>
        <w:t>řidičských průkazech.</w:t>
      </w:r>
    </w:p>
    <w:p w14:paraId="1ECE0FFA" w14:textId="76892564" w:rsidR="008E594E" w:rsidRDefault="00772D7D" w:rsidP="00772D7D">
      <w:pPr>
        <w:pStyle w:val="Nadpis3"/>
      </w:pPr>
      <w:bookmarkStart w:id="29" w:name="_Toc141694098"/>
      <w:r w:rsidRPr="00772D7D">
        <w:t>Povinnosti přísedících mimo soudní síně</w:t>
      </w:r>
      <w:r w:rsidR="008E594E" w:rsidRPr="00772D7D">
        <w:t xml:space="preserve"> (sp.</w:t>
      </w:r>
      <w:r w:rsidR="008E594E" w:rsidRPr="00ED4F91">
        <w:t xml:space="preserve"> zn. </w:t>
      </w:r>
      <w:r w:rsidR="003A4CEF">
        <w:t>652</w:t>
      </w:r>
      <w:r w:rsidR="008E594E" w:rsidRPr="008D4F1F">
        <w:t>/20</w:t>
      </w:r>
      <w:r w:rsidR="003A4CEF">
        <w:t>23</w:t>
      </w:r>
      <w:r w:rsidR="008E594E" w:rsidRPr="008D4F1F">
        <w:t>/</w:t>
      </w:r>
      <w:r w:rsidR="003A4CEF">
        <w:t>VOP</w:t>
      </w:r>
      <w:r w:rsidR="008E594E">
        <w:t>)</w:t>
      </w:r>
      <w:r w:rsidR="003A4CEF">
        <w:rPr>
          <w:rStyle w:val="Znakapoznpodarou"/>
        </w:rPr>
        <w:footnoteReference w:id="16"/>
      </w:r>
      <w:bookmarkEnd w:id="29"/>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7927"/>
      </w:tblGrid>
      <w:tr w:rsidR="008E594E" w14:paraId="7CF0B63B" w14:textId="77777777" w:rsidTr="00FE444B">
        <w:tc>
          <w:tcPr>
            <w:tcW w:w="567" w:type="dxa"/>
          </w:tcPr>
          <w:p w14:paraId="6247BF16" w14:textId="77777777" w:rsidR="008E594E" w:rsidRDefault="008E594E" w:rsidP="00FE444B">
            <w:pPr>
              <w:pStyle w:val="Zkladntext"/>
              <w:jc w:val="center"/>
            </w:pPr>
            <w:r>
              <w:rPr>
                <w:noProof/>
              </w:rPr>
              <w:drawing>
                <wp:anchor distT="0" distB="0" distL="114300" distR="114300" simplePos="0" relativeHeight="251664384" behindDoc="0" locked="0" layoutInCell="1" allowOverlap="1" wp14:anchorId="32FF230A" wp14:editId="00F01439">
                  <wp:simplePos x="0" y="0"/>
                  <wp:positionH relativeFrom="column">
                    <wp:posOffset>-3810</wp:posOffset>
                  </wp:positionH>
                  <wp:positionV relativeFrom="paragraph">
                    <wp:posOffset>5715</wp:posOffset>
                  </wp:positionV>
                  <wp:extent cx="283210" cy="283210"/>
                  <wp:effectExtent l="0" t="0" r="0" b="2540"/>
                  <wp:wrapNone/>
                  <wp:docPr id="6" name="Grafický objekt 89" descr="Žáro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ightbul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5"/>
                              </a:ext>
                            </a:extLst>
                          </a:blip>
                          <a:stretch>
                            <a:fillRect/>
                          </a:stretch>
                        </pic:blipFill>
                        <pic:spPr>
                          <a:xfrm>
                            <a:off x="0" y="0"/>
                            <a:ext cx="283210" cy="283210"/>
                          </a:xfrm>
                          <a:prstGeom prst="rect">
                            <a:avLst/>
                          </a:prstGeom>
                        </pic:spPr>
                      </pic:pic>
                    </a:graphicData>
                  </a:graphic>
                </wp:anchor>
              </w:drawing>
            </w:r>
          </w:p>
        </w:tc>
        <w:tc>
          <w:tcPr>
            <w:tcW w:w="7927" w:type="dxa"/>
          </w:tcPr>
          <w:p w14:paraId="757AA3F4" w14:textId="7C2B1F7E" w:rsidR="008E594E" w:rsidRDefault="003A4CEF" w:rsidP="003A4CEF">
            <w:pPr>
              <w:pStyle w:val="Zkladntext"/>
            </w:pPr>
            <w:r w:rsidRPr="003A4CEF">
              <w:t>Přísedící by se stejně jako soudci měli</w:t>
            </w:r>
            <w:r w:rsidR="00A83AD9">
              <w:t xml:space="preserve"> ve </w:t>
            </w:r>
            <w:r w:rsidRPr="003A4CEF">
              <w:t>svém občanském životě chovat tak, aby nesnižovali důstojnost soudnictví.</w:t>
            </w:r>
            <w:r w:rsidR="00A83AD9">
              <w:t xml:space="preserve"> Na </w:t>
            </w:r>
            <w:r w:rsidRPr="003A4CEF">
              <w:t>rozdíl</w:t>
            </w:r>
            <w:r w:rsidR="00A83AD9">
              <w:t xml:space="preserve"> od </w:t>
            </w:r>
            <w:r w:rsidRPr="003A4CEF">
              <w:t>soudců se však nejedná</w:t>
            </w:r>
            <w:r w:rsidR="00A83AD9">
              <w:t xml:space="preserve"> o </w:t>
            </w:r>
            <w:r w:rsidRPr="003A4CEF">
              <w:t>elitní právníky. Přínos přísedících</w:t>
            </w:r>
            <w:r w:rsidR="00A83AD9">
              <w:t xml:space="preserve"> u </w:t>
            </w:r>
            <w:r w:rsidRPr="003A4CEF">
              <w:t>soudu je jejich laický pohled</w:t>
            </w:r>
            <w:r w:rsidR="00A83AD9">
              <w:t xml:space="preserve"> na </w:t>
            </w:r>
            <w:r w:rsidRPr="003A4CEF">
              <w:t>případ</w:t>
            </w:r>
            <w:r w:rsidR="00A83AD9">
              <w:t xml:space="preserve"> a </w:t>
            </w:r>
            <w:r w:rsidRPr="003A4CEF">
              <w:t>životní zkušenosti. Většina přísedících nemá právní vzdělání. Nelze očekávat, že si přísedící osvojí právo stejně jako soudce, který má právní vzdělání, odborné zkoušky</w:t>
            </w:r>
            <w:r w:rsidR="00A83AD9">
              <w:t xml:space="preserve"> a </w:t>
            </w:r>
            <w:r w:rsidRPr="003A4CEF">
              <w:t>dlouhou právní praxi.</w:t>
            </w:r>
            <w:r w:rsidR="008E594E">
              <w:t xml:space="preserve"> </w:t>
            </w:r>
          </w:p>
        </w:tc>
      </w:tr>
    </w:tbl>
    <w:p w14:paraId="398BF988" w14:textId="23DA8A91" w:rsidR="008E594E" w:rsidRDefault="008E594E" w:rsidP="008E594E">
      <w:pPr>
        <w:pStyle w:val="Zkladntext"/>
      </w:pPr>
    </w:p>
    <w:p w14:paraId="7924DA67" w14:textId="22BCE643" w:rsidR="003A4CEF" w:rsidRDefault="003A4CEF" w:rsidP="003A4CEF">
      <w:pPr>
        <w:pStyle w:val="Zkladntext"/>
      </w:pPr>
      <w:r>
        <w:t>S</w:t>
      </w:r>
      <w:r w:rsidRPr="008F55C0">
        <w:t xml:space="preserve">oud </w:t>
      </w:r>
      <w:r>
        <w:t xml:space="preserve">uložil stěžovateli </w:t>
      </w:r>
      <w:r w:rsidRPr="008F55C0">
        <w:t>povinnost vyklidit byt</w:t>
      </w:r>
      <w:r w:rsidR="00A83AD9">
        <w:t xml:space="preserve"> z </w:t>
      </w:r>
      <w:r>
        <w:t>důvodu neplacení nájemného.</w:t>
      </w:r>
      <w:r w:rsidRPr="008F55C0">
        <w:t xml:space="preserve"> </w:t>
      </w:r>
      <w:r>
        <w:t>S</w:t>
      </w:r>
      <w:r w:rsidRPr="008F55C0">
        <w:t>oudní exekutor zaháj</w:t>
      </w:r>
      <w:r>
        <w:t>il exekuční řízení, ale</w:t>
      </w:r>
      <w:r w:rsidR="00A83AD9">
        <w:t xml:space="preserve"> k </w:t>
      </w:r>
      <w:r>
        <w:t>realizaci exekuce prozatím nedocházelo. Pronajímatel proto vzal věc</w:t>
      </w:r>
      <w:r w:rsidR="00A83AD9">
        <w:t xml:space="preserve"> do </w:t>
      </w:r>
      <w:r>
        <w:t>svých rukou</w:t>
      </w:r>
      <w:r w:rsidR="00A83AD9">
        <w:t xml:space="preserve"> a </w:t>
      </w:r>
      <w:r>
        <w:t>přistoupil</w:t>
      </w:r>
      <w:r w:rsidR="00A83AD9">
        <w:t xml:space="preserve"> k </w:t>
      </w:r>
      <w:r>
        <w:t>vystěhování stěžovatele svépomocí.</w:t>
      </w:r>
      <w:r w:rsidR="00A83AD9">
        <w:t xml:space="preserve"> Za </w:t>
      </w:r>
      <w:r>
        <w:t>tím účelem p</w:t>
      </w:r>
      <w:r w:rsidRPr="008F55C0">
        <w:t>ožádal předsedu společenství vlastníků jednotek</w:t>
      </w:r>
      <w:r w:rsidR="00A83AD9">
        <w:t xml:space="preserve"> o </w:t>
      </w:r>
      <w:r w:rsidRPr="008F55C0">
        <w:t>zajištění vymáhací společnosti, která vyklizení provede.</w:t>
      </w:r>
      <w:r w:rsidR="00A83AD9">
        <w:t xml:space="preserve"> V </w:t>
      </w:r>
      <w:r w:rsidRPr="008F55C0">
        <w:t>průběhu vyklízení byli</w:t>
      </w:r>
      <w:r w:rsidR="00A83AD9">
        <w:t xml:space="preserve"> na </w:t>
      </w:r>
      <w:r w:rsidRPr="008F55C0">
        <w:t xml:space="preserve">místě policisté, kteří vyklízení bytu </w:t>
      </w:r>
      <w:r>
        <w:t>přihlíželi</w:t>
      </w:r>
      <w:r w:rsidRPr="008F55C0">
        <w:t>.</w:t>
      </w:r>
      <w:r>
        <w:t xml:space="preserve"> Stěžovatel měl</w:t>
      </w:r>
      <w:r w:rsidR="00A83AD9">
        <w:t xml:space="preserve"> za </w:t>
      </w:r>
      <w:r>
        <w:t>to</w:t>
      </w:r>
      <w:r w:rsidRPr="0096424B">
        <w:t xml:space="preserve">, že </w:t>
      </w:r>
      <w:r>
        <w:t>předseda společenství vlastníků jednotek napomáhal</w:t>
      </w:r>
      <w:r w:rsidR="00A83AD9">
        <w:t xml:space="preserve"> ve </w:t>
      </w:r>
      <w:r w:rsidRPr="0096424B">
        <w:t>svém občanském životě trestné činnosti</w:t>
      </w:r>
      <w:r>
        <w:t>.</w:t>
      </w:r>
      <w:r w:rsidRPr="0096424B">
        <w:t xml:space="preserve"> </w:t>
      </w:r>
      <w:r>
        <w:t>Měl totiž</w:t>
      </w:r>
      <w:r w:rsidRPr="0096424B">
        <w:t xml:space="preserve"> jako přísedící</w:t>
      </w:r>
      <w:r w:rsidR="00A83AD9">
        <w:t xml:space="preserve"> u </w:t>
      </w:r>
      <w:r w:rsidRPr="0096424B">
        <w:t xml:space="preserve">soudu vědět, že </w:t>
      </w:r>
      <w:r>
        <w:t>pronajímatel</w:t>
      </w:r>
      <w:r w:rsidRPr="0096424B">
        <w:t xml:space="preserve"> postupuje protiprávně</w:t>
      </w:r>
      <w:r w:rsidR="00A83AD9">
        <w:t xml:space="preserve"> a </w:t>
      </w:r>
      <w:r w:rsidRPr="0096424B">
        <w:t>měl jej</w:t>
      </w:r>
      <w:r w:rsidR="00A83AD9">
        <w:t xml:space="preserve"> i </w:t>
      </w:r>
      <w:r w:rsidRPr="0096424B">
        <w:t>policisty poučit</w:t>
      </w:r>
      <w:r w:rsidR="00A83AD9">
        <w:t xml:space="preserve"> o </w:t>
      </w:r>
      <w:r w:rsidRPr="0096424B">
        <w:t>tom, že vyklízet byt bez přítomného exekutora nelze.</w:t>
      </w:r>
    </w:p>
    <w:p w14:paraId="15DB908A" w14:textId="2D30531D" w:rsidR="003A4CEF" w:rsidRPr="003A4CEF" w:rsidRDefault="003A4CEF" w:rsidP="003A4CEF">
      <w:pPr>
        <w:pStyle w:val="Zkladntext"/>
        <w:rPr>
          <w:rStyle w:val="zelen"/>
          <w:b w:val="0"/>
          <w:bCs w:val="0"/>
          <w:color w:val="auto"/>
        </w:rPr>
      </w:pPr>
      <w:r w:rsidRPr="003A4CEF">
        <w:rPr>
          <w:rStyle w:val="zelen"/>
          <w:b w:val="0"/>
          <w:color w:val="auto"/>
        </w:rPr>
        <w:t>O</w:t>
      </w:r>
      <w:r>
        <w:rPr>
          <w:rStyle w:val="zelen"/>
          <w:b w:val="0"/>
          <w:color w:val="auto"/>
        </w:rPr>
        <w:t xml:space="preserve">chránce </w:t>
      </w:r>
      <w:r w:rsidRPr="003A4CEF">
        <w:rPr>
          <w:rStyle w:val="zelen"/>
          <w:b w:val="0"/>
          <w:color w:val="auto"/>
        </w:rPr>
        <w:t xml:space="preserve">dal zapravdu místopředsedkyni obvodního soudu, </w:t>
      </w:r>
      <w:r w:rsidR="00772D7D">
        <w:rPr>
          <w:rStyle w:val="zelen"/>
          <w:b w:val="0"/>
          <w:color w:val="auto"/>
        </w:rPr>
        <w:t>které stěžovatel adresoval stížnost</w:t>
      </w:r>
      <w:r w:rsidR="00A83AD9">
        <w:rPr>
          <w:rStyle w:val="zelen"/>
          <w:b w:val="0"/>
          <w:color w:val="auto"/>
        </w:rPr>
        <w:t xml:space="preserve"> na </w:t>
      </w:r>
      <w:r w:rsidR="00772D7D">
        <w:rPr>
          <w:rStyle w:val="zelen"/>
          <w:b w:val="0"/>
          <w:color w:val="auto"/>
        </w:rPr>
        <w:t>chování přísedící</w:t>
      </w:r>
      <w:r w:rsidR="00F302F7">
        <w:rPr>
          <w:rStyle w:val="zelen"/>
          <w:b w:val="0"/>
          <w:color w:val="auto"/>
        </w:rPr>
        <w:t>ho</w:t>
      </w:r>
      <w:r w:rsidR="00772D7D">
        <w:rPr>
          <w:rStyle w:val="zelen"/>
          <w:b w:val="0"/>
          <w:color w:val="auto"/>
        </w:rPr>
        <w:t>. P</w:t>
      </w:r>
      <w:r w:rsidRPr="003A4CEF">
        <w:rPr>
          <w:rStyle w:val="zelen"/>
          <w:b w:val="0"/>
          <w:color w:val="auto"/>
        </w:rPr>
        <w:t>ředsedovi společenství vlastníků jednotek nepříslušelo posuzovat, zda mělo přednost právo</w:t>
      </w:r>
      <w:r w:rsidR="00A83AD9">
        <w:rPr>
          <w:rStyle w:val="zelen"/>
          <w:b w:val="0"/>
          <w:color w:val="auto"/>
        </w:rPr>
        <w:t xml:space="preserve"> na </w:t>
      </w:r>
      <w:r w:rsidRPr="003A4CEF">
        <w:rPr>
          <w:rStyle w:val="zelen"/>
          <w:b w:val="0"/>
          <w:color w:val="auto"/>
        </w:rPr>
        <w:t>obydlí stěžovatele před právem pronajímatele</w:t>
      </w:r>
      <w:r w:rsidR="00A83AD9">
        <w:rPr>
          <w:rStyle w:val="zelen"/>
          <w:b w:val="0"/>
          <w:color w:val="auto"/>
        </w:rPr>
        <w:t xml:space="preserve"> na </w:t>
      </w:r>
      <w:r w:rsidRPr="003A4CEF">
        <w:rPr>
          <w:rStyle w:val="zelen"/>
          <w:b w:val="0"/>
          <w:color w:val="auto"/>
        </w:rPr>
        <w:t>ochranu vlastnického práva.</w:t>
      </w:r>
      <w:r w:rsidRPr="003A4CEF">
        <w:rPr>
          <w:b/>
        </w:rPr>
        <w:t xml:space="preserve"> </w:t>
      </w:r>
      <w:r w:rsidRPr="003A4CEF">
        <w:rPr>
          <w:rStyle w:val="zelen"/>
          <w:b w:val="0"/>
          <w:color w:val="auto"/>
        </w:rPr>
        <w:t>Neměl ani jako přísedící</w:t>
      </w:r>
      <w:r w:rsidR="00A83AD9">
        <w:rPr>
          <w:rStyle w:val="zelen"/>
          <w:b w:val="0"/>
          <w:color w:val="auto"/>
        </w:rPr>
        <w:t xml:space="preserve"> u </w:t>
      </w:r>
      <w:r w:rsidRPr="003A4CEF">
        <w:rPr>
          <w:rStyle w:val="zelen"/>
          <w:b w:val="0"/>
          <w:color w:val="auto"/>
        </w:rPr>
        <w:t>soudu povinnost dokonale se orientovat</w:t>
      </w:r>
      <w:r w:rsidR="00A83AD9">
        <w:rPr>
          <w:rStyle w:val="zelen"/>
          <w:b w:val="0"/>
          <w:color w:val="auto"/>
        </w:rPr>
        <w:t xml:space="preserve"> v </w:t>
      </w:r>
      <w:r w:rsidRPr="003A4CEF">
        <w:rPr>
          <w:rStyle w:val="zelen"/>
          <w:b w:val="0"/>
          <w:color w:val="auto"/>
        </w:rPr>
        <w:t>právním řádu, znát podmínky</w:t>
      </w:r>
      <w:r w:rsidR="00A83AD9">
        <w:rPr>
          <w:rStyle w:val="zelen"/>
          <w:b w:val="0"/>
          <w:color w:val="auto"/>
        </w:rPr>
        <w:t xml:space="preserve"> pro </w:t>
      </w:r>
      <w:r w:rsidRPr="003A4CEF">
        <w:rPr>
          <w:rStyle w:val="zelen"/>
          <w:b w:val="0"/>
          <w:color w:val="auto"/>
        </w:rPr>
        <w:t>provedení exekuce vyklizením bytu</w:t>
      </w:r>
      <w:r w:rsidR="00A83AD9">
        <w:rPr>
          <w:rStyle w:val="zelen"/>
          <w:b w:val="0"/>
          <w:color w:val="auto"/>
        </w:rPr>
        <w:t xml:space="preserve"> a </w:t>
      </w:r>
      <w:r w:rsidRPr="003A4CEF">
        <w:rPr>
          <w:rStyle w:val="zelen"/>
          <w:b w:val="0"/>
          <w:color w:val="auto"/>
        </w:rPr>
        <w:t>poučovat pronajímatele</w:t>
      </w:r>
      <w:r w:rsidR="00A83AD9">
        <w:rPr>
          <w:rStyle w:val="zelen"/>
          <w:b w:val="0"/>
          <w:color w:val="auto"/>
        </w:rPr>
        <w:t xml:space="preserve"> a </w:t>
      </w:r>
      <w:r w:rsidRPr="003A4CEF">
        <w:rPr>
          <w:rStyle w:val="zelen"/>
          <w:b w:val="0"/>
          <w:color w:val="auto"/>
        </w:rPr>
        <w:t>policisty</w:t>
      </w:r>
      <w:r w:rsidR="00A83AD9">
        <w:rPr>
          <w:rStyle w:val="zelen"/>
          <w:b w:val="0"/>
          <w:color w:val="auto"/>
        </w:rPr>
        <w:t xml:space="preserve"> o </w:t>
      </w:r>
      <w:r w:rsidRPr="003A4CEF">
        <w:rPr>
          <w:rStyle w:val="zelen"/>
          <w:b w:val="0"/>
          <w:color w:val="auto"/>
        </w:rPr>
        <w:t>právní úpravě.</w:t>
      </w:r>
      <w:r w:rsidRPr="003A4CEF">
        <w:rPr>
          <w:b/>
        </w:rPr>
        <w:t xml:space="preserve"> </w:t>
      </w:r>
      <w:r w:rsidRPr="003A4CEF">
        <w:t>Navíc se</w:t>
      </w:r>
      <w:r w:rsidR="00A83AD9">
        <w:t xml:space="preserve"> na </w:t>
      </w:r>
      <w:r w:rsidRPr="003A4CEF">
        <w:t>vystěhování ani aktivně nepodílel. Pouze pronajímateli</w:t>
      </w:r>
      <w:r w:rsidR="00A83AD9">
        <w:rPr>
          <w:b/>
        </w:rPr>
        <w:t xml:space="preserve"> na </w:t>
      </w:r>
      <w:r w:rsidRPr="00FC6241">
        <w:rPr>
          <w:rStyle w:val="zelen"/>
          <w:b w:val="0"/>
          <w:color w:val="auto"/>
        </w:rPr>
        <w:t>j</w:t>
      </w:r>
      <w:r w:rsidRPr="003A4CEF">
        <w:rPr>
          <w:rStyle w:val="zelen"/>
          <w:b w:val="0"/>
          <w:color w:val="auto"/>
        </w:rPr>
        <w:t>eho prosbu zprostředkoval kontakt</w:t>
      </w:r>
      <w:r w:rsidR="00A83AD9">
        <w:rPr>
          <w:rStyle w:val="zelen"/>
          <w:b w:val="0"/>
          <w:color w:val="auto"/>
        </w:rPr>
        <w:t xml:space="preserve"> na </w:t>
      </w:r>
      <w:r w:rsidRPr="003A4CEF">
        <w:rPr>
          <w:rStyle w:val="zelen"/>
          <w:b w:val="0"/>
          <w:color w:val="auto"/>
        </w:rPr>
        <w:t>společnost zajišťující vyklízení bytů. O</w:t>
      </w:r>
      <w:r>
        <w:rPr>
          <w:rStyle w:val="zelen"/>
          <w:b w:val="0"/>
          <w:color w:val="auto"/>
        </w:rPr>
        <w:t xml:space="preserve">chránce </w:t>
      </w:r>
      <w:r w:rsidRPr="003A4CEF">
        <w:rPr>
          <w:rStyle w:val="zelen"/>
          <w:b w:val="0"/>
          <w:color w:val="auto"/>
        </w:rPr>
        <w:t>uzavřel, že přísedící</w:t>
      </w:r>
      <w:r w:rsidR="00A83AD9">
        <w:rPr>
          <w:rStyle w:val="zelen"/>
          <w:b w:val="0"/>
          <w:color w:val="auto"/>
        </w:rPr>
        <w:t xml:space="preserve"> v </w:t>
      </w:r>
      <w:r w:rsidRPr="003A4CEF">
        <w:rPr>
          <w:rStyle w:val="zelen"/>
          <w:b w:val="0"/>
          <w:color w:val="auto"/>
        </w:rPr>
        <w:t>pozici předsedy společenství vlastníků jednotek neporušil své povinnosti podle zákona</w:t>
      </w:r>
      <w:r w:rsidR="00A83AD9">
        <w:rPr>
          <w:rStyle w:val="zelen"/>
          <w:b w:val="0"/>
          <w:color w:val="auto"/>
        </w:rPr>
        <w:t xml:space="preserve"> o </w:t>
      </w:r>
      <w:r w:rsidRPr="003A4CEF">
        <w:rPr>
          <w:rStyle w:val="zelen"/>
          <w:b w:val="0"/>
          <w:color w:val="auto"/>
        </w:rPr>
        <w:t>soudech</w:t>
      </w:r>
      <w:r w:rsidR="00A83AD9">
        <w:rPr>
          <w:rStyle w:val="zelen"/>
          <w:b w:val="0"/>
          <w:color w:val="auto"/>
        </w:rPr>
        <w:t xml:space="preserve"> a </w:t>
      </w:r>
      <w:r w:rsidRPr="003A4CEF">
        <w:rPr>
          <w:rStyle w:val="zelen"/>
          <w:b w:val="0"/>
          <w:color w:val="auto"/>
        </w:rPr>
        <w:t>soudcích.</w:t>
      </w:r>
    </w:p>
    <w:p w14:paraId="1C06DD6E" w14:textId="06248ADF" w:rsidR="008E594E" w:rsidRDefault="00180612" w:rsidP="00180612">
      <w:pPr>
        <w:pStyle w:val="Nadpis3"/>
      </w:pPr>
      <w:bookmarkStart w:id="30" w:name="_Toc141694099"/>
      <w:r w:rsidRPr="00180612">
        <w:t>Nedodržení lhůty</w:t>
      </w:r>
      <w:r w:rsidR="00A83AD9">
        <w:t xml:space="preserve"> pro </w:t>
      </w:r>
      <w:r w:rsidRPr="00180612">
        <w:t>posouzení zdravotního stavu</w:t>
      </w:r>
      <w:r w:rsidR="00A83AD9">
        <w:t xml:space="preserve"> v </w:t>
      </w:r>
      <w:r w:rsidRPr="00180612">
        <w:t>řízení</w:t>
      </w:r>
      <w:r w:rsidR="00A83AD9">
        <w:t xml:space="preserve"> o </w:t>
      </w:r>
      <w:r w:rsidRPr="00180612">
        <w:t>přiznání invalidního důchodu</w:t>
      </w:r>
      <w:r w:rsidR="00A83AD9">
        <w:t xml:space="preserve"> s </w:t>
      </w:r>
      <w:r w:rsidRPr="00180612">
        <w:t xml:space="preserve">mezinárodním prvkem </w:t>
      </w:r>
      <w:r w:rsidR="008E594E">
        <w:t>(</w:t>
      </w:r>
      <w:r w:rsidR="008E594E" w:rsidRPr="00ED4F91">
        <w:t xml:space="preserve">sp. zn. </w:t>
      </w:r>
      <w:r w:rsidR="00A91C5C">
        <w:t>1788</w:t>
      </w:r>
      <w:r w:rsidR="008E594E" w:rsidRPr="008D4F1F">
        <w:t>/20</w:t>
      </w:r>
      <w:r w:rsidR="00A91C5C">
        <w:t>22</w:t>
      </w:r>
      <w:r w:rsidR="008E594E" w:rsidRPr="008D4F1F">
        <w:t>/</w:t>
      </w:r>
      <w:r w:rsidR="00A91C5C">
        <w:t>VOP</w:t>
      </w:r>
      <w:r w:rsidR="008E594E">
        <w:t>)</w:t>
      </w:r>
      <w:r w:rsidR="00A91C5C">
        <w:rPr>
          <w:rStyle w:val="Znakapoznpodarou"/>
        </w:rPr>
        <w:footnoteReference w:id="17"/>
      </w:r>
      <w:bookmarkEnd w:id="30"/>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7927"/>
      </w:tblGrid>
      <w:tr w:rsidR="008E594E" w14:paraId="775FC128" w14:textId="77777777" w:rsidTr="00FE444B">
        <w:tc>
          <w:tcPr>
            <w:tcW w:w="567" w:type="dxa"/>
          </w:tcPr>
          <w:p w14:paraId="4E697DAE" w14:textId="77777777" w:rsidR="008E594E" w:rsidRDefault="008E594E" w:rsidP="00FE444B">
            <w:pPr>
              <w:pStyle w:val="Zkladntext"/>
              <w:jc w:val="center"/>
            </w:pPr>
            <w:r>
              <w:rPr>
                <w:noProof/>
              </w:rPr>
              <w:drawing>
                <wp:anchor distT="0" distB="0" distL="114300" distR="114300" simplePos="0" relativeHeight="251666432" behindDoc="0" locked="0" layoutInCell="1" allowOverlap="1" wp14:anchorId="018EBFE3" wp14:editId="5C6429C6">
                  <wp:simplePos x="0" y="0"/>
                  <wp:positionH relativeFrom="column">
                    <wp:posOffset>-3810</wp:posOffset>
                  </wp:positionH>
                  <wp:positionV relativeFrom="paragraph">
                    <wp:posOffset>5715</wp:posOffset>
                  </wp:positionV>
                  <wp:extent cx="283210" cy="283210"/>
                  <wp:effectExtent l="0" t="0" r="0" b="2540"/>
                  <wp:wrapNone/>
                  <wp:docPr id="7" name="Grafický objekt 89" descr="Žáro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ightbul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5"/>
                              </a:ext>
                            </a:extLst>
                          </a:blip>
                          <a:stretch>
                            <a:fillRect/>
                          </a:stretch>
                        </pic:blipFill>
                        <pic:spPr>
                          <a:xfrm>
                            <a:off x="0" y="0"/>
                            <a:ext cx="283210" cy="283210"/>
                          </a:xfrm>
                          <a:prstGeom prst="rect">
                            <a:avLst/>
                          </a:prstGeom>
                        </pic:spPr>
                      </pic:pic>
                    </a:graphicData>
                  </a:graphic>
                </wp:anchor>
              </w:drawing>
            </w:r>
          </w:p>
        </w:tc>
        <w:tc>
          <w:tcPr>
            <w:tcW w:w="7927" w:type="dxa"/>
          </w:tcPr>
          <w:p w14:paraId="4007694F" w14:textId="54361848" w:rsidR="008E594E" w:rsidRDefault="00180612" w:rsidP="00180612">
            <w:pPr>
              <w:pStyle w:val="Zkladntext"/>
            </w:pPr>
            <w:r w:rsidRPr="00180612">
              <w:t>Prodloužení lhůt</w:t>
            </w:r>
            <w:r w:rsidR="00A83AD9">
              <w:t xml:space="preserve"> pro </w:t>
            </w:r>
            <w:r w:rsidRPr="00180612">
              <w:t>vydání rozhodnutí</w:t>
            </w:r>
            <w:r w:rsidR="00A83AD9">
              <w:t xml:space="preserve"> o </w:t>
            </w:r>
            <w:r w:rsidRPr="00180612">
              <w:t>přiznání důchodu, které zákon</w:t>
            </w:r>
            <w:r w:rsidR="00A83AD9">
              <w:t xml:space="preserve"> o </w:t>
            </w:r>
            <w:r w:rsidRPr="00180612">
              <w:t>důchodovém pojištění umožňuje</w:t>
            </w:r>
            <w:r w:rsidR="00A83AD9">
              <w:t xml:space="preserve"> z </w:t>
            </w:r>
            <w:r w:rsidRPr="00180612">
              <w:t>důvodu došetřování důležitých skutečností</w:t>
            </w:r>
            <w:r w:rsidR="00A83AD9">
              <w:t xml:space="preserve"> u </w:t>
            </w:r>
            <w:r w:rsidRPr="00180612">
              <w:t>cizozemských nositelů důchodového pojištění, neopravňuje ČSSZ</w:t>
            </w:r>
            <w:r w:rsidR="00A83AD9">
              <w:t xml:space="preserve"> k </w:t>
            </w:r>
            <w:r w:rsidRPr="00180612">
              <w:t>tomu, aby svou nečinností prodlužovala tuzemské řízení nezávislé</w:t>
            </w:r>
            <w:r w:rsidR="00A83AD9">
              <w:t xml:space="preserve"> na </w:t>
            </w:r>
            <w:r w:rsidRPr="00180612">
              <w:t>úkonech cizozemského nositele.</w:t>
            </w:r>
          </w:p>
        </w:tc>
      </w:tr>
    </w:tbl>
    <w:p w14:paraId="427B0144" w14:textId="77777777" w:rsidR="00C01D93" w:rsidRDefault="00C01D93" w:rsidP="008E594E">
      <w:pPr>
        <w:pStyle w:val="Zkladntext"/>
      </w:pPr>
    </w:p>
    <w:p w14:paraId="0B4C2C75" w14:textId="4B232671" w:rsidR="00180612" w:rsidRDefault="00180612" w:rsidP="00180612">
      <w:pPr>
        <w:pStyle w:val="Zkladntext"/>
      </w:pPr>
      <w:r>
        <w:t>Stěžovatel je</w:t>
      </w:r>
      <w:r w:rsidR="00A83AD9">
        <w:t xml:space="preserve"> z </w:t>
      </w:r>
      <w:r>
        <w:t>Ukrajiny, pobírá odtud invalidní důchod.</w:t>
      </w:r>
      <w:r w:rsidR="00A83AD9">
        <w:t xml:space="preserve"> V </w:t>
      </w:r>
      <w:r>
        <w:t>České republice podal žádost</w:t>
      </w:r>
      <w:r w:rsidR="00A83AD9">
        <w:t xml:space="preserve"> o </w:t>
      </w:r>
      <w:r>
        <w:t>jeho přiznání</w:t>
      </w:r>
      <w:r w:rsidR="00A83AD9">
        <w:t xml:space="preserve"> v </w:t>
      </w:r>
      <w:r>
        <w:t>roce 2021.</w:t>
      </w:r>
      <w:r w:rsidR="00A83AD9">
        <w:t xml:space="preserve"> O </w:t>
      </w:r>
      <w:r>
        <w:t>jeho žádosti zatím ČSSZ nerozhodla. Protože stěžovatel</w:t>
      </w:r>
      <w:r w:rsidR="00A83AD9">
        <w:t xml:space="preserve"> ke </w:t>
      </w:r>
      <w:r>
        <w:t>dni podání žádosti nezískal</w:t>
      </w:r>
      <w:r w:rsidR="00A83AD9">
        <w:t xml:space="preserve"> v </w:t>
      </w:r>
      <w:r>
        <w:t xml:space="preserve">České republice dobu pojištění potřebnou </w:t>
      </w:r>
      <w:r w:rsidR="00A83AD9">
        <w:t xml:space="preserve"> k </w:t>
      </w:r>
      <w:r>
        <w:t>tomu, aby mu mohl být důchod přiznán, je jeho nárok</w:t>
      </w:r>
      <w:r w:rsidR="00A83AD9">
        <w:t xml:space="preserve"> na </w:t>
      </w:r>
      <w:r>
        <w:t>český invalidní důchod závislý</w:t>
      </w:r>
      <w:r w:rsidR="00A83AD9">
        <w:t xml:space="preserve"> na </w:t>
      </w:r>
      <w:r>
        <w:t>tom, jakou dobu pojištění získal</w:t>
      </w:r>
      <w:r w:rsidR="00A83AD9">
        <w:t xml:space="preserve"> na </w:t>
      </w:r>
      <w:r>
        <w:t xml:space="preserve">Ukrajině. </w:t>
      </w:r>
    </w:p>
    <w:p w14:paraId="04522DDE" w14:textId="009A878E" w:rsidR="00180612" w:rsidRDefault="00180612" w:rsidP="00180612">
      <w:pPr>
        <w:pStyle w:val="Zkladntext"/>
      </w:pPr>
      <w:r>
        <w:t>Zákon</w:t>
      </w:r>
      <w:r w:rsidR="00A83AD9">
        <w:t xml:space="preserve"> pro </w:t>
      </w:r>
      <w:r>
        <w:t>vydání rozhodnutí</w:t>
      </w:r>
      <w:r w:rsidR="00A83AD9">
        <w:t xml:space="preserve"> o </w:t>
      </w:r>
      <w:r>
        <w:t>přiznání důchodu stanoví lhůtu 90 dnů</w:t>
      </w:r>
      <w:r w:rsidR="00A83AD9">
        <w:t xml:space="preserve"> od </w:t>
      </w:r>
      <w:r>
        <w:t>uplatnění žádosti. Lhůta je delší oproti běžným lhůtám</w:t>
      </w:r>
      <w:r w:rsidR="00A83AD9">
        <w:t xml:space="preserve"> pro </w:t>
      </w:r>
      <w:r>
        <w:t>vyřízení věci, protože řízení je poměrně složité, sestává</w:t>
      </w:r>
      <w:r w:rsidR="00A83AD9">
        <w:t xml:space="preserve"> z </w:t>
      </w:r>
      <w:r>
        <w:t>řady dílčích úkonů</w:t>
      </w:r>
      <w:r w:rsidR="00A83AD9">
        <w:t xml:space="preserve"> a </w:t>
      </w:r>
      <w:r>
        <w:t>vyžaduje také spolupráci</w:t>
      </w:r>
      <w:r w:rsidR="00A83AD9">
        <w:t xml:space="preserve"> s </w:t>
      </w:r>
      <w:r>
        <w:t>jinými subjekty. Lhůta se prodlužuje mimo jiné</w:t>
      </w:r>
      <w:r w:rsidR="00A83AD9">
        <w:t xml:space="preserve"> o </w:t>
      </w:r>
      <w:r>
        <w:t>dobu,</w:t>
      </w:r>
      <w:r w:rsidR="00A83AD9">
        <w:t xml:space="preserve"> po </w:t>
      </w:r>
      <w:r>
        <w:t>kterou se zjišťují potřebné informace</w:t>
      </w:r>
      <w:r w:rsidR="00A83AD9">
        <w:t xml:space="preserve"> u </w:t>
      </w:r>
      <w:r>
        <w:t>zahraničních nositelů pojištění. Bez potvrzení ukrajinského nositele</w:t>
      </w:r>
      <w:r w:rsidR="00A83AD9">
        <w:t xml:space="preserve"> o </w:t>
      </w:r>
      <w:r>
        <w:t>dobách pojištění, které stěžovatel získal</w:t>
      </w:r>
      <w:r w:rsidR="00A83AD9">
        <w:t xml:space="preserve"> na </w:t>
      </w:r>
      <w:r>
        <w:t>území Ukrajiny, nemohla ČSSZ</w:t>
      </w:r>
      <w:r w:rsidR="00A83AD9">
        <w:t xml:space="preserve"> o </w:t>
      </w:r>
      <w:r>
        <w:t>jeho nároku rozhodnout. Vzájemná komunikace je navíc komplikovaná kvůli současné situaci.</w:t>
      </w:r>
      <w:r w:rsidR="00A83AD9">
        <w:t xml:space="preserve"> V </w:t>
      </w:r>
      <w:r>
        <w:t>době</w:t>
      </w:r>
      <w:r w:rsidR="00A83AD9">
        <w:t xml:space="preserve"> od </w:t>
      </w:r>
      <w:r>
        <w:t>března</w:t>
      </w:r>
      <w:r w:rsidR="00A83AD9">
        <w:t xml:space="preserve"> do </w:t>
      </w:r>
      <w:r>
        <w:t>května 2022 nebylo vůbec možné provádět řízení</w:t>
      </w:r>
      <w:r w:rsidR="00A83AD9">
        <w:t xml:space="preserve"> s </w:t>
      </w:r>
      <w:r>
        <w:t>ukrajinským nositelem,</w:t>
      </w:r>
      <w:r w:rsidR="00A83AD9">
        <w:t xml:space="preserve"> od </w:t>
      </w:r>
      <w:r>
        <w:t>června 2022 došlo sice</w:t>
      </w:r>
      <w:r w:rsidR="00A83AD9">
        <w:t xml:space="preserve"> k </w:t>
      </w:r>
      <w:r>
        <w:t>obnovení spojení, případy jsou ale vyřizovány</w:t>
      </w:r>
      <w:r w:rsidR="00A83AD9">
        <w:t xml:space="preserve"> v </w:t>
      </w:r>
      <w:r>
        <w:t>delších lhůtách.</w:t>
      </w:r>
    </w:p>
    <w:p w14:paraId="144126A6" w14:textId="2401FDAB" w:rsidR="00180612" w:rsidRDefault="00180612" w:rsidP="00180612">
      <w:pPr>
        <w:pStyle w:val="Zkladntext"/>
      </w:pPr>
      <w:r>
        <w:t>Prodloužení lhůt</w:t>
      </w:r>
      <w:r w:rsidR="00A83AD9">
        <w:t xml:space="preserve"> z </w:t>
      </w:r>
      <w:r>
        <w:t>důvodu řízení se zahraničním nositelem pojištění ale nedalo ČSSZ prostor</w:t>
      </w:r>
      <w:r w:rsidR="00A83AD9">
        <w:t xml:space="preserve"> pro </w:t>
      </w:r>
      <w:r>
        <w:t>to, aby svou nečinností prodlužovala řízení, které je</w:t>
      </w:r>
      <w:r w:rsidR="00A83AD9">
        <w:t xml:space="preserve"> na </w:t>
      </w:r>
      <w:r>
        <w:t>úkonech zahraničního nositele nezávislé.</w:t>
      </w:r>
      <w:r w:rsidR="00A83AD9">
        <w:t xml:space="preserve"> A k </w:t>
      </w:r>
      <w:r>
        <w:t>tomu</w:t>
      </w:r>
      <w:r w:rsidR="00A83AD9">
        <w:t xml:space="preserve"> v </w:t>
      </w:r>
      <w:r>
        <w:t>případě stěžovatele došlo.</w:t>
      </w:r>
      <w:r w:rsidR="00A83AD9">
        <w:t xml:space="preserve"> Po </w:t>
      </w:r>
      <w:r>
        <w:t>sepsání žádosti stěžovatele</w:t>
      </w:r>
      <w:r w:rsidR="00A83AD9">
        <w:t xml:space="preserve"> o </w:t>
      </w:r>
      <w:r>
        <w:t>invalidní důchod byla věc tentýž den předána oddělení lékařské posudkové služby</w:t>
      </w:r>
      <w:r w:rsidR="00A83AD9">
        <w:t xml:space="preserve"> k </w:t>
      </w:r>
      <w:r>
        <w:t>posouzení.</w:t>
      </w:r>
      <w:r w:rsidR="00A83AD9">
        <w:t xml:space="preserve"> K </w:t>
      </w:r>
      <w:r>
        <w:t>samotnému posouzení ale došlo až</w:t>
      </w:r>
      <w:r w:rsidR="00A83AD9">
        <w:t xml:space="preserve"> po </w:t>
      </w:r>
      <w:r>
        <w:t>téměř čtyřech měsících</w:t>
      </w:r>
      <w:r w:rsidR="00A83AD9">
        <w:t xml:space="preserve"> od </w:t>
      </w:r>
      <w:r>
        <w:t>podání žádosti. Zákonem stanovená lhůta</w:t>
      </w:r>
      <w:r w:rsidR="00A83AD9">
        <w:t xml:space="preserve"> pro </w:t>
      </w:r>
      <w:r>
        <w:t>vydání posudku přitom činí 45 dnů. Ochránce</w:t>
      </w:r>
      <w:r w:rsidR="00A83AD9">
        <w:t xml:space="preserve"> v </w:t>
      </w:r>
      <w:r>
        <w:t>tomto případě konstatoval pochybení ČSSZ.</w:t>
      </w:r>
    </w:p>
    <w:p w14:paraId="226BC75E" w14:textId="5F32DA3C" w:rsidR="00427851" w:rsidRDefault="00DD2D7D" w:rsidP="00427851">
      <w:pPr>
        <w:pStyle w:val="Nadpis3"/>
      </w:pPr>
      <w:bookmarkStart w:id="31" w:name="_Toc141694100"/>
      <w:r>
        <w:t>Konference,</w:t>
      </w:r>
      <w:r w:rsidR="00427851">
        <w:t xml:space="preserve"> kulaté stoly</w:t>
      </w:r>
      <w:r w:rsidR="00A83AD9">
        <w:t xml:space="preserve"> a </w:t>
      </w:r>
      <w:r>
        <w:t>školení</w:t>
      </w:r>
      <w:bookmarkEnd w:id="31"/>
    </w:p>
    <w:tbl>
      <w:tblPr>
        <w:tblStyle w:val="Mkatabulky"/>
        <w:tblW w:w="0" w:type="auto"/>
        <w:tblLook w:val="04A0" w:firstRow="1" w:lastRow="0" w:firstColumn="1" w:lastColumn="0" w:noHBand="0" w:noVBand="1"/>
      </w:tblPr>
      <w:tblGrid>
        <w:gridCol w:w="1980"/>
        <w:gridCol w:w="3961"/>
        <w:gridCol w:w="1290"/>
        <w:gridCol w:w="1263"/>
      </w:tblGrid>
      <w:tr w:rsidR="008E594E" w14:paraId="425B304D" w14:textId="77777777" w:rsidTr="00FE444B">
        <w:trPr>
          <w:trHeight w:val="851"/>
        </w:trPr>
        <w:tc>
          <w:tcPr>
            <w:tcW w:w="1980" w:type="dxa"/>
            <w:tcBorders>
              <w:bottom w:val="nil"/>
            </w:tcBorders>
            <w:shd w:val="clear" w:color="auto" w:fill="008576"/>
            <w:vAlign w:val="center"/>
          </w:tcPr>
          <w:p w14:paraId="3A052F06" w14:textId="0AB0229A" w:rsidR="008E594E" w:rsidRPr="00E541B0" w:rsidRDefault="008E594E" w:rsidP="00FE444B">
            <w:pPr>
              <w:pStyle w:val="Zkladntext"/>
              <w:spacing w:after="0" w:line="276" w:lineRule="auto"/>
              <w:jc w:val="left"/>
              <w:rPr>
                <w:rFonts w:asciiTheme="minorHAnsi" w:hAnsiTheme="minorHAnsi" w:cstheme="minorHAnsi"/>
                <w:b/>
                <w:color w:val="FFFFFF" w:themeColor="background1"/>
                <w:szCs w:val="23"/>
              </w:rPr>
            </w:pPr>
            <w:r w:rsidRPr="00E541B0">
              <w:rPr>
                <w:rFonts w:asciiTheme="minorHAnsi" w:hAnsiTheme="minorHAnsi" w:cstheme="minorHAnsi"/>
                <w:b/>
                <w:color w:val="FFFFFF" w:themeColor="background1"/>
                <w:szCs w:val="23"/>
              </w:rPr>
              <w:t>Datum</w:t>
            </w:r>
          </w:p>
        </w:tc>
        <w:tc>
          <w:tcPr>
            <w:tcW w:w="3961" w:type="dxa"/>
            <w:tcBorders>
              <w:bottom w:val="nil"/>
            </w:tcBorders>
            <w:shd w:val="clear" w:color="auto" w:fill="008576"/>
            <w:vAlign w:val="center"/>
          </w:tcPr>
          <w:p w14:paraId="73E9C65A" w14:textId="77777777" w:rsidR="008E594E" w:rsidRPr="00E541B0" w:rsidRDefault="008E594E" w:rsidP="00FE444B">
            <w:pPr>
              <w:pStyle w:val="Zkladntext"/>
              <w:spacing w:after="0" w:line="276" w:lineRule="auto"/>
              <w:jc w:val="left"/>
              <w:rPr>
                <w:rFonts w:asciiTheme="minorHAnsi" w:hAnsiTheme="minorHAnsi" w:cstheme="minorHAnsi"/>
                <w:b/>
                <w:color w:val="FFFFFF" w:themeColor="background1"/>
                <w:szCs w:val="23"/>
              </w:rPr>
            </w:pPr>
            <w:r w:rsidRPr="00E541B0">
              <w:rPr>
                <w:rFonts w:asciiTheme="minorHAnsi" w:hAnsiTheme="minorHAnsi" w:cstheme="minorHAnsi"/>
                <w:b/>
                <w:color w:val="FFFFFF" w:themeColor="background1"/>
                <w:szCs w:val="23"/>
              </w:rPr>
              <w:t>Název akce</w:t>
            </w:r>
          </w:p>
        </w:tc>
        <w:tc>
          <w:tcPr>
            <w:tcW w:w="1290" w:type="dxa"/>
            <w:tcBorders>
              <w:bottom w:val="nil"/>
            </w:tcBorders>
            <w:shd w:val="clear" w:color="auto" w:fill="008576"/>
            <w:vAlign w:val="center"/>
          </w:tcPr>
          <w:p w14:paraId="6A6B6E58" w14:textId="77777777" w:rsidR="008E594E" w:rsidRPr="00E541B0" w:rsidRDefault="008E594E" w:rsidP="00FE444B">
            <w:pPr>
              <w:pStyle w:val="Zkladntext"/>
              <w:spacing w:after="0" w:line="276" w:lineRule="auto"/>
              <w:jc w:val="left"/>
              <w:rPr>
                <w:rFonts w:asciiTheme="minorHAnsi" w:hAnsiTheme="minorHAnsi" w:cstheme="minorHAnsi"/>
                <w:b/>
                <w:color w:val="FFFFFF" w:themeColor="background1"/>
                <w:szCs w:val="23"/>
              </w:rPr>
            </w:pPr>
            <w:r w:rsidRPr="00E541B0">
              <w:rPr>
                <w:rFonts w:asciiTheme="minorHAnsi" w:hAnsiTheme="minorHAnsi" w:cstheme="minorHAnsi"/>
                <w:b/>
                <w:color w:val="FFFFFF" w:themeColor="background1"/>
                <w:szCs w:val="23"/>
              </w:rPr>
              <w:t>Druh akce</w:t>
            </w:r>
          </w:p>
        </w:tc>
        <w:tc>
          <w:tcPr>
            <w:tcW w:w="1263" w:type="dxa"/>
            <w:tcBorders>
              <w:bottom w:val="nil"/>
            </w:tcBorders>
            <w:shd w:val="clear" w:color="auto" w:fill="008576"/>
            <w:vAlign w:val="center"/>
          </w:tcPr>
          <w:p w14:paraId="3675055A" w14:textId="77777777" w:rsidR="008E594E" w:rsidRPr="00E541B0" w:rsidRDefault="008E594E" w:rsidP="00FE444B">
            <w:pPr>
              <w:pStyle w:val="Zkladntext"/>
              <w:spacing w:after="0" w:line="276" w:lineRule="auto"/>
              <w:jc w:val="left"/>
              <w:rPr>
                <w:rFonts w:asciiTheme="minorHAnsi" w:hAnsiTheme="minorHAnsi" w:cstheme="minorHAnsi"/>
                <w:b/>
                <w:color w:val="FFFFFF" w:themeColor="background1"/>
                <w:szCs w:val="23"/>
              </w:rPr>
            </w:pPr>
            <w:r w:rsidRPr="00E541B0">
              <w:rPr>
                <w:rFonts w:asciiTheme="minorHAnsi" w:hAnsiTheme="minorHAnsi" w:cstheme="minorHAnsi"/>
                <w:b/>
                <w:color w:val="FFFFFF" w:themeColor="background1"/>
                <w:szCs w:val="23"/>
              </w:rPr>
              <w:t>Forma</w:t>
            </w:r>
          </w:p>
        </w:tc>
      </w:tr>
      <w:tr w:rsidR="008E594E" w14:paraId="7BA2BEE3" w14:textId="77777777" w:rsidTr="00FE444B">
        <w:trPr>
          <w:trHeight w:val="851"/>
        </w:trPr>
        <w:tc>
          <w:tcPr>
            <w:tcW w:w="1980" w:type="dxa"/>
            <w:tcBorders>
              <w:top w:val="nil"/>
            </w:tcBorders>
            <w:vAlign w:val="center"/>
          </w:tcPr>
          <w:p w14:paraId="3F58D550" w14:textId="77777777" w:rsidR="008E594E" w:rsidRPr="00E541B0" w:rsidRDefault="008E594E" w:rsidP="00FE444B">
            <w:pPr>
              <w:pStyle w:val="Zkladntext"/>
              <w:spacing w:after="0" w:line="276" w:lineRule="auto"/>
              <w:jc w:val="left"/>
              <w:rPr>
                <w:rFonts w:asciiTheme="minorHAnsi" w:hAnsiTheme="minorHAnsi" w:cstheme="minorHAnsi"/>
                <w:szCs w:val="23"/>
              </w:rPr>
            </w:pPr>
            <w:r w:rsidRPr="00E541B0">
              <w:rPr>
                <w:rFonts w:asciiTheme="minorHAnsi" w:hAnsiTheme="minorHAnsi" w:cstheme="minorHAnsi"/>
                <w:szCs w:val="23"/>
              </w:rPr>
              <w:t>4. dubna 2023</w:t>
            </w:r>
          </w:p>
        </w:tc>
        <w:tc>
          <w:tcPr>
            <w:tcW w:w="3961" w:type="dxa"/>
            <w:tcBorders>
              <w:top w:val="nil"/>
            </w:tcBorders>
            <w:vAlign w:val="center"/>
          </w:tcPr>
          <w:p w14:paraId="4DFC21A6" w14:textId="77777777" w:rsidR="008E594E" w:rsidRPr="00E541B0" w:rsidRDefault="008E594E" w:rsidP="00FE444B">
            <w:pPr>
              <w:pStyle w:val="Zkladntext"/>
              <w:spacing w:after="0" w:line="276" w:lineRule="auto"/>
              <w:jc w:val="left"/>
              <w:rPr>
                <w:rFonts w:asciiTheme="minorHAnsi" w:hAnsiTheme="minorHAnsi" w:cstheme="minorHAnsi"/>
                <w:szCs w:val="23"/>
              </w:rPr>
            </w:pPr>
            <w:r w:rsidRPr="00E541B0">
              <w:rPr>
                <w:rFonts w:asciiTheme="minorHAnsi" w:hAnsiTheme="minorHAnsi" w:cstheme="minorHAnsi"/>
                <w:szCs w:val="23"/>
              </w:rPr>
              <w:t>Děti cizinci bez doprovodu</w:t>
            </w:r>
          </w:p>
        </w:tc>
        <w:tc>
          <w:tcPr>
            <w:tcW w:w="1290" w:type="dxa"/>
            <w:tcBorders>
              <w:top w:val="nil"/>
            </w:tcBorders>
            <w:vAlign w:val="center"/>
          </w:tcPr>
          <w:p w14:paraId="5CA3B100" w14:textId="77777777" w:rsidR="008E594E" w:rsidRPr="00E541B0" w:rsidRDefault="008E594E" w:rsidP="00FE444B">
            <w:pPr>
              <w:pStyle w:val="Zkladntext"/>
              <w:spacing w:after="0" w:line="276" w:lineRule="auto"/>
              <w:jc w:val="left"/>
              <w:rPr>
                <w:rFonts w:asciiTheme="minorHAnsi" w:hAnsiTheme="minorHAnsi" w:cstheme="minorHAnsi"/>
                <w:szCs w:val="23"/>
              </w:rPr>
            </w:pPr>
            <w:r w:rsidRPr="00E541B0">
              <w:rPr>
                <w:rFonts w:asciiTheme="minorHAnsi" w:hAnsiTheme="minorHAnsi" w:cstheme="minorHAnsi"/>
                <w:szCs w:val="23"/>
              </w:rPr>
              <w:t>Seminář</w:t>
            </w:r>
          </w:p>
        </w:tc>
        <w:tc>
          <w:tcPr>
            <w:tcW w:w="1263" w:type="dxa"/>
            <w:tcBorders>
              <w:top w:val="nil"/>
            </w:tcBorders>
            <w:vAlign w:val="center"/>
          </w:tcPr>
          <w:p w14:paraId="0ECA22B9" w14:textId="77777777" w:rsidR="008E594E" w:rsidRPr="00E541B0" w:rsidRDefault="008E594E" w:rsidP="00FE444B">
            <w:pPr>
              <w:pStyle w:val="Zkladntext"/>
              <w:spacing w:after="0" w:line="276" w:lineRule="auto"/>
              <w:jc w:val="left"/>
              <w:rPr>
                <w:rFonts w:asciiTheme="minorHAnsi" w:hAnsiTheme="minorHAnsi" w:cstheme="minorHAnsi"/>
                <w:szCs w:val="23"/>
              </w:rPr>
            </w:pPr>
            <w:r w:rsidRPr="00E541B0">
              <w:rPr>
                <w:rFonts w:asciiTheme="minorHAnsi" w:hAnsiTheme="minorHAnsi" w:cstheme="minorHAnsi"/>
                <w:szCs w:val="23"/>
              </w:rPr>
              <w:t>Online</w:t>
            </w:r>
          </w:p>
        </w:tc>
      </w:tr>
      <w:tr w:rsidR="008E594E" w14:paraId="73FB9AE4" w14:textId="77777777" w:rsidTr="00FE444B">
        <w:trPr>
          <w:trHeight w:val="851"/>
        </w:trPr>
        <w:tc>
          <w:tcPr>
            <w:tcW w:w="1980" w:type="dxa"/>
            <w:shd w:val="clear" w:color="auto" w:fill="D9D9D9" w:themeFill="background1" w:themeFillShade="D9"/>
            <w:vAlign w:val="center"/>
          </w:tcPr>
          <w:p w14:paraId="2D8206B3"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4. dubna 2023</w:t>
            </w:r>
          </w:p>
        </w:tc>
        <w:tc>
          <w:tcPr>
            <w:tcW w:w="3961" w:type="dxa"/>
            <w:shd w:val="clear" w:color="auto" w:fill="D9D9D9" w:themeFill="background1" w:themeFillShade="D9"/>
            <w:vAlign w:val="center"/>
          </w:tcPr>
          <w:p w14:paraId="7047BACB" w14:textId="41F604B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Aktuální otázky</w:t>
            </w:r>
            <w:r w:rsidR="00A83AD9">
              <w:rPr>
                <w:rFonts w:asciiTheme="minorHAnsi" w:hAnsiTheme="minorHAnsi" w:cstheme="minorHAnsi"/>
                <w:szCs w:val="23"/>
              </w:rPr>
              <w:t xml:space="preserve"> v </w:t>
            </w:r>
            <w:r>
              <w:rPr>
                <w:rFonts w:asciiTheme="minorHAnsi" w:hAnsiTheme="minorHAnsi" w:cstheme="minorHAnsi"/>
                <w:szCs w:val="23"/>
              </w:rPr>
              <w:t>oblasti ochrany zvířat proti týrání</w:t>
            </w:r>
          </w:p>
        </w:tc>
        <w:tc>
          <w:tcPr>
            <w:tcW w:w="1290" w:type="dxa"/>
            <w:shd w:val="clear" w:color="auto" w:fill="D9D9D9" w:themeFill="background1" w:themeFillShade="D9"/>
            <w:vAlign w:val="center"/>
          </w:tcPr>
          <w:p w14:paraId="0AD5FFAD"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Konference</w:t>
            </w:r>
          </w:p>
        </w:tc>
        <w:tc>
          <w:tcPr>
            <w:tcW w:w="1263" w:type="dxa"/>
            <w:shd w:val="clear" w:color="auto" w:fill="D9D9D9" w:themeFill="background1" w:themeFillShade="D9"/>
            <w:vAlign w:val="center"/>
          </w:tcPr>
          <w:p w14:paraId="4EBE4220"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Hybridní</w:t>
            </w:r>
          </w:p>
        </w:tc>
      </w:tr>
      <w:tr w:rsidR="008E594E" w14:paraId="633A5915" w14:textId="77777777" w:rsidTr="00FE444B">
        <w:trPr>
          <w:trHeight w:val="851"/>
        </w:trPr>
        <w:tc>
          <w:tcPr>
            <w:tcW w:w="1980" w:type="dxa"/>
            <w:vAlign w:val="center"/>
          </w:tcPr>
          <w:p w14:paraId="167211CB"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20. dubna 2023</w:t>
            </w:r>
          </w:p>
        </w:tc>
        <w:tc>
          <w:tcPr>
            <w:tcW w:w="3961" w:type="dxa"/>
            <w:vAlign w:val="center"/>
          </w:tcPr>
          <w:p w14:paraId="3121610E" w14:textId="2C57AAD3" w:rsidR="008E594E" w:rsidRPr="00891016" w:rsidRDefault="008E594E" w:rsidP="006033C2">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Vybrané problémy</w:t>
            </w:r>
            <w:r w:rsidR="00A83AD9">
              <w:rPr>
                <w:rFonts w:asciiTheme="minorHAnsi" w:hAnsiTheme="minorHAnsi" w:cstheme="minorHAnsi"/>
                <w:szCs w:val="23"/>
              </w:rPr>
              <w:t xml:space="preserve"> z </w:t>
            </w:r>
            <w:r>
              <w:rPr>
                <w:rFonts w:asciiTheme="minorHAnsi" w:hAnsiTheme="minorHAnsi" w:cstheme="minorHAnsi"/>
                <w:szCs w:val="23"/>
              </w:rPr>
              <w:t>aplikace stavebního zákona</w:t>
            </w:r>
          </w:p>
        </w:tc>
        <w:tc>
          <w:tcPr>
            <w:tcW w:w="1290" w:type="dxa"/>
            <w:vAlign w:val="center"/>
          </w:tcPr>
          <w:p w14:paraId="6895146D"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Kulatý stůl</w:t>
            </w:r>
          </w:p>
        </w:tc>
        <w:tc>
          <w:tcPr>
            <w:tcW w:w="1263" w:type="dxa"/>
            <w:vAlign w:val="center"/>
          </w:tcPr>
          <w:p w14:paraId="3A3D783C"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Prezenční</w:t>
            </w:r>
          </w:p>
        </w:tc>
      </w:tr>
      <w:tr w:rsidR="008E594E" w14:paraId="47FE5811" w14:textId="77777777" w:rsidTr="00FE444B">
        <w:trPr>
          <w:trHeight w:val="851"/>
        </w:trPr>
        <w:tc>
          <w:tcPr>
            <w:tcW w:w="1980" w:type="dxa"/>
            <w:shd w:val="clear" w:color="auto" w:fill="D9D9D9" w:themeFill="background1" w:themeFillShade="D9"/>
            <w:vAlign w:val="center"/>
          </w:tcPr>
          <w:p w14:paraId="507858D0"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26. dubna 2023</w:t>
            </w:r>
          </w:p>
        </w:tc>
        <w:tc>
          <w:tcPr>
            <w:tcW w:w="3961" w:type="dxa"/>
            <w:shd w:val="clear" w:color="auto" w:fill="D9D9D9" w:themeFill="background1" w:themeFillShade="D9"/>
            <w:vAlign w:val="center"/>
          </w:tcPr>
          <w:p w14:paraId="33F409C4" w14:textId="7538838E"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Právo</w:t>
            </w:r>
            <w:r w:rsidR="00A83AD9">
              <w:rPr>
                <w:rFonts w:asciiTheme="minorHAnsi" w:hAnsiTheme="minorHAnsi" w:cstheme="minorHAnsi"/>
                <w:szCs w:val="23"/>
              </w:rPr>
              <w:t xml:space="preserve"> na </w:t>
            </w:r>
            <w:r>
              <w:rPr>
                <w:rFonts w:asciiTheme="minorHAnsi" w:hAnsiTheme="minorHAnsi" w:cstheme="minorHAnsi"/>
                <w:szCs w:val="23"/>
              </w:rPr>
              <w:t>informace</w:t>
            </w:r>
            <w:r w:rsidR="00A83AD9">
              <w:rPr>
                <w:rFonts w:asciiTheme="minorHAnsi" w:hAnsiTheme="minorHAnsi" w:cstheme="minorHAnsi"/>
                <w:szCs w:val="23"/>
              </w:rPr>
              <w:t xml:space="preserve"> a </w:t>
            </w:r>
            <w:r>
              <w:rPr>
                <w:rFonts w:asciiTheme="minorHAnsi" w:hAnsiTheme="minorHAnsi" w:cstheme="minorHAnsi"/>
                <w:szCs w:val="23"/>
              </w:rPr>
              <w:t>ochrana osobních údajů</w:t>
            </w:r>
          </w:p>
        </w:tc>
        <w:tc>
          <w:tcPr>
            <w:tcW w:w="1290" w:type="dxa"/>
            <w:shd w:val="clear" w:color="auto" w:fill="D9D9D9" w:themeFill="background1" w:themeFillShade="D9"/>
            <w:vAlign w:val="center"/>
          </w:tcPr>
          <w:p w14:paraId="342774C1"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Seminář</w:t>
            </w:r>
          </w:p>
        </w:tc>
        <w:tc>
          <w:tcPr>
            <w:tcW w:w="1263" w:type="dxa"/>
            <w:shd w:val="clear" w:color="auto" w:fill="D9D9D9" w:themeFill="background1" w:themeFillShade="D9"/>
            <w:vAlign w:val="center"/>
          </w:tcPr>
          <w:p w14:paraId="68B6CDB4"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Prezenční</w:t>
            </w:r>
          </w:p>
        </w:tc>
      </w:tr>
      <w:tr w:rsidR="008E594E" w14:paraId="3DFB26D8" w14:textId="77777777" w:rsidTr="00FE444B">
        <w:trPr>
          <w:trHeight w:val="851"/>
        </w:trPr>
        <w:tc>
          <w:tcPr>
            <w:tcW w:w="1980" w:type="dxa"/>
            <w:vAlign w:val="center"/>
          </w:tcPr>
          <w:p w14:paraId="038570AD"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26. dubna 2023</w:t>
            </w:r>
          </w:p>
        </w:tc>
        <w:tc>
          <w:tcPr>
            <w:tcW w:w="3961" w:type="dxa"/>
            <w:vAlign w:val="center"/>
          </w:tcPr>
          <w:p w14:paraId="314050ED" w14:textId="56D7AC22"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Odkladný účinek správní žaloby</w:t>
            </w:r>
            <w:r w:rsidR="00A83AD9">
              <w:rPr>
                <w:rFonts w:asciiTheme="minorHAnsi" w:hAnsiTheme="minorHAnsi" w:cstheme="minorHAnsi"/>
                <w:szCs w:val="23"/>
              </w:rPr>
              <w:t xml:space="preserve"> u </w:t>
            </w:r>
            <w:r>
              <w:rPr>
                <w:rFonts w:asciiTheme="minorHAnsi" w:hAnsiTheme="minorHAnsi" w:cstheme="minorHAnsi"/>
                <w:szCs w:val="23"/>
              </w:rPr>
              <w:t>rozhodnutí ukládajících peněžité plnění</w:t>
            </w:r>
          </w:p>
        </w:tc>
        <w:tc>
          <w:tcPr>
            <w:tcW w:w="1290" w:type="dxa"/>
            <w:vAlign w:val="center"/>
          </w:tcPr>
          <w:p w14:paraId="0B6D50CB"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Kulatý stůl</w:t>
            </w:r>
          </w:p>
        </w:tc>
        <w:tc>
          <w:tcPr>
            <w:tcW w:w="1263" w:type="dxa"/>
            <w:vAlign w:val="center"/>
          </w:tcPr>
          <w:p w14:paraId="7BC1342A"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Prezenční</w:t>
            </w:r>
          </w:p>
        </w:tc>
      </w:tr>
      <w:tr w:rsidR="008E594E" w14:paraId="68057F01" w14:textId="77777777" w:rsidTr="00FE444B">
        <w:trPr>
          <w:trHeight w:val="851"/>
        </w:trPr>
        <w:tc>
          <w:tcPr>
            <w:tcW w:w="1980" w:type="dxa"/>
            <w:shd w:val="clear" w:color="auto" w:fill="D9D9D9" w:themeFill="background1" w:themeFillShade="D9"/>
            <w:vAlign w:val="center"/>
          </w:tcPr>
          <w:p w14:paraId="670E0269"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31. května 2023</w:t>
            </w:r>
          </w:p>
        </w:tc>
        <w:tc>
          <w:tcPr>
            <w:tcW w:w="3961" w:type="dxa"/>
            <w:shd w:val="clear" w:color="auto" w:fill="D9D9D9" w:themeFill="background1" w:themeFillShade="D9"/>
            <w:vAlign w:val="center"/>
          </w:tcPr>
          <w:p w14:paraId="1F7F5D19" w14:textId="7EF3A682"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Fungování rozkladových komisí ministerstev</w:t>
            </w:r>
            <w:r w:rsidR="00A83AD9">
              <w:rPr>
                <w:rFonts w:asciiTheme="minorHAnsi" w:hAnsiTheme="minorHAnsi" w:cstheme="minorHAnsi"/>
                <w:szCs w:val="23"/>
              </w:rPr>
              <w:t xml:space="preserve"> a </w:t>
            </w:r>
            <w:r>
              <w:rPr>
                <w:rFonts w:asciiTheme="minorHAnsi" w:hAnsiTheme="minorHAnsi" w:cstheme="minorHAnsi"/>
                <w:szCs w:val="23"/>
              </w:rPr>
              <w:t>vybraných ústředních orgánů státní správy</w:t>
            </w:r>
          </w:p>
        </w:tc>
        <w:tc>
          <w:tcPr>
            <w:tcW w:w="1290" w:type="dxa"/>
            <w:shd w:val="clear" w:color="auto" w:fill="D9D9D9" w:themeFill="background1" w:themeFillShade="D9"/>
            <w:vAlign w:val="center"/>
          </w:tcPr>
          <w:p w14:paraId="74235195" w14:textId="77777777" w:rsidR="008E594E" w:rsidRPr="006033C2" w:rsidRDefault="008E594E" w:rsidP="00FE444B">
            <w:pPr>
              <w:pStyle w:val="Zkladntext"/>
              <w:spacing w:after="0" w:line="276" w:lineRule="auto"/>
              <w:jc w:val="left"/>
              <w:rPr>
                <w:rFonts w:asciiTheme="minorHAnsi" w:hAnsiTheme="minorHAnsi" w:cstheme="minorHAnsi"/>
                <w:szCs w:val="23"/>
              </w:rPr>
            </w:pPr>
            <w:r w:rsidRPr="006033C2">
              <w:rPr>
                <w:rFonts w:asciiTheme="minorHAnsi" w:hAnsiTheme="minorHAnsi" w:cstheme="minorHAnsi"/>
                <w:szCs w:val="23"/>
              </w:rPr>
              <w:t>Kulatý stůl</w:t>
            </w:r>
          </w:p>
        </w:tc>
        <w:tc>
          <w:tcPr>
            <w:tcW w:w="1263" w:type="dxa"/>
            <w:shd w:val="clear" w:color="auto" w:fill="D9D9D9" w:themeFill="background1" w:themeFillShade="D9"/>
            <w:vAlign w:val="center"/>
          </w:tcPr>
          <w:p w14:paraId="09FDC89A"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Prezenční</w:t>
            </w:r>
          </w:p>
        </w:tc>
      </w:tr>
      <w:tr w:rsidR="008E594E" w14:paraId="22B5C888" w14:textId="77777777" w:rsidTr="00FE444B">
        <w:trPr>
          <w:trHeight w:val="851"/>
        </w:trPr>
        <w:tc>
          <w:tcPr>
            <w:tcW w:w="1980" w:type="dxa"/>
            <w:vAlign w:val="center"/>
          </w:tcPr>
          <w:p w14:paraId="35E63902" w14:textId="3226C5C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8.</w:t>
            </w:r>
            <w:r w:rsidR="00A83AD9">
              <w:rPr>
                <w:rFonts w:asciiTheme="minorHAnsi" w:hAnsiTheme="minorHAnsi" w:cstheme="minorHAnsi"/>
                <w:szCs w:val="23"/>
              </w:rPr>
              <w:t xml:space="preserve"> a </w:t>
            </w:r>
            <w:r>
              <w:rPr>
                <w:rFonts w:asciiTheme="minorHAnsi" w:hAnsiTheme="minorHAnsi" w:cstheme="minorHAnsi"/>
                <w:szCs w:val="23"/>
              </w:rPr>
              <w:t>9. června 2023</w:t>
            </w:r>
          </w:p>
        </w:tc>
        <w:tc>
          <w:tcPr>
            <w:tcW w:w="3961" w:type="dxa"/>
            <w:vAlign w:val="center"/>
          </w:tcPr>
          <w:p w14:paraId="5C25CDED" w14:textId="230FD4CC"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ODBORNÝ SEMINÁŘ: rozhodování</w:t>
            </w:r>
            <w:r w:rsidR="00A83AD9">
              <w:rPr>
                <w:rFonts w:asciiTheme="minorHAnsi" w:hAnsiTheme="minorHAnsi" w:cstheme="minorHAnsi"/>
                <w:szCs w:val="23"/>
              </w:rPr>
              <w:t xml:space="preserve"> o </w:t>
            </w:r>
            <w:r>
              <w:rPr>
                <w:rFonts w:asciiTheme="minorHAnsi" w:hAnsiTheme="minorHAnsi" w:cstheme="minorHAnsi"/>
                <w:szCs w:val="23"/>
              </w:rPr>
              <w:t>mezinárodní ochraně</w:t>
            </w:r>
          </w:p>
        </w:tc>
        <w:tc>
          <w:tcPr>
            <w:tcW w:w="1290" w:type="dxa"/>
            <w:vAlign w:val="center"/>
          </w:tcPr>
          <w:p w14:paraId="3159F2E3" w14:textId="77777777" w:rsidR="008E594E" w:rsidRPr="006033C2" w:rsidRDefault="008E594E" w:rsidP="00FE444B">
            <w:pPr>
              <w:pStyle w:val="Zkladntext"/>
              <w:spacing w:after="0" w:line="276" w:lineRule="auto"/>
              <w:jc w:val="left"/>
              <w:rPr>
                <w:rFonts w:asciiTheme="minorHAnsi" w:hAnsiTheme="minorHAnsi" w:cstheme="minorHAnsi"/>
                <w:szCs w:val="23"/>
              </w:rPr>
            </w:pPr>
            <w:r w:rsidRPr="006033C2">
              <w:rPr>
                <w:rFonts w:asciiTheme="minorHAnsi" w:hAnsiTheme="minorHAnsi" w:cstheme="minorHAnsi"/>
                <w:szCs w:val="23"/>
              </w:rPr>
              <w:t>Odborný seminář</w:t>
            </w:r>
          </w:p>
        </w:tc>
        <w:tc>
          <w:tcPr>
            <w:tcW w:w="1263" w:type="dxa"/>
            <w:vAlign w:val="center"/>
          </w:tcPr>
          <w:p w14:paraId="62C7B69E"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Prezenční</w:t>
            </w:r>
          </w:p>
        </w:tc>
      </w:tr>
      <w:tr w:rsidR="008E594E" w14:paraId="6579D369" w14:textId="77777777" w:rsidTr="00FE444B">
        <w:trPr>
          <w:trHeight w:val="851"/>
        </w:trPr>
        <w:tc>
          <w:tcPr>
            <w:tcW w:w="1980" w:type="dxa"/>
            <w:shd w:val="clear" w:color="auto" w:fill="D9D9D9" w:themeFill="background1" w:themeFillShade="D9"/>
            <w:vAlign w:val="center"/>
          </w:tcPr>
          <w:p w14:paraId="32DAC9EC"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14. června 2023</w:t>
            </w:r>
          </w:p>
        </w:tc>
        <w:tc>
          <w:tcPr>
            <w:tcW w:w="3961" w:type="dxa"/>
            <w:shd w:val="clear" w:color="auto" w:fill="D9D9D9" w:themeFill="background1" w:themeFillShade="D9"/>
            <w:vAlign w:val="center"/>
          </w:tcPr>
          <w:p w14:paraId="0E812546" w14:textId="77145F6E"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Stížnosti</w:t>
            </w:r>
            <w:r w:rsidR="00A83AD9">
              <w:rPr>
                <w:rFonts w:asciiTheme="minorHAnsi" w:hAnsiTheme="minorHAnsi" w:cstheme="minorHAnsi"/>
                <w:szCs w:val="23"/>
              </w:rPr>
              <w:t xml:space="preserve"> ve </w:t>
            </w:r>
            <w:r>
              <w:rPr>
                <w:rFonts w:asciiTheme="minorHAnsi" w:hAnsiTheme="minorHAnsi" w:cstheme="minorHAnsi"/>
                <w:szCs w:val="23"/>
              </w:rPr>
              <w:t>zdravotnictví</w:t>
            </w:r>
          </w:p>
        </w:tc>
        <w:tc>
          <w:tcPr>
            <w:tcW w:w="1290" w:type="dxa"/>
            <w:shd w:val="clear" w:color="auto" w:fill="D9D9D9" w:themeFill="background1" w:themeFillShade="D9"/>
            <w:vAlign w:val="center"/>
          </w:tcPr>
          <w:p w14:paraId="0B7FAD4C" w14:textId="77777777" w:rsidR="008E594E" w:rsidRPr="006033C2" w:rsidRDefault="008E594E" w:rsidP="00FE444B">
            <w:pPr>
              <w:pStyle w:val="Zkladntext"/>
              <w:spacing w:after="0" w:line="276" w:lineRule="auto"/>
              <w:jc w:val="left"/>
              <w:rPr>
                <w:rFonts w:asciiTheme="minorHAnsi" w:hAnsiTheme="minorHAnsi" w:cstheme="minorHAnsi"/>
                <w:szCs w:val="23"/>
              </w:rPr>
            </w:pPr>
            <w:r w:rsidRPr="006033C2">
              <w:rPr>
                <w:rFonts w:asciiTheme="minorHAnsi" w:hAnsiTheme="minorHAnsi" w:cstheme="minorHAnsi"/>
                <w:szCs w:val="23"/>
              </w:rPr>
              <w:t>Kulatý stůl</w:t>
            </w:r>
          </w:p>
        </w:tc>
        <w:tc>
          <w:tcPr>
            <w:tcW w:w="1263" w:type="dxa"/>
            <w:shd w:val="clear" w:color="auto" w:fill="D9D9D9" w:themeFill="background1" w:themeFillShade="D9"/>
            <w:vAlign w:val="center"/>
          </w:tcPr>
          <w:p w14:paraId="3C27FF4C"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Hybridní</w:t>
            </w:r>
          </w:p>
        </w:tc>
      </w:tr>
      <w:tr w:rsidR="008E594E" w14:paraId="5BADB9BF" w14:textId="77777777" w:rsidTr="00FE444B">
        <w:trPr>
          <w:trHeight w:val="851"/>
        </w:trPr>
        <w:tc>
          <w:tcPr>
            <w:tcW w:w="1980" w:type="dxa"/>
            <w:vAlign w:val="center"/>
          </w:tcPr>
          <w:p w14:paraId="0DB043F5"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15. června 2023</w:t>
            </w:r>
          </w:p>
        </w:tc>
        <w:tc>
          <w:tcPr>
            <w:tcW w:w="3961" w:type="dxa"/>
            <w:vAlign w:val="center"/>
          </w:tcPr>
          <w:p w14:paraId="3E2BB531" w14:textId="173AA499"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Právo</w:t>
            </w:r>
            <w:r w:rsidR="00A83AD9">
              <w:rPr>
                <w:rFonts w:asciiTheme="minorHAnsi" w:hAnsiTheme="minorHAnsi" w:cstheme="minorHAnsi"/>
                <w:szCs w:val="23"/>
              </w:rPr>
              <w:t xml:space="preserve"> na </w:t>
            </w:r>
            <w:r>
              <w:rPr>
                <w:rFonts w:asciiTheme="minorHAnsi" w:hAnsiTheme="minorHAnsi" w:cstheme="minorHAnsi"/>
                <w:szCs w:val="23"/>
              </w:rPr>
              <w:t>informace</w:t>
            </w:r>
            <w:r w:rsidR="00A83AD9">
              <w:rPr>
                <w:rFonts w:asciiTheme="minorHAnsi" w:hAnsiTheme="minorHAnsi" w:cstheme="minorHAnsi"/>
                <w:szCs w:val="23"/>
              </w:rPr>
              <w:t xml:space="preserve"> a </w:t>
            </w:r>
            <w:r>
              <w:rPr>
                <w:rFonts w:asciiTheme="minorHAnsi" w:hAnsiTheme="minorHAnsi" w:cstheme="minorHAnsi"/>
                <w:szCs w:val="23"/>
              </w:rPr>
              <w:t>ochrana osobních údajů</w:t>
            </w:r>
          </w:p>
        </w:tc>
        <w:tc>
          <w:tcPr>
            <w:tcW w:w="1290" w:type="dxa"/>
            <w:vAlign w:val="center"/>
          </w:tcPr>
          <w:p w14:paraId="2DD2F291"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Seminář</w:t>
            </w:r>
          </w:p>
        </w:tc>
        <w:tc>
          <w:tcPr>
            <w:tcW w:w="1263" w:type="dxa"/>
            <w:vAlign w:val="center"/>
          </w:tcPr>
          <w:p w14:paraId="10B06F62"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Prezenční</w:t>
            </w:r>
          </w:p>
        </w:tc>
      </w:tr>
      <w:tr w:rsidR="008E594E" w14:paraId="000F03F1" w14:textId="77777777" w:rsidTr="00FE444B">
        <w:trPr>
          <w:trHeight w:val="851"/>
        </w:trPr>
        <w:tc>
          <w:tcPr>
            <w:tcW w:w="1980" w:type="dxa"/>
            <w:shd w:val="clear" w:color="auto" w:fill="D9D9D9" w:themeFill="background1" w:themeFillShade="D9"/>
            <w:vAlign w:val="center"/>
          </w:tcPr>
          <w:p w14:paraId="32BBC89A" w14:textId="77777777" w:rsidR="008E594E"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22. června 2023</w:t>
            </w:r>
          </w:p>
        </w:tc>
        <w:tc>
          <w:tcPr>
            <w:tcW w:w="3961" w:type="dxa"/>
            <w:shd w:val="clear" w:color="auto" w:fill="D9D9D9" w:themeFill="background1" w:themeFillShade="D9"/>
            <w:vAlign w:val="center"/>
          </w:tcPr>
          <w:p w14:paraId="690B8B38" w14:textId="763F955C"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Rodičovství</w:t>
            </w:r>
            <w:r w:rsidR="00A83AD9">
              <w:rPr>
                <w:rFonts w:asciiTheme="minorHAnsi" w:hAnsiTheme="minorHAnsi" w:cstheme="minorHAnsi"/>
                <w:szCs w:val="23"/>
              </w:rPr>
              <w:t xml:space="preserve"> na </w:t>
            </w:r>
            <w:r>
              <w:rPr>
                <w:rFonts w:asciiTheme="minorHAnsi" w:hAnsiTheme="minorHAnsi" w:cstheme="minorHAnsi"/>
                <w:szCs w:val="23"/>
              </w:rPr>
              <w:t>pracovišti</w:t>
            </w:r>
          </w:p>
        </w:tc>
        <w:tc>
          <w:tcPr>
            <w:tcW w:w="1290" w:type="dxa"/>
            <w:shd w:val="clear" w:color="auto" w:fill="D9D9D9" w:themeFill="background1" w:themeFillShade="D9"/>
            <w:vAlign w:val="center"/>
          </w:tcPr>
          <w:p w14:paraId="7AE8C3EC"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Workshop (NF)</w:t>
            </w:r>
          </w:p>
        </w:tc>
        <w:tc>
          <w:tcPr>
            <w:tcW w:w="1263" w:type="dxa"/>
            <w:shd w:val="clear" w:color="auto" w:fill="D9D9D9" w:themeFill="background1" w:themeFillShade="D9"/>
            <w:vAlign w:val="center"/>
          </w:tcPr>
          <w:p w14:paraId="4EB13A1B"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Hybridní</w:t>
            </w:r>
          </w:p>
        </w:tc>
      </w:tr>
      <w:tr w:rsidR="008E594E" w14:paraId="297B4671" w14:textId="77777777" w:rsidTr="00FE444B">
        <w:trPr>
          <w:trHeight w:val="851"/>
        </w:trPr>
        <w:tc>
          <w:tcPr>
            <w:tcW w:w="1980" w:type="dxa"/>
            <w:vAlign w:val="center"/>
          </w:tcPr>
          <w:p w14:paraId="5B16D7C4" w14:textId="77777777" w:rsidR="008E594E"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27. června 2023</w:t>
            </w:r>
          </w:p>
        </w:tc>
        <w:tc>
          <w:tcPr>
            <w:tcW w:w="3961" w:type="dxa"/>
            <w:vAlign w:val="center"/>
          </w:tcPr>
          <w:p w14:paraId="16606248" w14:textId="74ED7105"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Péče</w:t>
            </w:r>
            <w:r w:rsidR="00A83AD9">
              <w:rPr>
                <w:rFonts w:asciiTheme="minorHAnsi" w:hAnsiTheme="minorHAnsi" w:cstheme="minorHAnsi"/>
                <w:szCs w:val="23"/>
              </w:rPr>
              <w:t xml:space="preserve"> o </w:t>
            </w:r>
            <w:r>
              <w:rPr>
                <w:rFonts w:asciiTheme="minorHAnsi" w:hAnsiTheme="minorHAnsi" w:cstheme="minorHAnsi"/>
                <w:szCs w:val="23"/>
              </w:rPr>
              <w:t>klienty</w:t>
            </w:r>
            <w:r w:rsidR="00A83AD9">
              <w:rPr>
                <w:rFonts w:asciiTheme="minorHAnsi" w:hAnsiTheme="minorHAnsi" w:cstheme="minorHAnsi"/>
                <w:szCs w:val="23"/>
              </w:rPr>
              <w:t xml:space="preserve"> s </w:t>
            </w:r>
            <w:r>
              <w:rPr>
                <w:rFonts w:asciiTheme="minorHAnsi" w:hAnsiTheme="minorHAnsi" w:cstheme="minorHAnsi"/>
                <w:szCs w:val="23"/>
              </w:rPr>
              <w:t>demencí</w:t>
            </w:r>
            <w:r w:rsidR="00A83AD9">
              <w:rPr>
                <w:rFonts w:asciiTheme="minorHAnsi" w:hAnsiTheme="minorHAnsi" w:cstheme="minorHAnsi"/>
                <w:szCs w:val="23"/>
              </w:rPr>
              <w:t xml:space="preserve"> v </w:t>
            </w:r>
            <w:r>
              <w:rPr>
                <w:rFonts w:asciiTheme="minorHAnsi" w:hAnsiTheme="minorHAnsi" w:cstheme="minorHAnsi"/>
                <w:szCs w:val="23"/>
              </w:rPr>
              <w:t>domovech</w:t>
            </w:r>
            <w:r w:rsidR="00A83AD9">
              <w:rPr>
                <w:rFonts w:asciiTheme="minorHAnsi" w:hAnsiTheme="minorHAnsi" w:cstheme="minorHAnsi"/>
                <w:szCs w:val="23"/>
              </w:rPr>
              <w:t xml:space="preserve"> pro </w:t>
            </w:r>
            <w:r>
              <w:rPr>
                <w:rFonts w:asciiTheme="minorHAnsi" w:hAnsiTheme="minorHAnsi" w:cstheme="minorHAnsi"/>
                <w:szCs w:val="23"/>
              </w:rPr>
              <w:t>seniory</w:t>
            </w:r>
            <w:r w:rsidR="00A83AD9">
              <w:rPr>
                <w:rFonts w:asciiTheme="minorHAnsi" w:hAnsiTheme="minorHAnsi" w:cstheme="minorHAnsi"/>
                <w:szCs w:val="23"/>
              </w:rPr>
              <w:t xml:space="preserve"> a </w:t>
            </w:r>
            <w:r>
              <w:rPr>
                <w:rFonts w:asciiTheme="minorHAnsi" w:hAnsiTheme="minorHAnsi" w:cstheme="minorHAnsi"/>
                <w:szCs w:val="23"/>
              </w:rPr>
              <w:t>domovech se zvláštním režimem</w:t>
            </w:r>
          </w:p>
        </w:tc>
        <w:tc>
          <w:tcPr>
            <w:tcW w:w="1290" w:type="dxa"/>
            <w:vAlign w:val="center"/>
          </w:tcPr>
          <w:p w14:paraId="0AA730BD" w14:textId="77777777" w:rsidR="008E594E" w:rsidRPr="006033C2" w:rsidRDefault="008E594E" w:rsidP="00FE444B">
            <w:pPr>
              <w:pStyle w:val="Zkladntext"/>
              <w:spacing w:after="0" w:line="276" w:lineRule="auto"/>
              <w:jc w:val="left"/>
              <w:rPr>
                <w:rFonts w:asciiTheme="minorHAnsi" w:hAnsiTheme="minorHAnsi" w:cstheme="minorHAnsi"/>
                <w:szCs w:val="23"/>
              </w:rPr>
            </w:pPr>
            <w:r w:rsidRPr="006033C2">
              <w:rPr>
                <w:rFonts w:asciiTheme="minorHAnsi" w:hAnsiTheme="minorHAnsi" w:cstheme="minorHAnsi"/>
                <w:szCs w:val="23"/>
              </w:rPr>
              <w:t>Školení</w:t>
            </w:r>
          </w:p>
        </w:tc>
        <w:tc>
          <w:tcPr>
            <w:tcW w:w="1263" w:type="dxa"/>
            <w:vAlign w:val="center"/>
          </w:tcPr>
          <w:p w14:paraId="4B056833"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Online</w:t>
            </w:r>
          </w:p>
        </w:tc>
      </w:tr>
      <w:tr w:rsidR="008E594E" w14:paraId="230038B8" w14:textId="77777777" w:rsidTr="00FE444B">
        <w:trPr>
          <w:trHeight w:val="851"/>
        </w:trPr>
        <w:tc>
          <w:tcPr>
            <w:tcW w:w="1980" w:type="dxa"/>
            <w:shd w:val="clear" w:color="auto" w:fill="D9D9D9" w:themeFill="background1" w:themeFillShade="D9"/>
            <w:vAlign w:val="center"/>
          </w:tcPr>
          <w:p w14:paraId="794A35B0" w14:textId="77777777" w:rsidR="008E594E"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29. června 2023</w:t>
            </w:r>
          </w:p>
        </w:tc>
        <w:tc>
          <w:tcPr>
            <w:tcW w:w="3961" w:type="dxa"/>
            <w:shd w:val="clear" w:color="auto" w:fill="D9D9D9" w:themeFill="background1" w:themeFillShade="D9"/>
            <w:vAlign w:val="center"/>
          </w:tcPr>
          <w:p w14:paraId="2EFA9C92" w14:textId="59F9B446"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Kulatý stůl</w:t>
            </w:r>
            <w:r w:rsidR="00A83AD9">
              <w:rPr>
                <w:rFonts w:asciiTheme="minorHAnsi" w:hAnsiTheme="minorHAnsi" w:cstheme="minorHAnsi"/>
                <w:szCs w:val="23"/>
              </w:rPr>
              <w:t xml:space="preserve"> k </w:t>
            </w:r>
            <w:r>
              <w:rPr>
                <w:rFonts w:asciiTheme="minorHAnsi" w:hAnsiTheme="minorHAnsi" w:cstheme="minorHAnsi"/>
                <w:szCs w:val="23"/>
              </w:rPr>
              <w:t>problematice studní</w:t>
            </w:r>
            <w:r w:rsidR="00A83AD9">
              <w:rPr>
                <w:rFonts w:asciiTheme="minorHAnsi" w:hAnsiTheme="minorHAnsi" w:cstheme="minorHAnsi"/>
                <w:szCs w:val="23"/>
              </w:rPr>
              <w:t xml:space="preserve"> a </w:t>
            </w:r>
            <w:r>
              <w:rPr>
                <w:rFonts w:asciiTheme="minorHAnsi" w:hAnsiTheme="minorHAnsi" w:cstheme="minorHAnsi"/>
                <w:szCs w:val="23"/>
              </w:rPr>
              <w:t>hydrogeologických průzkumných vrtů</w:t>
            </w:r>
          </w:p>
        </w:tc>
        <w:tc>
          <w:tcPr>
            <w:tcW w:w="1290" w:type="dxa"/>
            <w:shd w:val="clear" w:color="auto" w:fill="D9D9D9" w:themeFill="background1" w:themeFillShade="D9"/>
            <w:vAlign w:val="center"/>
          </w:tcPr>
          <w:p w14:paraId="5F555BCA" w14:textId="77777777" w:rsidR="008E594E" w:rsidRPr="006033C2" w:rsidRDefault="008E594E" w:rsidP="00FE444B">
            <w:pPr>
              <w:pStyle w:val="Zkladntext"/>
              <w:spacing w:after="0" w:line="276" w:lineRule="auto"/>
              <w:jc w:val="left"/>
              <w:rPr>
                <w:rFonts w:asciiTheme="minorHAnsi" w:hAnsiTheme="minorHAnsi" w:cstheme="minorHAnsi"/>
                <w:szCs w:val="23"/>
              </w:rPr>
            </w:pPr>
            <w:r w:rsidRPr="006033C2">
              <w:rPr>
                <w:rFonts w:asciiTheme="minorHAnsi" w:hAnsiTheme="minorHAnsi" w:cstheme="minorHAnsi"/>
                <w:szCs w:val="23"/>
              </w:rPr>
              <w:t>Kulatý stůl</w:t>
            </w:r>
          </w:p>
        </w:tc>
        <w:tc>
          <w:tcPr>
            <w:tcW w:w="1263" w:type="dxa"/>
            <w:shd w:val="clear" w:color="auto" w:fill="D9D9D9" w:themeFill="background1" w:themeFillShade="D9"/>
            <w:vAlign w:val="center"/>
          </w:tcPr>
          <w:p w14:paraId="68AF2A8C" w14:textId="77777777" w:rsidR="008E594E" w:rsidRPr="00891016" w:rsidRDefault="008E594E" w:rsidP="00FE444B">
            <w:pPr>
              <w:pStyle w:val="Zkladntext"/>
              <w:spacing w:after="0" w:line="276" w:lineRule="auto"/>
              <w:jc w:val="left"/>
              <w:rPr>
                <w:rFonts w:asciiTheme="minorHAnsi" w:hAnsiTheme="minorHAnsi" w:cstheme="minorHAnsi"/>
                <w:szCs w:val="23"/>
              </w:rPr>
            </w:pPr>
            <w:r>
              <w:rPr>
                <w:rFonts w:asciiTheme="minorHAnsi" w:hAnsiTheme="minorHAnsi" w:cstheme="minorHAnsi"/>
                <w:szCs w:val="23"/>
              </w:rPr>
              <w:t>Prezenční</w:t>
            </w:r>
          </w:p>
        </w:tc>
      </w:tr>
    </w:tbl>
    <w:p w14:paraId="7DF54041" w14:textId="77777777" w:rsidR="008E594E" w:rsidRPr="008E594E" w:rsidRDefault="008E594E" w:rsidP="008E594E">
      <w:pPr>
        <w:pStyle w:val="Zkladntext"/>
      </w:pPr>
    </w:p>
    <w:p w14:paraId="05B5EAA2" w14:textId="0CC4F9AC" w:rsidR="000C502F" w:rsidRDefault="000C502F" w:rsidP="0039224B">
      <w:pPr>
        <w:pStyle w:val="Nadpis2"/>
      </w:pPr>
      <w:bookmarkStart w:id="32" w:name="_Toc141694101"/>
      <w:r>
        <w:t>Dohled</w:t>
      </w:r>
      <w:r w:rsidR="00A83AD9">
        <w:t xml:space="preserve"> nad </w:t>
      </w:r>
      <w:r>
        <w:t>omezováním osobní svobody</w:t>
      </w:r>
      <w:r w:rsidR="00A83AD9">
        <w:t xml:space="preserve"> a </w:t>
      </w:r>
      <w:r>
        <w:t>sledování vyhoštění</w:t>
      </w:r>
      <w:bookmarkEnd w:id="32"/>
    </w:p>
    <w:p w14:paraId="2EF6EC4B" w14:textId="53E6B761" w:rsidR="0001457E" w:rsidRPr="00665D07" w:rsidRDefault="00F77352" w:rsidP="00665D07">
      <w:pPr>
        <w:pStyle w:val="Zkladntext"/>
      </w:pPr>
      <w:r w:rsidRPr="00665D07">
        <w:t>Od roku 2006 je ochránce národním preventivním mechanismem podle Opčního protokolu</w:t>
      </w:r>
      <w:r w:rsidR="00A83AD9">
        <w:t xml:space="preserve"> k </w:t>
      </w:r>
      <w:r w:rsidRPr="00665D07">
        <w:t>Úmluvě proti mučení</w:t>
      </w:r>
      <w:r w:rsidR="00A83AD9">
        <w:t xml:space="preserve"> a </w:t>
      </w:r>
      <w:r w:rsidRPr="00665D07">
        <w:t>jinému krutému, nelidskému či ponižujícímu zacházení nebo trestání. Systematicky navštěvuje zařízení</w:t>
      </w:r>
      <w:r w:rsidR="00A83AD9">
        <w:t xml:space="preserve"> pro </w:t>
      </w:r>
      <w:r w:rsidRPr="00665D07">
        <w:t>osoby omezené</w:t>
      </w:r>
      <w:r w:rsidR="00A83AD9">
        <w:t xml:space="preserve"> na </w:t>
      </w:r>
      <w:r w:rsidRPr="00665D07">
        <w:t>svobodě</w:t>
      </w:r>
      <w:r w:rsidR="00A83AD9">
        <w:t xml:space="preserve"> z </w:t>
      </w:r>
      <w:r w:rsidRPr="00665D07">
        <w:t>moci úřední</w:t>
      </w:r>
      <w:r w:rsidR="00A83AD9">
        <w:t xml:space="preserve"> i v </w:t>
      </w:r>
      <w:r w:rsidRPr="00665D07">
        <w:t>důsledku závislosti</w:t>
      </w:r>
      <w:r w:rsidR="00A83AD9">
        <w:t xml:space="preserve"> na </w:t>
      </w:r>
      <w:r w:rsidRPr="00665D07">
        <w:t>poskytované péči. Svá zjištění</w:t>
      </w:r>
      <w:r w:rsidR="00A83AD9">
        <w:t xml:space="preserve"> a </w:t>
      </w:r>
      <w:r w:rsidRPr="00665D07">
        <w:t>doporučení zobecňuje</w:t>
      </w:r>
      <w:r w:rsidR="00A83AD9">
        <w:t xml:space="preserve"> v </w:t>
      </w:r>
      <w:r w:rsidRPr="00665D07">
        <w:t>souhrnných zprávách</w:t>
      </w:r>
      <w:r w:rsidR="00A83AD9">
        <w:t xml:space="preserve"> z </w:t>
      </w:r>
      <w:r w:rsidRPr="00665D07">
        <w:t>návštěv</w:t>
      </w:r>
      <w:r w:rsidR="00A83AD9">
        <w:t xml:space="preserve"> a </w:t>
      </w:r>
      <w:r w:rsidRPr="00665D07">
        <w:t xml:space="preserve">formuluje standardy zacházení. </w:t>
      </w:r>
      <w:r w:rsidR="0001457E" w:rsidRPr="00665D07">
        <w:t xml:space="preserve">Předkládá je </w:t>
      </w:r>
      <w:r w:rsidRPr="00665D07">
        <w:t>samotným zařízením</w:t>
      </w:r>
      <w:r w:rsidR="00A83AD9">
        <w:t xml:space="preserve"> a </w:t>
      </w:r>
      <w:r w:rsidR="0001457E" w:rsidRPr="00665D07">
        <w:t>jejich zřizovatelům</w:t>
      </w:r>
      <w:r w:rsidR="00A83AD9">
        <w:t xml:space="preserve"> a </w:t>
      </w:r>
      <w:r w:rsidR="0001457E" w:rsidRPr="00665D07">
        <w:t xml:space="preserve">systémová doporučení </w:t>
      </w:r>
      <w:r w:rsidRPr="00665D07">
        <w:t>ústředním orgánům státní správy.</w:t>
      </w:r>
      <w:r w:rsidR="00A83AD9">
        <w:t xml:space="preserve"> Od </w:t>
      </w:r>
      <w:r w:rsidR="0001457E" w:rsidRPr="00665D07">
        <w:t>roku 2011 ochránce rovněž sleduje zajištění cizinců</w:t>
      </w:r>
      <w:r w:rsidR="00A83AD9">
        <w:t xml:space="preserve"> a </w:t>
      </w:r>
      <w:r w:rsidR="0001457E" w:rsidRPr="00665D07">
        <w:t>výkon správního vyhoštění.</w:t>
      </w:r>
    </w:p>
    <w:p w14:paraId="51D3CFDD" w14:textId="5101146F" w:rsidR="00F77352" w:rsidRDefault="00F77352" w:rsidP="0039224B">
      <w:pPr>
        <w:pStyle w:val="Nadpis3"/>
      </w:pPr>
      <w:bookmarkStart w:id="33" w:name="_Toc141694102"/>
      <w:r>
        <w:t>Systematické návštěvy</w:t>
      </w:r>
      <w:r w:rsidR="00A83AD9">
        <w:t xml:space="preserve"> a </w:t>
      </w:r>
      <w:r>
        <w:t xml:space="preserve">sledování </w:t>
      </w:r>
      <w:r w:rsidR="0001457E">
        <w:t>vyhoštění</w:t>
      </w:r>
      <w:bookmarkEnd w:id="33"/>
    </w:p>
    <w:p w14:paraId="2AF84039" w14:textId="305ACC63" w:rsidR="008E594E" w:rsidRPr="008E594E" w:rsidRDefault="008E594E" w:rsidP="00EA030A">
      <w:pPr>
        <w:pStyle w:val="Zkladntext"/>
        <w:rPr>
          <w:b/>
          <w:sz w:val="24"/>
          <w:szCs w:val="26"/>
        </w:rPr>
      </w:pPr>
      <w:r w:rsidRPr="00510A96">
        <w:t>Ochránce</w:t>
      </w:r>
      <w:r w:rsidR="00A83AD9">
        <w:t xml:space="preserve"> ve </w:t>
      </w:r>
      <w:r w:rsidRPr="00F11B33">
        <w:t xml:space="preserve">druhém čtvrtletí provedl </w:t>
      </w:r>
      <w:r w:rsidRPr="004F7993">
        <w:rPr>
          <w:b/>
        </w:rPr>
        <w:t>8 systematických návštěv zařízení</w:t>
      </w:r>
      <w:r w:rsidRPr="00F11B33">
        <w:t>. Konkrétně navštívil Centrum služeb</w:t>
      </w:r>
      <w:r w:rsidR="00A83AD9">
        <w:t xml:space="preserve"> pro </w:t>
      </w:r>
      <w:r w:rsidRPr="00F11B33">
        <w:t>rodinu</w:t>
      </w:r>
      <w:r w:rsidR="00A83AD9">
        <w:t xml:space="preserve"> a </w:t>
      </w:r>
      <w:r w:rsidRPr="00F11B33">
        <w:t>dítě</w:t>
      </w:r>
      <w:r w:rsidR="00A83AD9">
        <w:t xml:space="preserve"> a </w:t>
      </w:r>
      <w:r w:rsidRPr="00F11B33">
        <w:t>dětský domov Charlotty Masarykové</w:t>
      </w:r>
      <w:r w:rsidR="00A83AD9">
        <w:t xml:space="preserve"> v </w:t>
      </w:r>
      <w:r w:rsidRPr="00F11B33">
        <w:t>Praze, Výchovný ústav Žulová, Psychiatrickou léčebnu Šternberk či oddělení dětské psychiatrie</w:t>
      </w:r>
      <w:r w:rsidR="00A83AD9">
        <w:t xml:space="preserve"> při </w:t>
      </w:r>
      <w:r w:rsidRPr="00F11B33">
        <w:t>Fakultní Thomayerově nemocnici</w:t>
      </w:r>
      <w:r w:rsidR="00A83AD9">
        <w:t xml:space="preserve"> v </w:t>
      </w:r>
      <w:r w:rsidRPr="00F11B33">
        <w:t>Praze. Ochránce systematickou návštěvou prověřil také podmínky výkonu trestu odnětí svobody</w:t>
      </w:r>
      <w:r w:rsidR="00A83AD9">
        <w:t xml:space="preserve"> ve </w:t>
      </w:r>
      <w:r w:rsidRPr="00F11B33">
        <w:t>Věznici Rapotice</w:t>
      </w:r>
      <w:r w:rsidR="00A83AD9">
        <w:t xml:space="preserve"> a </w:t>
      </w:r>
      <w:r w:rsidRPr="00F11B33">
        <w:t>dále podmínky</w:t>
      </w:r>
      <w:r w:rsidR="00A83AD9">
        <w:t xml:space="preserve"> v </w:t>
      </w:r>
      <w:r w:rsidRPr="00F11B33">
        <w:t>policejních celách</w:t>
      </w:r>
      <w:r w:rsidR="00A83AD9">
        <w:t xml:space="preserve"> v </w:t>
      </w:r>
      <w:r w:rsidRPr="00F11B33">
        <w:t>Litoměřicích</w:t>
      </w:r>
      <w:r w:rsidR="00A83AD9">
        <w:t xml:space="preserve"> a </w:t>
      </w:r>
      <w:r w:rsidRPr="00F11B33">
        <w:t>Mělníku</w:t>
      </w:r>
      <w:r>
        <w:t>.</w:t>
      </w:r>
      <w:r w:rsidR="00A83AD9">
        <w:t xml:space="preserve"> Z </w:t>
      </w:r>
      <w:r>
        <w:t>oblasti sociálních služeb se ochránce věnoval podmínkám</w:t>
      </w:r>
      <w:r w:rsidR="00A83AD9">
        <w:t xml:space="preserve"> v </w:t>
      </w:r>
      <w:r w:rsidRPr="00F11B33">
        <w:t>domově se zvláštním režimem Srdce</w:t>
      </w:r>
      <w:r w:rsidR="00A83AD9">
        <w:t xml:space="preserve"> v </w:t>
      </w:r>
      <w:r w:rsidRPr="00F11B33">
        <w:t>dlaních</w:t>
      </w:r>
      <w:r w:rsidR="00A83AD9">
        <w:t xml:space="preserve"> v </w:t>
      </w:r>
      <w:r w:rsidRPr="00F11B33">
        <w:t>Jiříkově.</w:t>
      </w:r>
    </w:p>
    <w:p w14:paraId="1F734AD1" w14:textId="77777777" w:rsidR="00EA030A" w:rsidRDefault="00EA030A" w:rsidP="008E594E">
      <w:pPr>
        <w:pStyle w:val="Nadpis3"/>
      </w:pPr>
      <w:bookmarkStart w:id="34" w:name="_Toc141694103"/>
      <w:bookmarkStart w:id="35" w:name="_Toc132805412"/>
      <w:bookmarkStart w:id="36" w:name="_Toc134608462"/>
      <w:r>
        <w:t>Zásadní pracovní jednání</w:t>
      </w:r>
      <w:bookmarkEnd w:id="34"/>
      <w:r>
        <w:t xml:space="preserve"> </w:t>
      </w:r>
    </w:p>
    <w:p w14:paraId="28169039" w14:textId="6656FF98" w:rsidR="008E594E" w:rsidRPr="00EA030A" w:rsidRDefault="008E594E" w:rsidP="00EA030A">
      <w:pPr>
        <w:pStyle w:val="Zkladntext"/>
        <w:rPr>
          <w:b/>
        </w:rPr>
      </w:pPr>
      <w:r w:rsidRPr="00EA030A">
        <w:rPr>
          <w:b/>
        </w:rPr>
        <w:t>Jednání</w:t>
      </w:r>
      <w:r w:rsidR="00A83AD9">
        <w:rPr>
          <w:b/>
        </w:rPr>
        <w:t xml:space="preserve"> s </w:t>
      </w:r>
      <w:r w:rsidRPr="00EA030A">
        <w:rPr>
          <w:b/>
        </w:rPr>
        <w:t>vedením Správy uprchlických zařízení</w:t>
      </w:r>
      <w:bookmarkEnd w:id="35"/>
      <w:bookmarkEnd w:id="36"/>
    </w:p>
    <w:p w14:paraId="57F21812" w14:textId="1A2DC3A8" w:rsidR="008E594E" w:rsidRDefault="008E594E" w:rsidP="008E594E">
      <w:pPr>
        <w:pStyle w:val="Zkladntext"/>
      </w:pPr>
      <w:r w:rsidRPr="008E594E">
        <w:t>Zástupce ochránce se 12. dubna setkal</w:t>
      </w:r>
      <w:r w:rsidR="00A83AD9">
        <w:t xml:space="preserve"> s </w:t>
      </w:r>
      <w:r w:rsidRPr="008E594E">
        <w:t>ředitelem</w:t>
      </w:r>
      <w:r w:rsidR="00A83AD9">
        <w:t xml:space="preserve"> a </w:t>
      </w:r>
      <w:r w:rsidRPr="008E594E">
        <w:t>dalšími zástupci Správy uprchlických zařízení Ministerstva vnitra. Předmětem jednání byla témata přístupu ochránce</w:t>
      </w:r>
      <w:r w:rsidR="00A83AD9">
        <w:t xml:space="preserve"> do </w:t>
      </w:r>
      <w:r w:rsidRPr="008E594E">
        <w:t>centrální evidence mimořádných událostí, dostupnost právního poradenství</w:t>
      </w:r>
      <w:r w:rsidR="00A83AD9">
        <w:t xml:space="preserve"> v </w:t>
      </w:r>
      <w:r w:rsidRPr="008E594E">
        <w:t>zařízeních</w:t>
      </w:r>
      <w:r w:rsidR="00A83AD9">
        <w:t xml:space="preserve"> pro </w:t>
      </w:r>
      <w:r w:rsidRPr="008E594E">
        <w:t>cizince, detekce nezletilých bez doprovodu</w:t>
      </w:r>
      <w:r w:rsidR="00A83AD9">
        <w:t xml:space="preserve"> v </w:t>
      </w:r>
      <w:r w:rsidRPr="008E594E">
        <w:t>KACPU</w:t>
      </w:r>
      <w:r w:rsidR="00A83AD9">
        <w:t xml:space="preserve"> a </w:t>
      </w:r>
      <w:r w:rsidRPr="008E594E">
        <w:t xml:space="preserve">ubytování nezletilých bez doprovodu </w:t>
      </w:r>
      <w:r w:rsidR="00D30D8B">
        <w:t xml:space="preserve">      </w:t>
      </w:r>
      <w:r w:rsidR="00A83AD9">
        <w:t xml:space="preserve"> v </w:t>
      </w:r>
      <w:r w:rsidRPr="008E594E">
        <w:t>azylových zařízeních.</w:t>
      </w:r>
    </w:p>
    <w:p w14:paraId="65873AC1" w14:textId="048C4D61" w:rsidR="008E594E" w:rsidRPr="00EA030A" w:rsidRDefault="00EA030A" w:rsidP="00EA030A">
      <w:pPr>
        <w:pStyle w:val="Zkladntext"/>
        <w:rPr>
          <w:b/>
        </w:rPr>
      </w:pPr>
      <w:r w:rsidRPr="00EA030A">
        <w:rPr>
          <w:b/>
        </w:rPr>
        <w:t>N</w:t>
      </w:r>
      <w:r w:rsidR="008E594E" w:rsidRPr="00EA030A">
        <w:rPr>
          <w:b/>
        </w:rPr>
        <w:t>ávštěva moldavského ombudsmana</w:t>
      </w:r>
      <w:r w:rsidR="00A83AD9">
        <w:rPr>
          <w:b/>
        </w:rPr>
        <w:t xml:space="preserve"> a </w:t>
      </w:r>
      <w:r w:rsidRPr="00EA030A">
        <w:rPr>
          <w:b/>
        </w:rPr>
        <w:t>členů Národního mechanismu prevence špatného zacházení.</w:t>
      </w:r>
    </w:p>
    <w:p w14:paraId="19B6BFA2" w14:textId="060D6715" w:rsidR="008E594E" w:rsidRDefault="008E594E" w:rsidP="00665D07">
      <w:pPr>
        <w:pStyle w:val="Zkladntext"/>
      </w:pPr>
      <w:r w:rsidRPr="008E594E">
        <w:t>Ochránce dne 14. června přivítal delegaci moldavského ombudsmana</w:t>
      </w:r>
      <w:r w:rsidR="00A83AD9">
        <w:t xml:space="preserve"> a </w:t>
      </w:r>
      <w:r w:rsidRPr="008E594E">
        <w:t>členů tamějšího Národního mechanismu prevence špatného zacházení. Ochránce delegaci představil svou působnost</w:t>
      </w:r>
      <w:r w:rsidR="00A83AD9">
        <w:t xml:space="preserve"> a </w:t>
      </w:r>
      <w:r w:rsidRPr="008E594E">
        <w:t>metodologii provádění návštěv zařízení. Významnou pozornost zaměřili moldavští kolegové</w:t>
      </w:r>
      <w:r w:rsidR="00A83AD9">
        <w:t xml:space="preserve"> na </w:t>
      </w:r>
      <w:r w:rsidRPr="008E594E">
        <w:t>provádění návštěv vězeňských zařízení. Studijní návštěva byla proto ukončena exkurzí</w:t>
      </w:r>
      <w:r w:rsidR="00A83AD9">
        <w:t xml:space="preserve"> ve </w:t>
      </w:r>
      <w:r w:rsidRPr="008E594E">
        <w:t>Vazební věznici</w:t>
      </w:r>
      <w:r w:rsidR="00A83AD9">
        <w:t xml:space="preserve"> a </w:t>
      </w:r>
      <w:r w:rsidRPr="008E594E">
        <w:t>ústavu</w:t>
      </w:r>
      <w:r w:rsidR="00A83AD9">
        <w:t xml:space="preserve"> pro </w:t>
      </w:r>
      <w:r w:rsidRPr="008E594E">
        <w:t>výkon zabezpečovací detence Brno</w:t>
      </w:r>
      <w:r w:rsidR="006E3FAE">
        <w:t>.</w:t>
      </w:r>
    </w:p>
    <w:p w14:paraId="2332F55F" w14:textId="0043DA8F" w:rsidR="00EA030A" w:rsidRPr="00EA030A" w:rsidRDefault="00EA030A" w:rsidP="00EA030A">
      <w:pPr>
        <w:pStyle w:val="Zkladntext"/>
        <w:rPr>
          <w:b/>
        </w:rPr>
      </w:pPr>
      <w:r w:rsidRPr="00EA030A">
        <w:rPr>
          <w:b/>
        </w:rPr>
        <w:t>Jednání</w:t>
      </w:r>
      <w:r w:rsidR="00A83AD9">
        <w:rPr>
          <w:b/>
        </w:rPr>
        <w:t xml:space="preserve"> s </w:t>
      </w:r>
      <w:r w:rsidRPr="00EA030A">
        <w:rPr>
          <w:b/>
        </w:rPr>
        <w:t>maďarským ochráncem</w:t>
      </w:r>
      <w:r w:rsidR="00A83AD9">
        <w:rPr>
          <w:b/>
        </w:rPr>
        <w:t xml:space="preserve"> a </w:t>
      </w:r>
      <w:r w:rsidRPr="00EA030A">
        <w:rPr>
          <w:b/>
        </w:rPr>
        <w:t>ředitelem Vězeňské služby</w:t>
      </w:r>
    </w:p>
    <w:p w14:paraId="3E126A10" w14:textId="3F5313F6" w:rsidR="00EA030A" w:rsidRPr="00EA030A" w:rsidRDefault="00EA030A" w:rsidP="00EA030A">
      <w:pPr>
        <w:pStyle w:val="Zkladntext"/>
      </w:pPr>
      <w:r>
        <w:t>Ochránce</w:t>
      </w:r>
      <w:r w:rsidRPr="00B43F67">
        <w:t xml:space="preserve"> se svým maďarským protějškem</w:t>
      </w:r>
      <w:r w:rsidR="00A83AD9">
        <w:t xml:space="preserve"> a </w:t>
      </w:r>
      <w:r w:rsidRPr="00B43F67">
        <w:t xml:space="preserve">představiteli vězeňských služeb obou států </w:t>
      </w:r>
      <w:r>
        <w:t xml:space="preserve">dne 28. června </w:t>
      </w:r>
      <w:r w:rsidRPr="00B43F67">
        <w:t>diskutovali, jak může vzájemná spolupráce ombudsmanských institucí</w:t>
      </w:r>
      <w:r w:rsidR="00A83AD9">
        <w:t xml:space="preserve"> s </w:t>
      </w:r>
      <w:r w:rsidRPr="00B43F67">
        <w:t>vězeňskou službou zlepšovat ochranu práv lidí omezených</w:t>
      </w:r>
      <w:r w:rsidR="00A83AD9">
        <w:t xml:space="preserve"> na </w:t>
      </w:r>
      <w:r w:rsidRPr="00B43F67">
        <w:t>osobní svobodě.</w:t>
      </w:r>
      <w:r w:rsidR="00A83AD9">
        <w:t xml:space="preserve"> V </w:t>
      </w:r>
      <w:r w:rsidRPr="00B43F67">
        <w:t xml:space="preserve">Česku například právníci </w:t>
      </w:r>
      <w:r w:rsidR="006E3FAE">
        <w:t xml:space="preserve">Kanceláře veřejného ochránce práv </w:t>
      </w:r>
      <w:r w:rsidRPr="00B43F67">
        <w:t>upravili text takzvaného vstupního poučení. To by měl dostat každý</w:t>
      </w:r>
      <w:r w:rsidR="00A83AD9">
        <w:t xml:space="preserve"> po </w:t>
      </w:r>
      <w:r w:rsidRPr="00B43F67">
        <w:t>přijetí</w:t>
      </w:r>
      <w:r w:rsidR="00A83AD9">
        <w:t xml:space="preserve"> do </w:t>
      </w:r>
      <w:r w:rsidRPr="00B43F67">
        <w:t>vězení. Poučení obsahuje základní informace</w:t>
      </w:r>
      <w:r w:rsidR="00A83AD9">
        <w:t xml:space="preserve"> o </w:t>
      </w:r>
      <w:r w:rsidRPr="00B43F67">
        <w:t>pobytu</w:t>
      </w:r>
      <w:r w:rsidR="00A83AD9">
        <w:t xml:space="preserve"> ve </w:t>
      </w:r>
      <w:r w:rsidRPr="00B43F67">
        <w:t>vězení</w:t>
      </w:r>
      <w:r w:rsidR="00A83AD9">
        <w:t xml:space="preserve"> a </w:t>
      </w:r>
      <w:r w:rsidRPr="00B43F67">
        <w:t>text by proto měl být jednoduchý</w:t>
      </w:r>
      <w:r w:rsidR="00A83AD9">
        <w:t xml:space="preserve"> a </w:t>
      </w:r>
      <w:r w:rsidRPr="00B43F67">
        <w:t xml:space="preserve">srozumitelný. </w:t>
      </w:r>
      <w:r>
        <w:t xml:space="preserve">Vězeňská služba ČR </w:t>
      </w:r>
      <w:r w:rsidRPr="00B43F67">
        <w:t>poučení</w:t>
      </w:r>
      <w:r w:rsidR="00A83AD9">
        <w:t xml:space="preserve"> v </w:t>
      </w:r>
      <w:r w:rsidRPr="00B43F67">
        <w:t>nové podobě otestuje</w:t>
      </w:r>
      <w:r w:rsidR="00A83AD9">
        <w:t xml:space="preserve"> ve </w:t>
      </w:r>
      <w:r w:rsidRPr="00B43F67">
        <w:t>vybraných oddílech vazebních věznic.</w:t>
      </w:r>
    </w:p>
    <w:p w14:paraId="0A6CD67E" w14:textId="57F3D0E1" w:rsidR="00EA030A" w:rsidRPr="00EA030A" w:rsidRDefault="00EA030A" w:rsidP="00EA030A">
      <w:pPr>
        <w:pStyle w:val="Zkladntext"/>
        <w:rPr>
          <w:b/>
        </w:rPr>
      </w:pPr>
      <w:r w:rsidRPr="00EA030A">
        <w:rPr>
          <w:b/>
        </w:rPr>
        <w:t>Jednání se zástupci Ministerstva práce</w:t>
      </w:r>
      <w:r w:rsidR="00A83AD9">
        <w:rPr>
          <w:b/>
        </w:rPr>
        <w:t xml:space="preserve"> a </w:t>
      </w:r>
      <w:r w:rsidRPr="00EA030A">
        <w:rPr>
          <w:b/>
        </w:rPr>
        <w:t>sociálních věcí</w:t>
      </w:r>
    </w:p>
    <w:p w14:paraId="1C760948" w14:textId="544057BB" w:rsidR="00EA030A" w:rsidRPr="00002615" w:rsidRDefault="00EA030A" w:rsidP="00EA030A">
      <w:pPr>
        <w:pStyle w:val="Zkladntext"/>
      </w:pPr>
      <w:r w:rsidRPr="00002615">
        <w:t>Zástupce ochránce přivítal dne 26. dubna představitele Ministerstva práce</w:t>
      </w:r>
      <w:r w:rsidR="00A83AD9">
        <w:t xml:space="preserve"> a </w:t>
      </w:r>
      <w:r w:rsidRPr="00002615">
        <w:t>sociálních věcí. Předmětem jednání byla především témata dlouhodobě hospitalizovaných pacientů</w:t>
      </w:r>
      <w:r w:rsidR="00A83AD9">
        <w:t xml:space="preserve"> v </w:t>
      </w:r>
      <w:r w:rsidRPr="00002615">
        <w:t>psychiatrických nemocnicích</w:t>
      </w:r>
      <w:r w:rsidR="00A83AD9">
        <w:t xml:space="preserve"> z </w:t>
      </w:r>
      <w:r w:rsidRPr="00002615">
        <w:t>důvodu nedostatku vhodných sociálních služeb, možnost využití pobytových sociálních služeb</w:t>
      </w:r>
      <w:r w:rsidR="00A83AD9">
        <w:t xml:space="preserve"> pro </w:t>
      </w:r>
      <w:r w:rsidRPr="00002615">
        <w:t>nezletilé děti – cizince bez doprovodu, potřebnost zavedení mechanismů</w:t>
      </w:r>
      <w:r w:rsidR="00A83AD9">
        <w:t xml:space="preserve"> pro </w:t>
      </w:r>
      <w:r w:rsidRPr="00002615">
        <w:t xml:space="preserve">zvýšení ochrany klientů sociálních služeb (stížnostní mechanismus, přestupek špatného zacházení). </w:t>
      </w:r>
    </w:p>
    <w:p w14:paraId="7D3B9FF0" w14:textId="573E26BA" w:rsidR="00EA030A" w:rsidRDefault="00DD2D7D" w:rsidP="00DD2D7D">
      <w:pPr>
        <w:pStyle w:val="Nadpis3"/>
      </w:pPr>
      <w:bookmarkStart w:id="37" w:name="_Toc141694104"/>
      <w:r>
        <w:t>Konference, kulaté stoly</w:t>
      </w:r>
      <w:r w:rsidR="00A83AD9">
        <w:t xml:space="preserve"> a </w:t>
      </w:r>
      <w:r>
        <w:t>školení</w:t>
      </w:r>
      <w:bookmarkEnd w:id="37"/>
    </w:p>
    <w:p w14:paraId="7C894F6F" w14:textId="2A09E8FD" w:rsidR="00EA030A" w:rsidRDefault="00EA030A" w:rsidP="00EA030A">
      <w:pPr>
        <w:pStyle w:val="Zkladntext"/>
      </w:pPr>
      <w:r w:rsidRPr="006C0E77">
        <w:t>Právničky odboru dohledu</w:t>
      </w:r>
      <w:r w:rsidR="00A83AD9">
        <w:t xml:space="preserve"> nad </w:t>
      </w:r>
      <w:r w:rsidR="006E3FAE">
        <w:t>omezování osobní svobody</w:t>
      </w:r>
      <w:r w:rsidRPr="006C0E77">
        <w:t xml:space="preserve"> </w:t>
      </w:r>
      <w:r>
        <w:t>pokračovaly 5. dubna</w:t>
      </w:r>
      <w:r w:rsidR="00A83AD9">
        <w:t xml:space="preserve"> v </w:t>
      </w:r>
      <w:r>
        <w:t xml:space="preserve">sérii </w:t>
      </w:r>
      <w:r w:rsidRPr="00EA030A">
        <w:rPr>
          <w:b/>
        </w:rPr>
        <w:t>školení policistů</w:t>
      </w:r>
      <w:r w:rsidR="00A83AD9">
        <w:t xml:space="preserve"> v </w:t>
      </w:r>
      <w:r w:rsidRPr="006C0E77">
        <w:t>rámci výuky</w:t>
      </w:r>
      <w:r w:rsidR="00A83AD9">
        <w:t xml:space="preserve"> na </w:t>
      </w:r>
      <w:r w:rsidRPr="006C0E77">
        <w:t>Policejní akademii Policie ČR. Tématem bylo zacházení</w:t>
      </w:r>
      <w:r w:rsidR="00A83AD9">
        <w:t xml:space="preserve"> s </w:t>
      </w:r>
      <w:r w:rsidRPr="006C0E77">
        <w:t>lidmi omezenými</w:t>
      </w:r>
      <w:r w:rsidR="00A83AD9">
        <w:t xml:space="preserve"> na </w:t>
      </w:r>
      <w:r w:rsidRPr="006C0E77">
        <w:t>osobní svobodě</w:t>
      </w:r>
      <w:r w:rsidR="00A83AD9">
        <w:t xml:space="preserve"> v </w:t>
      </w:r>
      <w:r w:rsidRPr="006C0E77">
        <w:t>policejních celách.</w:t>
      </w:r>
    </w:p>
    <w:p w14:paraId="3AB95A2C" w14:textId="35266AD5" w:rsidR="00EA030A" w:rsidRPr="00227556" w:rsidRDefault="00EA030A" w:rsidP="00EA030A">
      <w:pPr>
        <w:pStyle w:val="Zkladntext"/>
      </w:pPr>
      <w:r w:rsidRPr="00227556">
        <w:t>Dne 13. dubna se</w:t>
      </w:r>
      <w:r w:rsidR="00A83AD9">
        <w:t xml:space="preserve"> v </w:t>
      </w:r>
      <w:r w:rsidRPr="00227556">
        <w:t>Poslanecké sněmovně Parlamentu ČR konal</w:t>
      </w:r>
      <w:r w:rsidRPr="00EA030A">
        <w:rPr>
          <w:b/>
        </w:rPr>
        <w:t xml:space="preserve"> kulatý stůl</w:t>
      </w:r>
      <w:r w:rsidR="00A83AD9">
        <w:rPr>
          <w:b/>
        </w:rPr>
        <w:t xml:space="preserve"> s </w:t>
      </w:r>
      <w:r w:rsidRPr="00EA030A">
        <w:rPr>
          <w:b/>
        </w:rPr>
        <w:t>názvem „Dětské domovy – různé formy, stále důležitá role“</w:t>
      </w:r>
      <w:r w:rsidRPr="00227556">
        <w:t>. Hlavním cílem bylo společné setkání zástupců Úřadu vlády, resortů (MŠMT, MPSV, MZ), zainteresovaných institucí</w:t>
      </w:r>
      <w:r w:rsidR="00A83AD9">
        <w:t xml:space="preserve"> a </w:t>
      </w:r>
      <w:r w:rsidRPr="00227556">
        <w:t>odborníků (KVOP, FICE, zástupci OSPOD)</w:t>
      </w:r>
      <w:r w:rsidR="00A83AD9">
        <w:t xml:space="preserve"> a </w:t>
      </w:r>
      <w:r w:rsidRPr="00227556">
        <w:t>samotných dětských domovů</w:t>
      </w:r>
      <w:r w:rsidR="00A83AD9">
        <w:t xml:space="preserve"> u </w:t>
      </w:r>
      <w:r w:rsidRPr="00227556">
        <w:t xml:space="preserve">jednoho stolu. </w:t>
      </w:r>
      <w:r>
        <w:rPr>
          <w:bCs/>
        </w:rPr>
        <w:t>Právník odboru dohledu</w:t>
      </w:r>
      <w:r w:rsidR="00A83AD9">
        <w:rPr>
          <w:bCs/>
        </w:rPr>
        <w:t xml:space="preserve"> ve </w:t>
      </w:r>
      <w:r>
        <w:rPr>
          <w:bCs/>
        </w:rPr>
        <w:t>svém příspěvku</w:t>
      </w:r>
      <w:r w:rsidRPr="00227556">
        <w:rPr>
          <w:bCs/>
        </w:rPr>
        <w:t xml:space="preserve"> </w:t>
      </w:r>
      <w:r>
        <w:rPr>
          <w:bCs/>
        </w:rPr>
        <w:t>popsal</w:t>
      </w:r>
      <w:r w:rsidRPr="00227556">
        <w:rPr>
          <w:bCs/>
        </w:rPr>
        <w:t xml:space="preserve"> systémová zjištění</w:t>
      </w:r>
      <w:r w:rsidRPr="00227556">
        <w:t>, která vycházejí</w:t>
      </w:r>
      <w:r w:rsidR="00A83AD9">
        <w:t xml:space="preserve"> z </w:t>
      </w:r>
      <w:r>
        <w:t>poznatků ochránce</w:t>
      </w:r>
      <w:r w:rsidR="00A83AD9">
        <w:t xml:space="preserve"> ze </w:t>
      </w:r>
      <w:r>
        <w:t>systematických návštěv.</w:t>
      </w:r>
    </w:p>
    <w:p w14:paraId="73C525C5" w14:textId="4E339082" w:rsidR="00EA030A" w:rsidRPr="00211A17" w:rsidRDefault="006E3FAE" w:rsidP="00EA030A">
      <w:pPr>
        <w:pStyle w:val="Zkladntext"/>
      </w:pPr>
      <w:r>
        <w:t xml:space="preserve">Dne </w:t>
      </w:r>
      <w:r w:rsidR="00EA030A" w:rsidRPr="00211A17">
        <w:t xml:space="preserve">21. dubna právníci odboru dohledu zorganizovali </w:t>
      </w:r>
      <w:r w:rsidR="00EA030A" w:rsidRPr="00EA030A">
        <w:rPr>
          <w:b/>
        </w:rPr>
        <w:t>seminář</w:t>
      </w:r>
      <w:r w:rsidR="00A83AD9">
        <w:rPr>
          <w:b/>
        </w:rPr>
        <w:t xml:space="preserve"> pro </w:t>
      </w:r>
      <w:r w:rsidR="00EA030A" w:rsidRPr="00EA030A">
        <w:rPr>
          <w:b/>
        </w:rPr>
        <w:t>Orgány sociálně právní ochrany dětí Moravskoslezského kraje</w:t>
      </w:r>
      <w:r w:rsidR="00A83AD9">
        <w:rPr>
          <w:b/>
        </w:rPr>
        <w:t xml:space="preserve"> o </w:t>
      </w:r>
      <w:r w:rsidR="00EA030A" w:rsidRPr="00EA030A">
        <w:rPr>
          <w:b/>
        </w:rPr>
        <w:t>dětech</w:t>
      </w:r>
      <w:r w:rsidR="00A83AD9">
        <w:rPr>
          <w:b/>
        </w:rPr>
        <w:t xml:space="preserve"> v </w:t>
      </w:r>
      <w:r w:rsidR="00EA030A" w:rsidRPr="00EA030A">
        <w:rPr>
          <w:b/>
        </w:rPr>
        <w:t>zařízeních</w:t>
      </w:r>
      <w:r w:rsidR="00EA030A" w:rsidRPr="00211A17">
        <w:t>.</w:t>
      </w:r>
      <w:r w:rsidR="00A83AD9">
        <w:t xml:space="preserve"> Na </w:t>
      </w:r>
      <w:r w:rsidR="00EA030A" w:rsidRPr="00211A17">
        <w:t>semináři pracovníkům OSPOD prezentovali příklady dobré praxe</w:t>
      </w:r>
      <w:r w:rsidR="00A83AD9">
        <w:t xml:space="preserve"> v </w:t>
      </w:r>
      <w:r w:rsidR="00EA030A" w:rsidRPr="00211A17">
        <w:t>zařízeních ústavní</w:t>
      </w:r>
      <w:r w:rsidR="00A83AD9">
        <w:t xml:space="preserve"> a </w:t>
      </w:r>
      <w:r w:rsidR="00EA030A" w:rsidRPr="00211A17">
        <w:t>ochranné výchovy,</w:t>
      </w:r>
      <w:r w:rsidR="00A83AD9">
        <w:t xml:space="preserve"> na </w:t>
      </w:r>
      <w:r w:rsidR="00EA030A" w:rsidRPr="00211A17">
        <w:t>které ochránce narazil</w:t>
      </w:r>
      <w:r w:rsidR="00A83AD9">
        <w:t xml:space="preserve"> v </w:t>
      </w:r>
      <w:r w:rsidR="00EA030A" w:rsidRPr="00211A17">
        <w:t>posledních letech</w:t>
      </w:r>
      <w:r w:rsidR="00A83AD9">
        <w:t xml:space="preserve"> při </w:t>
      </w:r>
      <w:r w:rsidR="00EA030A" w:rsidRPr="00211A17">
        <w:t>systematických návštěvách. Zabývali jsme se tématy jako např. práce</w:t>
      </w:r>
      <w:r w:rsidR="00A83AD9">
        <w:t xml:space="preserve"> s </w:t>
      </w:r>
      <w:r w:rsidR="00EA030A" w:rsidRPr="00211A17">
        <w:t>rodinou, kontakt dítěte</w:t>
      </w:r>
      <w:r w:rsidR="00A83AD9">
        <w:t xml:space="preserve"> s </w:t>
      </w:r>
      <w:r w:rsidR="00EA030A" w:rsidRPr="00211A17">
        <w:t>vnějším světem, hodnocení, stížnostní mechanismy</w:t>
      </w:r>
      <w:r w:rsidR="00A83AD9">
        <w:t xml:space="preserve"> a </w:t>
      </w:r>
      <w:r w:rsidR="00EA030A" w:rsidRPr="00211A17">
        <w:t>další.</w:t>
      </w:r>
    </w:p>
    <w:p w14:paraId="6D46E3F6" w14:textId="09D9C36D" w:rsidR="00EA030A" w:rsidRPr="00211A17" w:rsidRDefault="00EA030A" w:rsidP="00EA030A">
      <w:pPr>
        <w:pStyle w:val="Zkladntext"/>
      </w:pPr>
      <w:r w:rsidRPr="00211A17">
        <w:t>Právní</w:t>
      </w:r>
      <w:r>
        <w:t>k</w:t>
      </w:r>
      <w:r w:rsidRPr="00211A17">
        <w:t xml:space="preserve"> odboru dohledu se 26. dubna zúčastnil </w:t>
      </w:r>
      <w:r w:rsidRPr="00EA030A">
        <w:rPr>
          <w:b/>
        </w:rPr>
        <w:t>celorepublikové porady ředitelů zařízení ústavní</w:t>
      </w:r>
      <w:r w:rsidR="00A83AD9">
        <w:rPr>
          <w:b/>
        </w:rPr>
        <w:t xml:space="preserve"> a </w:t>
      </w:r>
      <w:r w:rsidRPr="00EA030A">
        <w:rPr>
          <w:b/>
        </w:rPr>
        <w:t>ochranné výchovy</w:t>
      </w:r>
      <w:r w:rsidRPr="00211A17">
        <w:t xml:space="preserve">, kde zdůraznil postavení těchto zařízení jako posledních záchranářů dětí, které propadají systémem nebo se kterými si jiné služby nevědí rady. </w:t>
      </w:r>
      <w:r>
        <w:t>Ochránce považuje</w:t>
      </w:r>
      <w:r w:rsidR="00A83AD9">
        <w:t xml:space="preserve"> za </w:t>
      </w:r>
      <w:r>
        <w:t>důležité</w:t>
      </w:r>
      <w:r w:rsidRPr="00211A17">
        <w:t>, aby se zařízení soustředila</w:t>
      </w:r>
      <w:r w:rsidR="00A83AD9">
        <w:t xml:space="preserve"> na </w:t>
      </w:r>
      <w:r w:rsidRPr="00211A17">
        <w:t>profesionalizaci</w:t>
      </w:r>
      <w:r w:rsidR="00A83AD9">
        <w:t xml:space="preserve"> a </w:t>
      </w:r>
      <w:r w:rsidRPr="00211A17">
        <w:t>zvyšování odbornosti, protože budoucnost pobytových zařízení tkví právě</w:t>
      </w:r>
      <w:r w:rsidR="00A83AD9">
        <w:t xml:space="preserve"> v </w:t>
      </w:r>
      <w:r w:rsidRPr="00211A17">
        <w:t>péči</w:t>
      </w:r>
      <w:r w:rsidR="00A83AD9">
        <w:t xml:space="preserve"> o </w:t>
      </w:r>
      <w:r w:rsidRPr="00211A17">
        <w:t>děti</w:t>
      </w:r>
      <w:r w:rsidR="00A83AD9">
        <w:t xml:space="preserve"> s </w:t>
      </w:r>
      <w:r w:rsidRPr="00211A17">
        <w:t xml:space="preserve">nejsložitějšími problémy, se kterými si nikdo jiný ani žádné </w:t>
      </w:r>
      <w:r>
        <w:t>jiné služby nebudou vědět rady.</w:t>
      </w:r>
    </w:p>
    <w:p w14:paraId="53A435B3" w14:textId="6CA9DA25" w:rsidR="00EA030A" w:rsidRPr="001725C5" w:rsidRDefault="00EA030A" w:rsidP="00EA030A">
      <w:pPr>
        <w:pStyle w:val="Zkladntext"/>
      </w:pPr>
      <w:r w:rsidRPr="001725C5">
        <w:t>Dne 25. května vystoupil právník odboru dohledu</w:t>
      </w:r>
      <w:r w:rsidR="00A83AD9">
        <w:t xml:space="preserve"> na </w:t>
      </w:r>
      <w:r w:rsidRPr="00EA030A">
        <w:rPr>
          <w:b/>
        </w:rPr>
        <w:t>Rozpravách</w:t>
      </w:r>
      <w:r w:rsidR="00A83AD9">
        <w:rPr>
          <w:b/>
        </w:rPr>
        <w:t xml:space="preserve"> o </w:t>
      </w:r>
      <w:r w:rsidRPr="00EA030A">
        <w:rPr>
          <w:b/>
        </w:rPr>
        <w:t>ústavní</w:t>
      </w:r>
      <w:r w:rsidR="00A83AD9">
        <w:rPr>
          <w:b/>
        </w:rPr>
        <w:t xml:space="preserve"> a </w:t>
      </w:r>
      <w:r w:rsidRPr="00EA030A">
        <w:rPr>
          <w:b/>
        </w:rPr>
        <w:t>ochranné výchově</w:t>
      </w:r>
      <w:r w:rsidRPr="001725C5">
        <w:t>.</w:t>
      </w:r>
      <w:r w:rsidR="00A83AD9">
        <w:t xml:space="preserve"> V </w:t>
      </w:r>
      <w:r w:rsidRPr="001725C5">
        <w:t>příspěvku hovořil</w:t>
      </w:r>
      <w:r w:rsidR="00A83AD9">
        <w:t xml:space="preserve"> o </w:t>
      </w:r>
      <w:r w:rsidRPr="001725C5">
        <w:t xml:space="preserve">jedinečnosti pohledu </w:t>
      </w:r>
      <w:r>
        <w:t>ochránce</w:t>
      </w:r>
      <w:r w:rsidR="00A83AD9">
        <w:t xml:space="preserve"> na </w:t>
      </w:r>
      <w:r w:rsidRPr="001725C5">
        <w:t>celý systém ústavní</w:t>
      </w:r>
      <w:r w:rsidR="00A83AD9">
        <w:t xml:space="preserve"> a </w:t>
      </w:r>
      <w:r w:rsidRPr="001725C5">
        <w:t>ochranné výchovy</w:t>
      </w:r>
      <w:r w:rsidR="00A83AD9">
        <w:t xml:space="preserve"> a </w:t>
      </w:r>
      <w:r w:rsidRPr="001725C5">
        <w:t>identifikaci jeho slabých míst – např. nedostatku odborného metodického vedení zařízení</w:t>
      </w:r>
      <w:r w:rsidR="00A83AD9">
        <w:t xml:space="preserve"> a </w:t>
      </w:r>
      <w:r w:rsidRPr="001725C5">
        <w:t>chybějících informací personálu</w:t>
      </w:r>
      <w:r w:rsidR="00A83AD9">
        <w:t xml:space="preserve"> k </w:t>
      </w:r>
      <w:r w:rsidRPr="001725C5">
        <w:t>nastavování způsobů</w:t>
      </w:r>
      <w:r w:rsidR="00A83AD9">
        <w:t xml:space="preserve"> a </w:t>
      </w:r>
      <w:r w:rsidRPr="001725C5">
        <w:t>mantinelů práce</w:t>
      </w:r>
      <w:r w:rsidR="00A83AD9">
        <w:t xml:space="preserve"> s </w:t>
      </w:r>
      <w:r w:rsidRPr="001725C5">
        <w:t>dětmi.</w:t>
      </w:r>
    </w:p>
    <w:p w14:paraId="5DACEC11" w14:textId="4F66510D" w:rsidR="00EA030A" w:rsidRPr="006C0E77" w:rsidRDefault="00EA030A" w:rsidP="00EA030A">
      <w:pPr>
        <w:pStyle w:val="Zkladntext"/>
      </w:pPr>
      <w:r w:rsidRPr="001725C5">
        <w:t>Praktické výstupy</w:t>
      </w:r>
      <w:r w:rsidR="00A83AD9">
        <w:t xml:space="preserve"> z </w:t>
      </w:r>
      <w:r w:rsidRPr="001725C5">
        <w:t>kontrol vazebních věznic představil právník odboru dohledu</w:t>
      </w:r>
      <w:r w:rsidR="00A83AD9">
        <w:t xml:space="preserve"> na </w:t>
      </w:r>
      <w:r w:rsidR="006E3FAE">
        <w:rPr>
          <w:b/>
        </w:rPr>
        <w:t>10</w:t>
      </w:r>
      <w:r w:rsidRPr="00EA030A">
        <w:rPr>
          <w:b/>
        </w:rPr>
        <w:t>. kriminologických dnech</w:t>
      </w:r>
      <w:r w:rsidR="00A83AD9">
        <w:rPr>
          <w:b/>
        </w:rPr>
        <w:t xml:space="preserve"> v </w:t>
      </w:r>
      <w:r w:rsidRPr="00EA030A">
        <w:rPr>
          <w:b/>
        </w:rPr>
        <w:t>Praze</w:t>
      </w:r>
      <w:r>
        <w:t xml:space="preserve">. </w:t>
      </w:r>
      <w:r w:rsidRPr="009A0650">
        <w:t>Právo osoby omezené</w:t>
      </w:r>
      <w:r w:rsidR="00A83AD9">
        <w:t xml:space="preserve"> na </w:t>
      </w:r>
      <w:r w:rsidRPr="009A0650">
        <w:t>svobodě setkat se</w:t>
      </w:r>
      <w:r w:rsidR="00A83AD9">
        <w:t xml:space="preserve"> s </w:t>
      </w:r>
      <w:r w:rsidRPr="009A0650">
        <w:t>lékařem představuje jednu</w:t>
      </w:r>
      <w:r w:rsidR="00A83AD9">
        <w:t xml:space="preserve"> ze </w:t>
      </w:r>
      <w:r w:rsidRPr="009A0650">
        <w:t>základních pojistek proti špatnému zacházení. Co tato role zahrnuje</w:t>
      </w:r>
      <w:r w:rsidR="00A83AD9">
        <w:t xml:space="preserve"> a </w:t>
      </w:r>
      <w:r w:rsidRPr="009A0650">
        <w:t>kde jsou</w:t>
      </w:r>
      <w:r w:rsidR="00A83AD9">
        <w:t xml:space="preserve"> z </w:t>
      </w:r>
      <w:r w:rsidRPr="009A0650">
        <w:t xml:space="preserve">pohledu </w:t>
      </w:r>
      <w:r>
        <w:t xml:space="preserve">ochránce </w:t>
      </w:r>
      <w:r w:rsidRPr="009A0650">
        <w:t>slabá místa stávající praxe</w:t>
      </w:r>
      <w:r>
        <w:t>, před</w:t>
      </w:r>
      <w:r w:rsidRPr="009A0650">
        <w:t>stav</w:t>
      </w:r>
      <w:r>
        <w:t xml:space="preserve">il právník odboru dohledu </w:t>
      </w:r>
      <w:r w:rsidR="00A83AD9">
        <w:t xml:space="preserve"> na </w:t>
      </w:r>
      <w:r>
        <w:t xml:space="preserve">pražské </w:t>
      </w:r>
      <w:r w:rsidRPr="009A0650">
        <w:t>konferenci</w:t>
      </w:r>
      <w:r w:rsidR="00A83AD9">
        <w:t xml:space="preserve"> k </w:t>
      </w:r>
      <w:r w:rsidRPr="009A0650">
        <w:t>vězeňskému zdravotnictví</w:t>
      </w:r>
      <w:r>
        <w:t xml:space="preserve"> dne 18. června</w:t>
      </w:r>
      <w:r w:rsidRPr="009A0650">
        <w:t>.</w:t>
      </w:r>
    </w:p>
    <w:p w14:paraId="4DE9326C" w14:textId="1821F39F" w:rsidR="00EA030A" w:rsidRPr="00E738EC" w:rsidRDefault="00EA030A" w:rsidP="00EA030A">
      <w:pPr>
        <w:pStyle w:val="Zkladntext"/>
      </w:pPr>
      <w:r w:rsidRPr="00E738EC">
        <w:t xml:space="preserve">Ochránce připravil </w:t>
      </w:r>
      <w:r w:rsidRPr="00EA030A">
        <w:rPr>
          <w:b/>
        </w:rPr>
        <w:t>online školení</w:t>
      </w:r>
      <w:r w:rsidR="00A83AD9">
        <w:rPr>
          <w:b/>
        </w:rPr>
        <w:t xml:space="preserve"> pro </w:t>
      </w:r>
      <w:r w:rsidRPr="00EA030A">
        <w:rPr>
          <w:b/>
        </w:rPr>
        <w:t>pracovníky pobytových zařízení sociálních služeb</w:t>
      </w:r>
      <w:r w:rsidRPr="00E738EC">
        <w:t>, jež pečují</w:t>
      </w:r>
      <w:r w:rsidR="00A83AD9">
        <w:t xml:space="preserve"> o </w:t>
      </w:r>
      <w:r w:rsidRPr="00E738EC">
        <w:t>klienty</w:t>
      </w:r>
      <w:r w:rsidR="00A83AD9">
        <w:t xml:space="preserve"> s </w:t>
      </w:r>
      <w:r w:rsidRPr="00E738EC">
        <w:t>demencí.</w:t>
      </w:r>
      <w:r w:rsidR="00A83AD9">
        <w:t xml:space="preserve"> V </w:t>
      </w:r>
      <w:r w:rsidRPr="00E738EC">
        <w:t>rámci školení právničky odboru dohledu představily standardy</w:t>
      </w:r>
      <w:r w:rsidR="00A83AD9">
        <w:t xml:space="preserve"> a </w:t>
      </w:r>
      <w:r w:rsidRPr="00E738EC">
        <w:t>zjištění ochránce</w:t>
      </w:r>
      <w:r w:rsidR="00A83AD9">
        <w:t xml:space="preserve"> z </w:t>
      </w:r>
      <w:r w:rsidRPr="00E738EC">
        <w:t xml:space="preserve">aktuální série návštěv zařízení tohoto typu. První termín školení </w:t>
      </w:r>
      <w:r>
        <w:t xml:space="preserve">dne 27. června </w:t>
      </w:r>
      <w:r w:rsidRPr="00E738EC">
        <w:t>byl určen</w:t>
      </w:r>
      <w:r w:rsidR="00A83AD9">
        <w:t xml:space="preserve"> pro </w:t>
      </w:r>
      <w:r w:rsidRPr="00E738EC">
        <w:t>pracovníky</w:t>
      </w:r>
      <w:r w:rsidR="00A83AD9">
        <w:t xml:space="preserve"> ze </w:t>
      </w:r>
      <w:r w:rsidRPr="00E738EC">
        <w:t>Středočeského kraje, přičemž termíny</w:t>
      </w:r>
      <w:r w:rsidR="00A83AD9">
        <w:t xml:space="preserve"> pro </w:t>
      </w:r>
      <w:r w:rsidRPr="00E738EC">
        <w:t>další účastníky budou následovat.</w:t>
      </w:r>
    </w:p>
    <w:p w14:paraId="45DA2A3A" w14:textId="3AEC0478" w:rsidR="00DD2D7D" w:rsidRDefault="00EA030A" w:rsidP="00DD2D7D">
      <w:pPr>
        <w:pStyle w:val="Nadpis3"/>
      </w:pPr>
      <w:bookmarkStart w:id="38" w:name="_Toc141694105"/>
      <w:r>
        <w:t>Dobročinný běh</w:t>
      </w:r>
      <w:bookmarkEnd w:id="38"/>
      <w:r>
        <w:t xml:space="preserve"> </w:t>
      </w:r>
    </w:p>
    <w:p w14:paraId="653923B6" w14:textId="0AAB1D0E" w:rsidR="00EA030A" w:rsidRPr="00B43F67" w:rsidRDefault="00EA030A" w:rsidP="00EA030A">
      <w:pPr>
        <w:pStyle w:val="Zkladntext"/>
      </w:pPr>
      <w:r>
        <w:t>Právníci odboru dohledu se opět aktivně připojili</w:t>
      </w:r>
      <w:r w:rsidR="00A83AD9">
        <w:t xml:space="preserve"> k </w:t>
      </w:r>
      <w:r>
        <w:t>běhu</w:t>
      </w:r>
      <w:r w:rsidR="00A83AD9">
        <w:t xml:space="preserve"> na </w:t>
      </w:r>
      <w:r>
        <w:t>podporu lidí</w:t>
      </w:r>
      <w:r w:rsidR="00A83AD9">
        <w:t xml:space="preserve"> s </w:t>
      </w:r>
      <w:r>
        <w:t>trestní minulostí.</w:t>
      </w:r>
      <w:r w:rsidR="000B0074">
        <w:rPr>
          <w:rStyle w:val="Znakapoznpodarou"/>
        </w:rPr>
        <w:footnoteReference w:id="18"/>
      </w:r>
      <w:r>
        <w:t xml:space="preserve"> </w:t>
      </w:r>
      <w:r w:rsidRPr="00B43F67">
        <w:t>Tentokrát</w:t>
      </w:r>
      <w:r w:rsidR="00A83AD9">
        <w:t xml:space="preserve"> v </w:t>
      </w:r>
      <w:r w:rsidRPr="00B43F67">
        <w:t xml:space="preserve">rámci již 8. ročníku kampaně </w:t>
      </w:r>
      <w:r w:rsidRPr="00EA030A">
        <w:rPr>
          <w:b/>
        </w:rPr>
        <w:t>Yellow Ribbon Run</w:t>
      </w:r>
      <w:r w:rsidRPr="00B43F67">
        <w:t>, jejíž vizí je společnost, která dává lidem</w:t>
      </w:r>
      <w:r w:rsidR="00A83AD9">
        <w:t xml:space="preserve"> s </w:t>
      </w:r>
      <w:r w:rsidRPr="00B43F67">
        <w:t>trestní minulostí</w:t>
      </w:r>
      <w:r w:rsidR="00A83AD9">
        <w:t xml:space="preserve"> a </w:t>
      </w:r>
      <w:r w:rsidRPr="00B43F67">
        <w:t>jejich rodinám druhou šanci</w:t>
      </w:r>
      <w:r w:rsidR="00A83AD9">
        <w:t xml:space="preserve"> na </w:t>
      </w:r>
      <w:r w:rsidRPr="00B43F67">
        <w:t xml:space="preserve">slušný život. </w:t>
      </w:r>
      <w:r>
        <w:t>Kampaň</w:t>
      </w:r>
      <w:r w:rsidR="00A83AD9">
        <w:t xml:space="preserve"> i </w:t>
      </w:r>
      <w:r>
        <w:t>samotný běh byl</w:t>
      </w:r>
      <w:r w:rsidR="006E3FAE">
        <w:t xml:space="preserve">y </w:t>
      </w:r>
      <w:r w:rsidRPr="00B43F67">
        <w:t>letos zaměřen</w:t>
      </w:r>
      <w:r w:rsidR="006E3FAE">
        <w:t>y</w:t>
      </w:r>
      <w:r w:rsidR="00A83AD9">
        <w:t xml:space="preserve"> na </w:t>
      </w:r>
      <w:r w:rsidRPr="00B43F67">
        <w:t>podporu žen</w:t>
      </w:r>
      <w:r w:rsidR="00A83AD9">
        <w:t xml:space="preserve"> ve </w:t>
      </w:r>
      <w:r w:rsidRPr="00B43F67">
        <w:t>vězení</w:t>
      </w:r>
      <w:r w:rsidR="00A83AD9">
        <w:t xml:space="preserve"> a </w:t>
      </w:r>
      <w:r w:rsidRPr="00B43F67">
        <w:t>jejich návrat</w:t>
      </w:r>
      <w:r w:rsidR="00A83AD9">
        <w:t xml:space="preserve"> do </w:t>
      </w:r>
      <w:r w:rsidRPr="00B43F67">
        <w:t>společnosti.</w:t>
      </w:r>
    </w:p>
    <w:p w14:paraId="0B743FC5" w14:textId="77777777" w:rsidR="00EA030A" w:rsidRPr="00EA030A" w:rsidRDefault="00EA030A" w:rsidP="00EA030A">
      <w:pPr>
        <w:pStyle w:val="Zkladntext"/>
      </w:pPr>
    </w:p>
    <w:p w14:paraId="556C4A7C" w14:textId="07CD41B4" w:rsidR="008E594E" w:rsidRDefault="008E594E" w:rsidP="008E594E">
      <w:pPr>
        <w:pStyle w:val="Zkladntext"/>
      </w:pPr>
    </w:p>
    <w:p w14:paraId="685E5C12" w14:textId="77777777" w:rsidR="008E594E" w:rsidRPr="008E594E" w:rsidRDefault="008E594E" w:rsidP="008E594E">
      <w:pPr>
        <w:pStyle w:val="Zkladntext"/>
      </w:pPr>
    </w:p>
    <w:p w14:paraId="5D92BDD9" w14:textId="77777777" w:rsidR="000C502F" w:rsidRDefault="000C502F" w:rsidP="0039224B">
      <w:pPr>
        <w:pStyle w:val="Nadpis2"/>
      </w:pPr>
      <w:bookmarkStart w:id="39" w:name="_Toc141694106"/>
      <w:r>
        <w:t>Ochrana před diskriminací</w:t>
      </w:r>
      <w:bookmarkEnd w:id="39"/>
    </w:p>
    <w:p w14:paraId="618A124F" w14:textId="6696AC8E" w:rsidR="0001457E" w:rsidRDefault="0001457E" w:rsidP="0001457E">
      <w:pPr>
        <w:pStyle w:val="Zkladntext"/>
      </w:pPr>
      <w:r w:rsidRPr="0001457E">
        <w:t>V roce 20</w:t>
      </w:r>
      <w:r>
        <w:t>09 byl ochránce pověřen rolí ná</w:t>
      </w:r>
      <w:r w:rsidRPr="0001457E">
        <w:t xml:space="preserve">rodního </w:t>
      </w:r>
      <w:r w:rsidR="00CB2A8A">
        <w:t>orgánu</w:t>
      </w:r>
      <w:r w:rsidR="00A83AD9">
        <w:t xml:space="preserve"> pro </w:t>
      </w:r>
      <w:r w:rsidRPr="0001457E">
        <w:t>rovné zacházení</w:t>
      </w:r>
      <w:r w:rsidR="00A83AD9">
        <w:t xml:space="preserve"> a </w:t>
      </w:r>
      <w:r w:rsidRPr="0001457E">
        <w:t>ochrany</w:t>
      </w:r>
      <w:r>
        <w:t xml:space="preserve"> před diskriminací (</w:t>
      </w:r>
      <w:r w:rsidRPr="0001457E">
        <w:rPr>
          <w:rStyle w:val="Zdraznn"/>
        </w:rPr>
        <w:t>equality body</w:t>
      </w:r>
      <w:r w:rsidRPr="0001457E">
        <w:t>)</w:t>
      </w:r>
      <w:r w:rsidR="00A83AD9">
        <w:t xml:space="preserve"> v </w:t>
      </w:r>
      <w:r w:rsidRPr="0001457E">
        <w:t>souladu</w:t>
      </w:r>
      <w:r w:rsidR="00A83AD9">
        <w:t xml:space="preserve"> s </w:t>
      </w:r>
      <w:r w:rsidRPr="0001457E">
        <w:t>právem Evropské unie. Přispívá tedy</w:t>
      </w:r>
      <w:r w:rsidR="00A83AD9">
        <w:t xml:space="preserve"> k </w:t>
      </w:r>
      <w:r w:rsidRPr="0001457E">
        <w:t>prosazování práva</w:t>
      </w:r>
      <w:r w:rsidR="00A83AD9">
        <w:t xml:space="preserve"> na </w:t>
      </w:r>
      <w:r w:rsidRPr="0001457E">
        <w:t>rovné zacházení se všemi osobami bez ohledu</w:t>
      </w:r>
      <w:r w:rsidR="00A83AD9">
        <w:t xml:space="preserve"> na </w:t>
      </w:r>
      <w:r w:rsidRPr="0001457E">
        <w:t>jejich</w:t>
      </w:r>
      <w:r>
        <w:t xml:space="preserve"> rasu nebo etnický původ, národ</w:t>
      </w:r>
      <w:r w:rsidRPr="0001457E">
        <w:t>nost, pohlaví, sexuální orientaci, věk, zdravotní postižení, náboženské vyznání, víru nebo světový názor.</w:t>
      </w:r>
      <w:r w:rsidR="00A83AD9">
        <w:t xml:space="preserve"> Za </w:t>
      </w:r>
      <w:r w:rsidRPr="0001457E">
        <w:t>tím účelem poskytuje pomoc obětem diskriminace, provádí výzkum, zveřejňuje zprávy</w:t>
      </w:r>
      <w:r w:rsidR="00A83AD9">
        <w:t xml:space="preserve"> a </w:t>
      </w:r>
      <w:r w:rsidRPr="0001457E">
        <w:t>vydává</w:t>
      </w:r>
      <w:r>
        <w:t xml:space="preserve"> doporučení</w:t>
      </w:r>
      <w:r w:rsidR="00A83AD9">
        <w:t xml:space="preserve"> k </w:t>
      </w:r>
      <w:r>
        <w:t>otázkám souvisejí</w:t>
      </w:r>
      <w:r w:rsidRPr="0001457E">
        <w:t>cím</w:t>
      </w:r>
      <w:r w:rsidR="00A83AD9">
        <w:t xml:space="preserve"> s </w:t>
      </w:r>
      <w:r w:rsidRPr="0001457E">
        <w:t>dis</w:t>
      </w:r>
      <w:r>
        <w:t>kriminací</w:t>
      </w:r>
      <w:r w:rsidR="00A83AD9">
        <w:t xml:space="preserve"> a </w:t>
      </w:r>
      <w:r>
        <w:t>zajišťuje výměnu do</w:t>
      </w:r>
      <w:r w:rsidRPr="0001457E">
        <w:t>stupných informací</w:t>
      </w:r>
      <w:r w:rsidR="00A83AD9">
        <w:t xml:space="preserve"> s </w:t>
      </w:r>
      <w:r w:rsidRPr="0001457E">
        <w:t>příslušným</w:t>
      </w:r>
      <w:r>
        <w:t>i evrop</w:t>
      </w:r>
      <w:r w:rsidRPr="0001457E">
        <w:t>skými subjekty.</w:t>
      </w:r>
    </w:p>
    <w:p w14:paraId="08ED50CC" w14:textId="1D1D0758" w:rsidR="0001457E" w:rsidRDefault="0001457E" w:rsidP="0001457E">
      <w:pPr>
        <w:pStyle w:val="Zkladntext"/>
      </w:pPr>
      <w:r>
        <w:t xml:space="preserve">Od ledna 2018 ochránce </w:t>
      </w:r>
      <w:r w:rsidRPr="003F0CE9">
        <w:t>pomáhá také cizincům-občanům Evropské unie, kteří žijí nebo pracují</w:t>
      </w:r>
      <w:r w:rsidR="00A83AD9">
        <w:t xml:space="preserve"> v </w:t>
      </w:r>
      <w:r w:rsidRPr="003F0CE9">
        <w:t>České republice. Poskytuje jim informace</w:t>
      </w:r>
      <w:r w:rsidR="00A83AD9">
        <w:t xml:space="preserve"> o </w:t>
      </w:r>
      <w:r w:rsidRPr="003F0CE9">
        <w:t>jejich právech</w:t>
      </w:r>
      <w:r w:rsidR="00A83AD9">
        <w:t xml:space="preserve"> a </w:t>
      </w:r>
      <w:r w:rsidRPr="003F0CE9">
        <w:t>pomoc</w:t>
      </w:r>
      <w:r w:rsidR="00A83AD9">
        <w:t xml:space="preserve"> při </w:t>
      </w:r>
      <w:r w:rsidRPr="003F0CE9">
        <w:t>podezření</w:t>
      </w:r>
      <w:r w:rsidR="00A83AD9">
        <w:t xml:space="preserve"> na </w:t>
      </w:r>
      <w:r w:rsidRPr="003F0CE9">
        <w:t>diskriminaci</w:t>
      </w:r>
      <w:r w:rsidR="00A83AD9">
        <w:t xml:space="preserve"> z </w:t>
      </w:r>
      <w:r w:rsidRPr="003F0CE9">
        <w:t>důvodu státní příslušnosti.</w:t>
      </w:r>
      <w:r w:rsidR="00A83AD9">
        <w:t xml:space="preserve"> Při </w:t>
      </w:r>
      <w:r w:rsidRPr="003F0CE9">
        <w:t>tom spolupracuje se zahraničními orgány, které mají obdobné poslání vů</w:t>
      </w:r>
      <w:r>
        <w:t>či českým státním příslušníkům.</w:t>
      </w:r>
    </w:p>
    <w:p w14:paraId="13414B66" w14:textId="658B150A" w:rsidR="00027856" w:rsidRDefault="00053840" w:rsidP="00053840">
      <w:pPr>
        <w:pStyle w:val="Nadpis3"/>
      </w:pPr>
      <w:bookmarkStart w:id="40" w:name="_Toc141694107"/>
      <w:r w:rsidRPr="00053840">
        <w:t>Ukončení služebního poměru vojáků</w:t>
      </w:r>
      <w:r w:rsidR="00A83AD9">
        <w:t xml:space="preserve"> z </w:t>
      </w:r>
      <w:r w:rsidRPr="00053840">
        <w:t>povolání kvůli odmítnutí povinného očkování (sp. zn. 14497/2022/VOP, 14500/2022/VOP, 14543/2022/VOP)</w:t>
      </w:r>
      <w:r w:rsidR="0054759E">
        <w:rPr>
          <w:rStyle w:val="Znakapoznpodarou"/>
        </w:rPr>
        <w:footnoteReference w:id="19"/>
      </w:r>
      <w:bookmarkEnd w:id="40"/>
      <w:r w:rsidR="00F44740">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7927"/>
      </w:tblGrid>
      <w:tr w:rsidR="0092166C" w14:paraId="13687BF5" w14:textId="77777777" w:rsidTr="0092166C">
        <w:tc>
          <w:tcPr>
            <w:tcW w:w="567" w:type="dxa"/>
          </w:tcPr>
          <w:p w14:paraId="4AF63EC1" w14:textId="77777777" w:rsidR="0092166C" w:rsidRDefault="0092166C" w:rsidP="00FE444B">
            <w:pPr>
              <w:pStyle w:val="Zkladntext"/>
              <w:jc w:val="center"/>
            </w:pPr>
            <w:r>
              <w:rPr>
                <w:noProof/>
              </w:rPr>
              <w:drawing>
                <wp:inline distT="0" distB="0" distL="0" distR="0" wp14:anchorId="680458AB" wp14:editId="09CA8119">
                  <wp:extent cx="283210" cy="283210"/>
                  <wp:effectExtent l="0" t="0" r="0" b="2540"/>
                  <wp:docPr id="2" name="Grafický objekt 89" descr="Žáro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ightbul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5"/>
                              </a:ext>
                            </a:extLst>
                          </a:blip>
                          <a:stretch>
                            <a:fillRect/>
                          </a:stretch>
                        </pic:blipFill>
                        <pic:spPr>
                          <a:xfrm>
                            <a:off x="0" y="0"/>
                            <a:ext cx="283210" cy="283210"/>
                          </a:xfrm>
                          <a:prstGeom prst="rect">
                            <a:avLst/>
                          </a:prstGeom>
                        </pic:spPr>
                      </pic:pic>
                    </a:graphicData>
                  </a:graphic>
                </wp:inline>
              </w:drawing>
            </w:r>
          </w:p>
        </w:tc>
        <w:tc>
          <w:tcPr>
            <w:tcW w:w="7927" w:type="dxa"/>
          </w:tcPr>
          <w:p w14:paraId="63D23C84" w14:textId="3A013402" w:rsidR="0092166C" w:rsidRDefault="0011578C" w:rsidP="0011578C">
            <w:pPr>
              <w:pStyle w:val="Zkladntext"/>
            </w:pPr>
            <w:r w:rsidRPr="0011578C">
              <w:t>Vojákům je možné stanovit určité očkování jako povinné.</w:t>
            </w:r>
            <w:r w:rsidR="00A83AD9">
              <w:t xml:space="preserve"> Při </w:t>
            </w:r>
            <w:r w:rsidRPr="0011578C">
              <w:t>stanovení této povinnosti je nutné postupovat</w:t>
            </w:r>
            <w:r w:rsidR="00A83AD9">
              <w:t xml:space="preserve"> v </w:t>
            </w:r>
            <w:r w:rsidRPr="0011578C">
              <w:t>souladu se zákonem</w:t>
            </w:r>
            <w:r w:rsidR="00A83AD9">
              <w:t xml:space="preserve"> o </w:t>
            </w:r>
            <w:r w:rsidRPr="0011578C">
              <w:t>ochraně veřejného zdraví</w:t>
            </w:r>
            <w:r w:rsidR="00A83AD9">
              <w:t xml:space="preserve"> a </w:t>
            </w:r>
            <w:r w:rsidRPr="0011578C">
              <w:t>se zákonem</w:t>
            </w:r>
            <w:r w:rsidR="00A83AD9">
              <w:t xml:space="preserve"> o </w:t>
            </w:r>
            <w:r w:rsidRPr="0011578C">
              <w:t>vojácích</w:t>
            </w:r>
            <w:r w:rsidR="00A83AD9">
              <w:t xml:space="preserve"> z </w:t>
            </w:r>
            <w:r w:rsidRPr="0011578C">
              <w:t>povolání,</w:t>
            </w:r>
            <w:r w:rsidR="00A83AD9">
              <w:t xml:space="preserve"> a </w:t>
            </w:r>
            <w:r w:rsidRPr="0011578C">
              <w:t>dodržet limity stanovené ústavním pořádkem</w:t>
            </w:r>
            <w:r w:rsidR="00A83AD9">
              <w:t xml:space="preserve"> a </w:t>
            </w:r>
            <w:r w:rsidRPr="0011578C">
              <w:t>vymezené judikaturou.</w:t>
            </w:r>
          </w:p>
        </w:tc>
      </w:tr>
    </w:tbl>
    <w:p w14:paraId="2A681DFA" w14:textId="5AAD9896" w:rsidR="00215271" w:rsidRDefault="00215271" w:rsidP="00215271">
      <w:pPr>
        <w:pStyle w:val="Zkladntext"/>
      </w:pPr>
    </w:p>
    <w:p w14:paraId="63906340" w14:textId="5AD11D44" w:rsidR="0011578C" w:rsidRPr="00CF53CC" w:rsidRDefault="0011578C" w:rsidP="0011578C">
      <w:pPr>
        <w:pStyle w:val="Zkladntext"/>
      </w:pPr>
      <w:r w:rsidRPr="00CF53CC">
        <w:t>Stěžovatelé, vojáci</w:t>
      </w:r>
      <w:r w:rsidR="00A83AD9">
        <w:t xml:space="preserve"> z </w:t>
      </w:r>
      <w:r w:rsidRPr="00CF53CC">
        <w:t xml:space="preserve">povolání, čelili </w:t>
      </w:r>
      <w:r>
        <w:t>hrozbě skončení jejich služebního poměru, pokud by se nenechali naočkovat proti nemocem,</w:t>
      </w:r>
      <w:r w:rsidR="00A83AD9">
        <w:t xml:space="preserve"> u </w:t>
      </w:r>
      <w:r>
        <w:t>kterých stanovilo povinné očkování Ministerstvo obrany.</w:t>
      </w:r>
      <w:r w:rsidR="00A83AD9">
        <w:t xml:space="preserve"> Po </w:t>
      </w:r>
      <w:r>
        <w:t>odmítnutí očkování  nebyl dvěma vojákům vydaný posudek</w:t>
      </w:r>
      <w:r w:rsidR="00A83AD9">
        <w:t xml:space="preserve"> o </w:t>
      </w:r>
      <w:r>
        <w:t>zdravotní způsobilosti</w:t>
      </w:r>
      <w:r w:rsidR="00A83AD9">
        <w:t xml:space="preserve"> k </w:t>
      </w:r>
      <w:r>
        <w:t>výkonu služby. Třetí voják byl</w:t>
      </w:r>
      <w:r w:rsidR="00A83AD9">
        <w:t xml:space="preserve"> po </w:t>
      </w:r>
      <w:r>
        <w:t>odmítnutí očkování propuštěn.</w:t>
      </w:r>
    </w:p>
    <w:p w14:paraId="353C73C7" w14:textId="187BB3C2" w:rsidR="0011578C" w:rsidRDefault="0011578C" w:rsidP="0011578C">
      <w:pPr>
        <w:pStyle w:val="Zkladntext"/>
      </w:pPr>
      <w:r>
        <w:t>Povinným očkováním</w:t>
      </w:r>
      <w:r w:rsidR="00A83AD9">
        <w:t xml:space="preserve"> v </w:t>
      </w:r>
      <w:r>
        <w:t xml:space="preserve">Armádě ČR se </w:t>
      </w:r>
      <w:r w:rsidR="00B31701">
        <w:t>ochránce již zabýval</w:t>
      </w:r>
      <w:r w:rsidR="00E60571">
        <w:t>.</w:t>
      </w:r>
      <w:r>
        <w:rPr>
          <w:rStyle w:val="Znakapoznpodarou"/>
        </w:rPr>
        <w:footnoteReference w:id="20"/>
      </w:r>
      <w:r w:rsidR="00A83AD9">
        <w:t xml:space="preserve"> Na </w:t>
      </w:r>
      <w:r w:rsidR="00B31701">
        <w:t>ochránce se o</w:t>
      </w:r>
      <w:r w:rsidRPr="00D91F5B">
        <w:t>brátil</w:t>
      </w:r>
      <w:r>
        <w:t xml:space="preserve"> </w:t>
      </w:r>
      <w:r w:rsidRPr="00D91F5B">
        <w:t>voják, který se nemohl nechat očkovat kvůli kontraindikaci.</w:t>
      </w:r>
      <w:r w:rsidR="00A83AD9">
        <w:t xml:space="preserve"> V </w:t>
      </w:r>
      <w:r w:rsidRPr="00D91F5B">
        <w:t xml:space="preserve">postupu ministerstva </w:t>
      </w:r>
      <w:r w:rsidR="00B31701">
        <w:t xml:space="preserve">ochránce </w:t>
      </w:r>
      <w:r w:rsidRPr="00D91F5B">
        <w:t>shledal pochybení</w:t>
      </w:r>
      <w:r>
        <w:t>. Především</w:t>
      </w:r>
      <w:r w:rsidR="00A83AD9">
        <w:t xml:space="preserve"> v </w:t>
      </w:r>
      <w:r>
        <w:t>zákoně chybělo zmocnění, které by vůbec umožnilo ukládat povinnost nechat se naočkovat. Také chybělo odůvodnění této povinnosti</w:t>
      </w:r>
      <w:r w:rsidR="00A83AD9">
        <w:t xml:space="preserve"> a </w:t>
      </w:r>
      <w:r>
        <w:t>nebyla stanovena výjimka</w:t>
      </w:r>
      <w:r w:rsidR="00A83AD9">
        <w:t xml:space="preserve"> pro </w:t>
      </w:r>
      <w:r>
        <w:t>vojáky</w:t>
      </w:r>
      <w:r w:rsidR="00A83AD9">
        <w:t xml:space="preserve"> s </w:t>
      </w:r>
      <w:r>
        <w:t>kontraindikací. V</w:t>
      </w:r>
      <w:r w:rsidRPr="00D91F5B">
        <w:t>oják následně uspěl</w:t>
      </w:r>
      <w:r w:rsidR="00A83AD9">
        <w:t xml:space="preserve"> u </w:t>
      </w:r>
      <w:r w:rsidRPr="00D91F5B">
        <w:t>soudu</w:t>
      </w:r>
      <w:r w:rsidR="00A83AD9">
        <w:t xml:space="preserve"> a </w:t>
      </w:r>
      <w:r w:rsidRPr="00D91F5B">
        <w:t>ministerstvo se zavázalo přijmout kroky</w:t>
      </w:r>
      <w:r w:rsidR="00A83AD9">
        <w:t xml:space="preserve"> ke </w:t>
      </w:r>
      <w:r w:rsidRPr="00D91F5B">
        <w:t>změně nastavení povinného očkování.</w:t>
      </w:r>
      <w:r>
        <w:t xml:space="preserve"> </w:t>
      </w:r>
    </w:p>
    <w:p w14:paraId="6B3277DA" w14:textId="5F8CA481" w:rsidR="0011578C" w:rsidRDefault="0011578C" w:rsidP="0011578C">
      <w:pPr>
        <w:pStyle w:val="Zkladntext"/>
      </w:pPr>
      <w:r>
        <w:t xml:space="preserve">Případy </w:t>
      </w:r>
      <w:r w:rsidR="00B31701">
        <w:t xml:space="preserve">dalších </w:t>
      </w:r>
      <w:r>
        <w:t xml:space="preserve">stěžovatelů byly obdobné, proto </w:t>
      </w:r>
      <w:r w:rsidR="00B31701">
        <w:t xml:space="preserve">ochránce </w:t>
      </w:r>
      <w:r>
        <w:t>zopakoval své výhrady</w:t>
      </w:r>
      <w:r w:rsidR="00A83AD9">
        <w:t xml:space="preserve"> a </w:t>
      </w:r>
      <w:r>
        <w:t xml:space="preserve">zeptal se ministerstva, zda již sjednalo nápravu. Dále </w:t>
      </w:r>
      <w:r w:rsidR="00B31701">
        <w:t>s</w:t>
      </w:r>
      <w:r>
        <w:t xml:space="preserve">e </w:t>
      </w:r>
      <w:r w:rsidR="00B31701">
        <w:t xml:space="preserve">ochránce </w:t>
      </w:r>
      <w:r>
        <w:t>zabýval postupem, kdy neočkovaným vojákům lékaři</w:t>
      </w:r>
      <w:r w:rsidR="00A83AD9">
        <w:t xml:space="preserve"> v </w:t>
      </w:r>
      <w:r>
        <w:t>rámci pracovnělékařských prohlídek odmítali vydat posudek</w:t>
      </w:r>
      <w:r w:rsidR="00A83AD9">
        <w:t xml:space="preserve"> o </w:t>
      </w:r>
      <w:r>
        <w:t>zdravotní způsobilosti</w:t>
      </w:r>
      <w:r w:rsidR="00A83AD9">
        <w:t xml:space="preserve"> k </w:t>
      </w:r>
      <w:r>
        <w:t>výkonu služby. Nevydání posudku přitom vede</w:t>
      </w:r>
      <w:r w:rsidR="00A83AD9">
        <w:t xml:space="preserve"> k </w:t>
      </w:r>
      <w:r>
        <w:t>ukončení služebního poměru. Zákon</w:t>
      </w:r>
      <w:r w:rsidR="00A83AD9">
        <w:t xml:space="preserve"> o </w:t>
      </w:r>
      <w:r>
        <w:t>specifických zdravotních službách sice připouští, že lékaři mohou odmítnout vydat posudek, pokud se voják odmítne podrobit vyšetření nutnému</w:t>
      </w:r>
      <w:r w:rsidR="00A83AD9">
        <w:t xml:space="preserve"> k </w:t>
      </w:r>
      <w:r>
        <w:t>zjištění jeho zdravotního stavu, nemohou ale nevydat posudek jako „sankci“</w:t>
      </w:r>
      <w:r w:rsidR="00A83AD9">
        <w:t xml:space="preserve"> za </w:t>
      </w:r>
      <w:r>
        <w:t xml:space="preserve">odmítnutí očkování. </w:t>
      </w:r>
    </w:p>
    <w:p w14:paraId="0A2CC8E1" w14:textId="76A57D19" w:rsidR="0011578C" w:rsidRDefault="0011578C" w:rsidP="0011578C">
      <w:pPr>
        <w:pStyle w:val="Zkladntext"/>
      </w:pPr>
      <w:r>
        <w:t>Ministerstvo správní rozhodnutí, jímž byla některá očkování stanovena jako povinná, již zrušilo.</w:t>
      </w:r>
      <w:r w:rsidR="00A83AD9">
        <w:t xml:space="preserve"> Do </w:t>
      </w:r>
      <w:r>
        <w:t>budoucna by požadavek</w:t>
      </w:r>
      <w:r w:rsidR="00A83AD9">
        <w:t xml:space="preserve"> na </w:t>
      </w:r>
      <w:r>
        <w:t>očkování měl být vyhodnocován individuálně</w:t>
      </w:r>
      <w:r w:rsidR="00A83AD9">
        <w:t xml:space="preserve"> s </w:t>
      </w:r>
      <w:r>
        <w:t>ohledem</w:t>
      </w:r>
      <w:r w:rsidR="00A83AD9">
        <w:t xml:space="preserve"> na </w:t>
      </w:r>
      <w:r>
        <w:t>konkrétní služební nasazení vojáka. Ministerstvo také zrušilo pokyn, dle kterého neočkovaným vojákům neměl být vydáván lékařský posudek</w:t>
      </w:r>
      <w:r w:rsidR="00A83AD9">
        <w:t xml:space="preserve"> o </w:t>
      </w:r>
      <w:r>
        <w:t>zdravotní způsobilosti. Stěžovatelům byly vydány posudky</w:t>
      </w:r>
      <w:r w:rsidR="00A83AD9">
        <w:t xml:space="preserve"> o </w:t>
      </w:r>
      <w:r>
        <w:t>zdravotní způsobilosti</w:t>
      </w:r>
      <w:r w:rsidR="00A83AD9">
        <w:t xml:space="preserve"> a </w:t>
      </w:r>
      <w:r>
        <w:t>rozhodnutí</w:t>
      </w:r>
      <w:r w:rsidR="00A83AD9">
        <w:t xml:space="preserve"> o </w:t>
      </w:r>
      <w:r>
        <w:t>skončení služebního poměru propuštěného vojáka bylo zrušeno</w:t>
      </w:r>
      <w:r w:rsidR="00A83AD9">
        <w:t xml:space="preserve"> v </w:t>
      </w:r>
      <w:r>
        <w:t>přezkumu. Náprava se týkala nejen stěžovatelů, ale všech vojáků</w:t>
      </w:r>
      <w:r w:rsidR="00A83AD9">
        <w:t xml:space="preserve"> v </w:t>
      </w:r>
      <w:r>
        <w:t>obdobné situaci.</w:t>
      </w:r>
    </w:p>
    <w:p w14:paraId="3EA62EE3" w14:textId="004FE8AB" w:rsidR="002547A9" w:rsidRDefault="002547A9" w:rsidP="0039224B">
      <w:pPr>
        <w:pStyle w:val="Nadpis3"/>
      </w:pPr>
      <w:bookmarkStart w:id="41" w:name="_Toc141694108"/>
      <w:r>
        <w:t>Osvě</w:t>
      </w:r>
      <w:r w:rsidR="003D615C">
        <w:t>ta</w:t>
      </w:r>
      <w:bookmarkEnd w:id="41"/>
    </w:p>
    <w:p w14:paraId="149D941B" w14:textId="5A4E4BAE" w:rsidR="004B75DD" w:rsidRPr="004B75DD" w:rsidRDefault="00A466AB" w:rsidP="004B75DD">
      <w:pPr>
        <w:pStyle w:val="Zkladntext"/>
      </w:pPr>
      <w:r>
        <w:t>Ochránce z</w:t>
      </w:r>
      <w:r w:rsidR="004B75DD" w:rsidRPr="004B75DD">
        <w:t>veřejnil dalších pět částí (modulů) e-learningového kurzu</w:t>
      </w:r>
      <w:r w:rsidR="00A83AD9">
        <w:t xml:space="preserve"> o </w:t>
      </w:r>
      <w:r w:rsidR="004B75DD" w:rsidRPr="004B75DD">
        <w:t>antidiskriminačním právu.</w:t>
      </w:r>
      <w:r w:rsidR="002A5371">
        <w:rPr>
          <w:rStyle w:val="Znakapoznpodarou"/>
        </w:rPr>
        <w:footnoteReference w:id="21"/>
      </w:r>
      <w:r w:rsidR="004B75DD" w:rsidRPr="004B75DD">
        <w:t xml:space="preserve"> </w:t>
      </w:r>
      <w:r>
        <w:t>Moduly jsou zaměřeny</w:t>
      </w:r>
      <w:r w:rsidR="00A83AD9">
        <w:t xml:space="preserve"> na </w:t>
      </w:r>
      <w:r w:rsidR="004B75DD" w:rsidRPr="004B75DD">
        <w:t>jednotlivé oblasti života,</w:t>
      </w:r>
      <w:r w:rsidR="00A83AD9">
        <w:t xml:space="preserve"> ve </w:t>
      </w:r>
      <w:r w:rsidR="004B75DD" w:rsidRPr="004B75DD">
        <w:t>kterých se</w:t>
      </w:r>
      <w:r w:rsidR="00A83AD9">
        <w:t xml:space="preserve"> s </w:t>
      </w:r>
      <w:r w:rsidR="004B75DD" w:rsidRPr="004B75DD">
        <w:t xml:space="preserve">diskriminací </w:t>
      </w:r>
      <w:r>
        <w:t xml:space="preserve">lidé </w:t>
      </w:r>
      <w:r w:rsidR="004B75DD" w:rsidRPr="004B75DD">
        <w:t>m</w:t>
      </w:r>
      <w:r>
        <w:t xml:space="preserve">ohou setkat </w:t>
      </w:r>
      <w:r w:rsidR="004B75DD" w:rsidRPr="004B75DD">
        <w:t>nejčastěji. Jde</w:t>
      </w:r>
      <w:r w:rsidR="00A83AD9">
        <w:t xml:space="preserve"> o </w:t>
      </w:r>
      <w:r w:rsidR="004B75DD" w:rsidRPr="004B75DD">
        <w:t>diskriminaci</w:t>
      </w:r>
      <w:r w:rsidR="00A83AD9">
        <w:t xml:space="preserve"> v </w:t>
      </w:r>
      <w:r w:rsidR="004B75DD" w:rsidRPr="004B75DD">
        <w:t>pracovním prostředí,</w:t>
      </w:r>
      <w:r w:rsidR="00A83AD9">
        <w:t xml:space="preserve"> v </w:t>
      </w:r>
      <w:r w:rsidR="004B75DD" w:rsidRPr="004B75DD">
        <w:t>bydlení,</w:t>
      </w:r>
      <w:r w:rsidR="00A83AD9">
        <w:t xml:space="preserve"> v </w:t>
      </w:r>
      <w:r w:rsidR="004B75DD" w:rsidRPr="004B75DD">
        <w:t>přístupu</w:t>
      </w:r>
      <w:r w:rsidR="00A83AD9">
        <w:t xml:space="preserve"> ke </w:t>
      </w:r>
      <w:r w:rsidR="004B75DD" w:rsidRPr="004B75DD">
        <w:t>zboží</w:t>
      </w:r>
      <w:r w:rsidR="00A83AD9">
        <w:t xml:space="preserve"> a </w:t>
      </w:r>
      <w:r w:rsidR="004B75DD" w:rsidRPr="004B75DD">
        <w:t>službám</w:t>
      </w:r>
      <w:r w:rsidR="00A83AD9">
        <w:t xml:space="preserve"> a ve </w:t>
      </w:r>
      <w:r w:rsidR="004B75DD" w:rsidRPr="004B75DD">
        <w:t>vzdělávání.</w:t>
      </w:r>
      <w:r w:rsidR="00A83AD9">
        <w:t xml:space="preserve"> V </w:t>
      </w:r>
      <w:r w:rsidR="004B75DD" w:rsidRPr="004B75DD">
        <w:t>jednom</w:t>
      </w:r>
      <w:r w:rsidR="00A83AD9">
        <w:t xml:space="preserve"> z </w:t>
      </w:r>
      <w:r w:rsidR="004B75DD" w:rsidRPr="004B75DD">
        <w:t>modulů se dozvíte, jak se nerovnému zacházení bránit. Diskriminaci</w:t>
      </w:r>
      <w:r w:rsidR="00A83AD9">
        <w:t xml:space="preserve"> v </w:t>
      </w:r>
      <w:r w:rsidR="004B75DD" w:rsidRPr="004B75DD">
        <w:t>oblastech, kterým se kurz věnuje, zakazuje antidiskriminační zákon. Oběť diskriminace se může obrátit</w:t>
      </w:r>
      <w:r w:rsidR="00A83AD9">
        <w:t xml:space="preserve"> na </w:t>
      </w:r>
      <w:r w:rsidR="004B75DD" w:rsidRPr="004B75DD">
        <w:t>o</w:t>
      </w:r>
      <w:r w:rsidR="002A5371">
        <w:t>chránce</w:t>
      </w:r>
      <w:r w:rsidR="004B75DD" w:rsidRPr="004B75DD">
        <w:t>.</w:t>
      </w:r>
      <w:r w:rsidR="002A5371">
        <w:t xml:space="preserve"> </w:t>
      </w:r>
    </w:p>
    <w:p w14:paraId="2A2956E9" w14:textId="7E297ED7" w:rsidR="00B578C5" w:rsidRDefault="00B578C5" w:rsidP="00F75141">
      <w:pPr>
        <w:pStyle w:val="Nadpis3"/>
      </w:pPr>
      <w:bookmarkStart w:id="42" w:name="_Toc141694109"/>
      <w:r>
        <w:t>Výzkumy</w:t>
      </w:r>
      <w:r w:rsidR="00A83AD9">
        <w:t xml:space="preserve"> a </w:t>
      </w:r>
      <w:r>
        <w:t>doporučení</w:t>
      </w:r>
      <w:bookmarkEnd w:id="42"/>
      <w:r>
        <w:t xml:space="preserve"> </w:t>
      </w:r>
    </w:p>
    <w:p w14:paraId="6AF5AC19" w14:textId="15379DB6" w:rsidR="002A5371" w:rsidRPr="002A5371" w:rsidRDefault="002A5371" w:rsidP="002A5371">
      <w:pPr>
        <w:pStyle w:val="Zkladntext"/>
        <w:rPr>
          <w:b/>
        </w:rPr>
      </w:pPr>
      <w:r w:rsidRPr="002A5371">
        <w:rPr>
          <w:b/>
        </w:rPr>
        <w:t>Druhá monitorovací zpráva</w:t>
      </w:r>
      <w:r w:rsidR="00A83AD9">
        <w:rPr>
          <w:b/>
        </w:rPr>
        <w:t xml:space="preserve"> k </w:t>
      </w:r>
      <w:r w:rsidRPr="002A5371">
        <w:rPr>
          <w:b/>
        </w:rPr>
        <w:t>naplňování práva</w:t>
      </w:r>
      <w:r w:rsidR="00A83AD9">
        <w:rPr>
          <w:b/>
        </w:rPr>
        <w:t xml:space="preserve"> na </w:t>
      </w:r>
      <w:r w:rsidRPr="002A5371">
        <w:rPr>
          <w:b/>
        </w:rPr>
        <w:t>rovné zacházení</w:t>
      </w:r>
      <w:r w:rsidR="00A83AD9">
        <w:rPr>
          <w:b/>
        </w:rPr>
        <w:t xml:space="preserve"> a </w:t>
      </w:r>
      <w:r w:rsidRPr="002A5371">
        <w:rPr>
          <w:b/>
        </w:rPr>
        <w:t>ochrany před diskriminací</w:t>
      </w:r>
      <w:r>
        <w:rPr>
          <w:rStyle w:val="Znakapoznpodarou"/>
          <w:b w:val="0"/>
        </w:rPr>
        <w:footnoteReference w:id="22"/>
      </w:r>
    </w:p>
    <w:p w14:paraId="6DD8251A" w14:textId="1FD188A5" w:rsidR="002A5371" w:rsidRDefault="002A5371" w:rsidP="002A5371">
      <w:pPr>
        <w:pStyle w:val="Zkladntext"/>
      </w:pPr>
      <w:r>
        <w:t xml:space="preserve">Ochránce publikoval </w:t>
      </w:r>
      <w:r w:rsidRPr="004A2262">
        <w:t>druhou monitorovací zprávu</w:t>
      </w:r>
      <w:r w:rsidR="00A83AD9">
        <w:t xml:space="preserve"> k </w:t>
      </w:r>
      <w:r w:rsidRPr="004A2262">
        <w:t>naplňování práva</w:t>
      </w:r>
      <w:r w:rsidR="00A83AD9">
        <w:t xml:space="preserve"> na </w:t>
      </w:r>
      <w:r w:rsidRPr="004A2262">
        <w:t>rovné zacházení</w:t>
      </w:r>
      <w:r w:rsidR="00A83AD9">
        <w:t xml:space="preserve"> a </w:t>
      </w:r>
      <w:r w:rsidRPr="004A2262">
        <w:t xml:space="preserve">ochrany před diskriminací. </w:t>
      </w:r>
      <w:r w:rsidRPr="00E80962">
        <w:t xml:space="preserve">Tato </w:t>
      </w:r>
      <w:r>
        <w:t xml:space="preserve">druhá průběžná </w:t>
      </w:r>
      <w:r w:rsidRPr="00E80962">
        <w:t>monitorovací zpráva</w:t>
      </w:r>
      <w:r w:rsidRPr="00E80962">
        <w:rPr>
          <w:rStyle w:val="Znakapoznpodarou"/>
        </w:rPr>
        <w:footnoteReference w:id="23"/>
      </w:r>
      <w:r w:rsidRPr="00E80962">
        <w:t xml:space="preserve"> je </w:t>
      </w:r>
      <w:r>
        <w:t xml:space="preserve">pokračováním monitorovací činnosti veřejného ochránce práv, jejímž cílem je </w:t>
      </w:r>
      <w:r w:rsidRPr="00E80962">
        <w:t>systematicky sledovat naplňování práva</w:t>
      </w:r>
      <w:r w:rsidR="00A83AD9">
        <w:t xml:space="preserve"> na </w:t>
      </w:r>
      <w:r w:rsidRPr="00E80962">
        <w:t>rovné zacházení</w:t>
      </w:r>
      <w:r w:rsidR="00A83AD9">
        <w:t xml:space="preserve"> a </w:t>
      </w:r>
      <w:r w:rsidRPr="00E80962">
        <w:t xml:space="preserve">dodržování </w:t>
      </w:r>
      <w:r>
        <w:t>zákazu diskriminace. Ochránce se</w:t>
      </w:r>
      <w:r w:rsidR="00A83AD9">
        <w:t xml:space="preserve"> ve </w:t>
      </w:r>
      <w:r>
        <w:t>výzkumech soustředí</w:t>
      </w:r>
      <w:r w:rsidR="00A83AD9">
        <w:t xml:space="preserve"> na </w:t>
      </w:r>
      <w:r>
        <w:t>tři vybrané oblasti, kterými jsou</w:t>
      </w:r>
      <w:r w:rsidRPr="00E80962">
        <w:t xml:space="preserve"> vzdělávaní Romů, rovné odměňování žen</w:t>
      </w:r>
      <w:r w:rsidR="00A83AD9">
        <w:t xml:space="preserve"> a </w:t>
      </w:r>
      <w:r w:rsidRPr="00E80962">
        <w:t>mužů</w:t>
      </w:r>
      <w:r w:rsidR="00A83AD9">
        <w:t xml:space="preserve"> a </w:t>
      </w:r>
      <w:r w:rsidRPr="00E80962">
        <w:t>procesní otázk</w:t>
      </w:r>
      <w:r>
        <w:t>y</w:t>
      </w:r>
      <w:r w:rsidRPr="00E80962">
        <w:t>.</w:t>
      </w:r>
      <w:r w:rsidR="00A83AD9">
        <w:t xml:space="preserve"> Ve </w:t>
      </w:r>
      <w:r w:rsidRPr="004A2262">
        <w:t>zprávě ochránce sleduje</w:t>
      </w:r>
      <w:r>
        <w:t xml:space="preserve"> vývoj</w:t>
      </w:r>
      <w:r w:rsidR="00A83AD9">
        <w:t xml:space="preserve"> v </w:t>
      </w:r>
      <w:r>
        <w:t>daných tématech</w:t>
      </w:r>
      <w:r w:rsidR="00A83AD9">
        <w:t xml:space="preserve"> a </w:t>
      </w:r>
      <w:r>
        <w:t>změny hodnot indikátorů</w:t>
      </w:r>
      <w:r w:rsidR="00A83AD9">
        <w:t xml:space="preserve"> za </w:t>
      </w:r>
      <w:r>
        <w:t>období roku 2022.</w:t>
      </w:r>
      <w:r w:rsidR="00A83AD9">
        <w:t xml:space="preserve"> Do </w:t>
      </w:r>
      <w:r>
        <w:t>konce roku 2023 ochránce zveřejní</w:t>
      </w:r>
      <w:r w:rsidR="00A83AD9">
        <w:t xml:space="preserve"> i </w:t>
      </w:r>
      <w:r>
        <w:t>poslední monitorovací zprávu.</w:t>
      </w:r>
    </w:p>
    <w:p w14:paraId="3A0E2CB8" w14:textId="2C30CBA3" w:rsidR="002A5371" w:rsidRDefault="002A5371" w:rsidP="002A5371">
      <w:pPr>
        <w:pStyle w:val="Zkladntext"/>
        <w:rPr>
          <w:b/>
        </w:rPr>
      </w:pPr>
      <w:r>
        <w:rPr>
          <w:b/>
        </w:rPr>
        <w:t>Výzkumná zpráva</w:t>
      </w:r>
      <w:r w:rsidR="00A83AD9">
        <w:rPr>
          <w:b/>
        </w:rPr>
        <w:t xml:space="preserve"> k </w:t>
      </w:r>
      <w:r>
        <w:rPr>
          <w:b/>
        </w:rPr>
        <w:t>tématu t</w:t>
      </w:r>
      <w:r w:rsidRPr="002A5371">
        <w:rPr>
          <w:b/>
        </w:rPr>
        <w:t>ěhotenství</w:t>
      </w:r>
      <w:r w:rsidR="00A83AD9">
        <w:rPr>
          <w:b/>
        </w:rPr>
        <w:t xml:space="preserve"> a </w:t>
      </w:r>
      <w:r w:rsidRPr="002A5371">
        <w:rPr>
          <w:b/>
        </w:rPr>
        <w:t>mateřství</w:t>
      </w:r>
      <w:r w:rsidR="00A83AD9">
        <w:rPr>
          <w:b/>
        </w:rPr>
        <w:t xml:space="preserve"> na </w:t>
      </w:r>
      <w:r w:rsidRPr="002A5371">
        <w:rPr>
          <w:b/>
        </w:rPr>
        <w:t>pracovišti</w:t>
      </w:r>
      <w:r>
        <w:rPr>
          <w:rStyle w:val="Znakapoznpodarou"/>
          <w:b w:val="0"/>
        </w:rPr>
        <w:footnoteReference w:id="24"/>
      </w:r>
    </w:p>
    <w:p w14:paraId="549F90C1" w14:textId="07AA6D9B" w:rsidR="002A5371" w:rsidRPr="002A5371" w:rsidRDefault="002A5371" w:rsidP="002A5371">
      <w:pPr>
        <w:pStyle w:val="Zkladntext"/>
        <w:rPr>
          <w:rFonts w:eastAsiaTheme="majorEastAsia"/>
          <w:bCs/>
        </w:rPr>
      </w:pPr>
      <w:r>
        <w:rPr>
          <w:rFonts w:eastAsiaTheme="majorEastAsia"/>
          <w:bCs/>
        </w:rPr>
        <w:t>Ochránce vydal výzkumnou zprávu,</w:t>
      </w:r>
      <w:r w:rsidR="00A83AD9">
        <w:rPr>
          <w:rFonts w:eastAsiaTheme="majorEastAsia"/>
          <w:bCs/>
        </w:rPr>
        <w:t xml:space="preserve"> v </w:t>
      </w:r>
      <w:r>
        <w:rPr>
          <w:rFonts w:eastAsiaTheme="majorEastAsia"/>
          <w:bCs/>
        </w:rPr>
        <w:t>níž se zabýval tématem r</w:t>
      </w:r>
      <w:r w:rsidRPr="002A5371">
        <w:rPr>
          <w:rFonts w:eastAsiaTheme="majorEastAsia"/>
          <w:bCs/>
        </w:rPr>
        <w:t>odičovství</w:t>
      </w:r>
      <w:r>
        <w:rPr>
          <w:rFonts w:eastAsiaTheme="majorEastAsia"/>
          <w:bCs/>
        </w:rPr>
        <w:t>.</w:t>
      </w:r>
      <w:r w:rsidR="00A83AD9">
        <w:rPr>
          <w:rFonts w:eastAsiaTheme="majorEastAsia"/>
          <w:bCs/>
        </w:rPr>
        <w:t xml:space="preserve"> Z </w:t>
      </w:r>
      <w:r>
        <w:rPr>
          <w:rFonts w:eastAsiaTheme="majorEastAsia"/>
          <w:bCs/>
        </w:rPr>
        <w:t xml:space="preserve">výzkumu vyplynulo, že rodičovství </w:t>
      </w:r>
      <w:r w:rsidRPr="002A5371">
        <w:rPr>
          <w:rFonts w:eastAsiaTheme="majorEastAsia"/>
          <w:bCs/>
        </w:rPr>
        <w:t>nepříznivě zasahuje</w:t>
      </w:r>
      <w:r w:rsidR="00A83AD9">
        <w:rPr>
          <w:rFonts w:eastAsiaTheme="majorEastAsia"/>
          <w:bCs/>
        </w:rPr>
        <w:t xml:space="preserve"> do </w:t>
      </w:r>
      <w:r w:rsidRPr="002A5371">
        <w:rPr>
          <w:rFonts w:eastAsiaTheme="majorEastAsia"/>
          <w:bCs/>
        </w:rPr>
        <w:t>pracovního života žen</w:t>
      </w:r>
      <w:r w:rsidR="00A83AD9">
        <w:rPr>
          <w:rFonts w:eastAsiaTheme="majorEastAsia"/>
          <w:bCs/>
        </w:rPr>
        <w:t xml:space="preserve"> ve </w:t>
      </w:r>
      <w:r w:rsidRPr="002A5371">
        <w:rPr>
          <w:rFonts w:eastAsiaTheme="majorEastAsia"/>
          <w:bCs/>
        </w:rPr>
        <w:t>všech jeho fázích –</w:t>
      </w:r>
      <w:r w:rsidR="00A83AD9">
        <w:rPr>
          <w:rFonts w:eastAsiaTheme="majorEastAsia"/>
          <w:bCs/>
        </w:rPr>
        <w:t xml:space="preserve"> od </w:t>
      </w:r>
      <w:r w:rsidRPr="002A5371">
        <w:rPr>
          <w:rFonts w:eastAsiaTheme="majorEastAsia"/>
          <w:bCs/>
        </w:rPr>
        <w:t>nabídek práce</w:t>
      </w:r>
      <w:r w:rsidR="00A83AD9">
        <w:rPr>
          <w:rFonts w:eastAsiaTheme="majorEastAsia"/>
          <w:bCs/>
        </w:rPr>
        <w:t xml:space="preserve"> a </w:t>
      </w:r>
      <w:r w:rsidRPr="002A5371">
        <w:rPr>
          <w:rFonts w:eastAsiaTheme="majorEastAsia"/>
          <w:bCs/>
        </w:rPr>
        <w:t>pohovorů, přes návrat</w:t>
      </w:r>
      <w:r w:rsidR="00A83AD9">
        <w:rPr>
          <w:rFonts w:eastAsiaTheme="majorEastAsia"/>
          <w:bCs/>
        </w:rPr>
        <w:t xml:space="preserve"> po </w:t>
      </w:r>
      <w:r w:rsidRPr="002A5371">
        <w:rPr>
          <w:rFonts w:eastAsiaTheme="majorEastAsia"/>
          <w:bCs/>
        </w:rPr>
        <w:t>rodičovské dovolené až</w:t>
      </w:r>
      <w:r w:rsidR="00A83AD9">
        <w:rPr>
          <w:rFonts w:eastAsiaTheme="majorEastAsia"/>
          <w:bCs/>
        </w:rPr>
        <w:t xml:space="preserve"> po </w:t>
      </w:r>
      <w:r w:rsidRPr="002A5371">
        <w:rPr>
          <w:rFonts w:eastAsiaTheme="majorEastAsia"/>
          <w:bCs/>
        </w:rPr>
        <w:t>odměňování nebo rozvázání pracovního poměru. Výzkum také potvrdil, že právě ženy výrazně častěji ustupují</w:t>
      </w:r>
      <w:r w:rsidR="00A83AD9">
        <w:rPr>
          <w:rFonts w:eastAsiaTheme="majorEastAsia"/>
          <w:bCs/>
        </w:rPr>
        <w:t xml:space="preserve"> ze </w:t>
      </w:r>
      <w:r w:rsidRPr="002A5371">
        <w:rPr>
          <w:rFonts w:eastAsiaTheme="majorEastAsia"/>
          <w:bCs/>
        </w:rPr>
        <w:t>svých profesních cílů</w:t>
      </w:r>
      <w:r w:rsidR="00A83AD9">
        <w:rPr>
          <w:rFonts w:eastAsiaTheme="majorEastAsia"/>
          <w:bCs/>
        </w:rPr>
        <w:t xml:space="preserve"> ve </w:t>
      </w:r>
      <w:r w:rsidRPr="002A5371">
        <w:rPr>
          <w:rFonts w:eastAsiaTheme="majorEastAsia"/>
          <w:bCs/>
        </w:rPr>
        <w:t>prospěch péče</w:t>
      </w:r>
      <w:r w:rsidR="00A83AD9">
        <w:rPr>
          <w:rFonts w:eastAsiaTheme="majorEastAsia"/>
          <w:bCs/>
        </w:rPr>
        <w:t xml:space="preserve"> o </w:t>
      </w:r>
      <w:r w:rsidRPr="002A5371">
        <w:rPr>
          <w:rFonts w:eastAsiaTheme="majorEastAsia"/>
          <w:bCs/>
        </w:rPr>
        <w:t>děti.</w:t>
      </w:r>
    </w:p>
    <w:p w14:paraId="0881162E" w14:textId="798E7D95" w:rsidR="002A5371" w:rsidRDefault="002A5371" w:rsidP="002A5371">
      <w:pPr>
        <w:pStyle w:val="Zkladntext"/>
      </w:pPr>
      <w:r>
        <w:t xml:space="preserve">Rozsáhlým výzkumem ochránce </w:t>
      </w:r>
      <w:r w:rsidRPr="001A46F4">
        <w:t>ověřil, jak často ženy-matky zažívají</w:t>
      </w:r>
      <w:r w:rsidR="00A83AD9">
        <w:t xml:space="preserve"> na </w:t>
      </w:r>
      <w:r w:rsidRPr="001A46F4">
        <w:t>pracovním</w:t>
      </w:r>
      <w:r>
        <w:t xml:space="preserve"> trhu situace, které jsou problematické či dokonce diskriminační. </w:t>
      </w:r>
      <w:r w:rsidRPr="001A46F4">
        <w:t>Své zkušenosti</w:t>
      </w:r>
      <w:r w:rsidR="00A83AD9">
        <w:t xml:space="preserve"> ve </w:t>
      </w:r>
      <w:r w:rsidRPr="001A46F4">
        <w:t>výzkumu sdílelo 1 300 žen,</w:t>
      </w:r>
      <w:r w:rsidRPr="001A46F4">
        <w:rPr>
          <w:b/>
          <w:bCs/>
        </w:rPr>
        <w:t> </w:t>
      </w:r>
      <w:r w:rsidRPr="001A46F4">
        <w:t>které pečují alespoň</w:t>
      </w:r>
      <w:r w:rsidR="00A83AD9">
        <w:t xml:space="preserve"> o </w:t>
      </w:r>
      <w:r w:rsidRPr="001A46F4">
        <w:t>jedno dítě mladší šest</w:t>
      </w:r>
      <w:r w:rsidR="002F28BC">
        <w:t>i</w:t>
      </w:r>
      <w:r w:rsidRPr="001A46F4">
        <w:t xml:space="preserve"> let. Díky velikosti</w:t>
      </w:r>
      <w:r w:rsidR="00A83AD9">
        <w:t xml:space="preserve"> a </w:t>
      </w:r>
      <w:r w:rsidRPr="001A46F4">
        <w:t>složení vzorku je možné získané informace zobecnit</w:t>
      </w:r>
      <w:r w:rsidR="00A83AD9">
        <w:t xml:space="preserve"> na </w:t>
      </w:r>
      <w:r w:rsidRPr="001A46F4">
        <w:t>celou Českou republiku.</w:t>
      </w:r>
    </w:p>
    <w:p w14:paraId="5B3CA2EC" w14:textId="009F7365" w:rsidR="002A5371" w:rsidRDefault="002A5371" w:rsidP="002A5371">
      <w:pPr>
        <w:pStyle w:val="Zkladntext"/>
      </w:pPr>
      <w:r>
        <w:t xml:space="preserve">Na výzkumnou zprávu </w:t>
      </w:r>
      <w:r w:rsidR="00A3041A">
        <w:t xml:space="preserve">ochránce </w:t>
      </w:r>
      <w:r>
        <w:t>navázal séri</w:t>
      </w:r>
      <w:r w:rsidR="002F28BC">
        <w:t>í</w:t>
      </w:r>
      <w:r>
        <w:t xml:space="preserve"> doporučení</w:t>
      </w:r>
      <w:r w:rsidR="00A83AD9">
        <w:t xml:space="preserve"> pro </w:t>
      </w:r>
      <w:r>
        <w:t>Ministerstvo práce</w:t>
      </w:r>
      <w:r w:rsidR="00A83AD9">
        <w:t xml:space="preserve"> a </w:t>
      </w:r>
      <w:r>
        <w:t>sociálních věcí</w:t>
      </w:r>
      <w:r w:rsidR="00A83AD9">
        <w:t xml:space="preserve"> a </w:t>
      </w:r>
      <w:r>
        <w:t>Ministerstvo školství</w:t>
      </w:r>
      <w:r w:rsidR="00A3041A">
        <w:t>, mládeže</w:t>
      </w:r>
      <w:r w:rsidR="00A83AD9">
        <w:t xml:space="preserve"> a </w:t>
      </w:r>
      <w:r w:rsidR="00A3041A">
        <w:t>tělovýchovy</w:t>
      </w:r>
      <w:r>
        <w:t xml:space="preserve">. </w:t>
      </w:r>
    </w:p>
    <w:p w14:paraId="24FF82B2" w14:textId="79F0B9EF" w:rsidR="00A3041A" w:rsidRDefault="00A3041A" w:rsidP="00F75141">
      <w:pPr>
        <w:pStyle w:val="Nadpis3"/>
      </w:pPr>
      <w:bookmarkStart w:id="43" w:name="_Toc141694110"/>
      <w:r>
        <w:t>Zásadní pracovní jednání</w:t>
      </w:r>
      <w:bookmarkEnd w:id="43"/>
      <w:r>
        <w:t xml:space="preserve"> </w:t>
      </w:r>
    </w:p>
    <w:p w14:paraId="1E3CFFD2" w14:textId="4FC4A35B" w:rsidR="00A3041A" w:rsidRDefault="00A3041A" w:rsidP="00A3041A">
      <w:pPr>
        <w:pStyle w:val="Zkladntext"/>
      </w:pPr>
      <w:r>
        <w:t>V </w:t>
      </w:r>
      <w:r w:rsidRPr="004D3C72">
        <w:t>dubnu se práv</w:t>
      </w:r>
      <w:r w:rsidR="00CB2A8A" w:rsidRPr="004D3C72">
        <w:t xml:space="preserve">nička </w:t>
      </w:r>
      <w:r w:rsidR="00643609" w:rsidRPr="004D3C72">
        <w:t xml:space="preserve">odboru rovného zacházení </w:t>
      </w:r>
      <w:r w:rsidRPr="004D3C72">
        <w:t>zúčastnil</w:t>
      </w:r>
      <w:r w:rsidR="00CB2A8A" w:rsidRPr="004D3C72">
        <w:t>a</w:t>
      </w:r>
      <w:r>
        <w:t xml:space="preserve"> jednání Výboru</w:t>
      </w:r>
      <w:r w:rsidR="00A83AD9">
        <w:t xml:space="preserve"> pro </w:t>
      </w:r>
      <w:r>
        <w:t>sociální politiku, rodinu</w:t>
      </w:r>
      <w:r w:rsidR="00A83AD9">
        <w:t xml:space="preserve"> a </w:t>
      </w:r>
      <w:r>
        <w:t>péči</w:t>
      </w:r>
      <w:r w:rsidR="00CB2A8A">
        <w:t xml:space="preserve"> Rady vlády</w:t>
      </w:r>
      <w:r w:rsidR="00A83AD9">
        <w:t xml:space="preserve"> pro </w:t>
      </w:r>
      <w:r w:rsidR="00CB2A8A">
        <w:t>rovnost žen</w:t>
      </w:r>
      <w:r w:rsidR="00A83AD9">
        <w:t xml:space="preserve"> a </w:t>
      </w:r>
      <w:r w:rsidR="00CB2A8A">
        <w:t>mužů</w:t>
      </w:r>
      <w:r>
        <w:t>. Předmětem jednání byl zejména průběh transpozice směrnice</w:t>
      </w:r>
      <w:r w:rsidR="00A83AD9">
        <w:t xml:space="preserve"> o </w:t>
      </w:r>
      <w:r>
        <w:t>slaďování pracovního</w:t>
      </w:r>
      <w:r w:rsidR="00A83AD9">
        <w:t xml:space="preserve"> a </w:t>
      </w:r>
      <w:r>
        <w:t>soukromého života</w:t>
      </w:r>
      <w:r w:rsidR="00A83AD9">
        <w:t xml:space="preserve"> a </w:t>
      </w:r>
      <w:r>
        <w:t>směrnice</w:t>
      </w:r>
      <w:r w:rsidR="00A83AD9">
        <w:t xml:space="preserve"> o </w:t>
      </w:r>
      <w:r>
        <w:t>transparentnosti</w:t>
      </w:r>
      <w:r w:rsidR="00A83AD9">
        <w:t xml:space="preserve"> v </w:t>
      </w:r>
      <w:r>
        <w:t>odměňování. Diskutovaly se také aktuální iniciativy Ministerstva práce</w:t>
      </w:r>
      <w:r w:rsidR="00A83AD9">
        <w:t xml:space="preserve"> a </w:t>
      </w:r>
      <w:r>
        <w:t>sociálních věcí</w:t>
      </w:r>
      <w:r w:rsidR="00A83AD9">
        <w:t xml:space="preserve"> v </w:t>
      </w:r>
      <w:r>
        <w:t>oblasti koncepce rozvoje péče</w:t>
      </w:r>
      <w:r w:rsidR="00A83AD9">
        <w:t xml:space="preserve"> o </w:t>
      </w:r>
      <w:r>
        <w:t>děti</w:t>
      </w:r>
      <w:r w:rsidR="00A83AD9">
        <w:t xml:space="preserve"> do </w:t>
      </w:r>
      <w:r>
        <w:t>3 let, včetně sousedských dětských skupin,</w:t>
      </w:r>
      <w:r w:rsidR="00A83AD9">
        <w:t xml:space="preserve"> a </w:t>
      </w:r>
      <w:r>
        <w:t>návrh nové Strategie rodinné politiky.</w:t>
      </w:r>
    </w:p>
    <w:p w14:paraId="252EF08F" w14:textId="58A5D208" w:rsidR="00A3041A" w:rsidRDefault="00A3041A" w:rsidP="00A3041A">
      <w:pPr>
        <w:pStyle w:val="Zkladntext"/>
      </w:pPr>
      <w:r>
        <w:t>Na dubnovém jednání pracovní skupiny M</w:t>
      </w:r>
      <w:r w:rsidR="00CB2A8A">
        <w:t>inisterstva školství, mládeže</w:t>
      </w:r>
      <w:r w:rsidR="00A83AD9">
        <w:t xml:space="preserve"> a </w:t>
      </w:r>
      <w:r w:rsidR="00CB2A8A">
        <w:t>tělovýchovy</w:t>
      </w:r>
      <w:r w:rsidR="00A83AD9">
        <w:t xml:space="preserve"> k </w:t>
      </w:r>
      <w:r>
        <w:t>tématu žáků cizinců</w:t>
      </w:r>
      <w:r w:rsidR="00A83AD9">
        <w:t xml:space="preserve"> na </w:t>
      </w:r>
      <w:r>
        <w:t xml:space="preserve">středních školách </w:t>
      </w:r>
      <w:r w:rsidR="00643609" w:rsidRPr="004D3C72">
        <w:t xml:space="preserve">se </w:t>
      </w:r>
      <w:r w:rsidR="002F28BC" w:rsidRPr="004D3C72">
        <w:t xml:space="preserve">právnička </w:t>
      </w:r>
      <w:r w:rsidR="004D3C72" w:rsidRPr="004D3C72">
        <w:t xml:space="preserve">odboru rovného zacházení </w:t>
      </w:r>
      <w:r>
        <w:t>zapojil</w:t>
      </w:r>
      <w:r w:rsidR="00CB2A8A">
        <w:t>a</w:t>
      </w:r>
      <w:r w:rsidR="00A83AD9">
        <w:t xml:space="preserve"> do </w:t>
      </w:r>
      <w:r>
        <w:t>diskuze</w:t>
      </w:r>
      <w:r w:rsidR="00A83AD9">
        <w:t xml:space="preserve"> o </w:t>
      </w:r>
      <w:r>
        <w:t>aktuálních návrzích právních předpisů – prodloužení doby jazykové podpory</w:t>
      </w:r>
      <w:r w:rsidR="00A83AD9">
        <w:t xml:space="preserve"> pro </w:t>
      </w:r>
      <w:r>
        <w:t>cizojazyčné žáky</w:t>
      </w:r>
      <w:r w:rsidR="00A83AD9">
        <w:t xml:space="preserve"> na </w:t>
      </w:r>
      <w:r w:rsidR="00643609">
        <w:t>středních školách</w:t>
      </w:r>
      <w:r w:rsidR="00A83AD9">
        <w:t xml:space="preserve"> o </w:t>
      </w:r>
      <w:r>
        <w:t>další rok</w:t>
      </w:r>
      <w:r w:rsidR="00A83AD9">
        <w:t xml:space="preserve"> a </w:t>
      </w:r>
      <w:r>
        <w:t>změny</w:t>
      </w:r>
      <w:r w:rsidR="00A83AD9">
        <w:t xml:space="preserve"> v </w:t>
      </w:r>
      <w:r>
        <w:t>úpravě přijímacích</w:t>
      </w:r>
      <w:r w:rsidR="00A83AD9">
        <w:t xml:space="preserve"> a </w:t>
      </w:r>
      <w:r>
        <w:t>maturitních zkoušek</w:t>
      </w:r>
      <w:r w:rsidR="00A83AD9">
        <w:t xml:space="preserve"> z </w:t>
      </w:r>
      <w:r>
        <w:t>českého jazyka</w:t>
      </w:r>
      <w:r w:rsidR="00A83AD9">
        <w:t xml:space="preserve"> pro </w:t>
      </w:r>
      <w:r>
        <w:t>tyto žáky. Pokračovala také debata</w:t>
      </w:r>
      <w:r w:rsidR="00A83AD9">
        <w:t xml:space="preserve"> nad </w:t>
      </w:r>
      <w:r>
        <w:t>koncepcí tzv. nultých přípravných ročníků</w:t>
      </w:r>
      <w:r w:rsidR="00A83AD9">
        <w:t xml:space="preserve"> na </w:t>
      </w:r>
      <w:r>
        <w:t>SŠ</w:t>
      </w:r>
      <w:r w:rsidR="00A83AD9">
        <w:t xml:space="preserve"> pro </w:t>
      </w:r>
      <w:r>
        <w:t>cizojazyčné žáky.</w:t>
      </w:r>
    </w:p>
    <w:p w14:paraId="14CF6C8D" w14:textId="7CE3CB45" w:rsidR="00A3041A" w:rsidRDefault="00FE444B" w:rsidP="00A3041A">
      <w:pPr>
        <w:pStyle w:val="Zkladntext"/>
        <w:rPr>
          <w:rFonts w:cs="Calibri"/>
          <w:color w:val="000000"/>
        </w:rPr>
      </w:pPr>
      <w:r>
        <w:t>Právn</w:t>
      </w:r>
      <w:r w:rsidR="00CB2A8A">
        <w:t xml:space="preserve">ička </w:t>
      </w:r>
      <w:r>
        <w:t>odboru rovného zacházení se</w:t>
      </w:r>
      <w:r w:rsidR="00A83AD9">
        <w:t xml:space="preserve"> v </w:t>
      </w:r>
      <w:r>
        <w:t>červnu účastnil</w:t>
      </w:r>
      <w:r w:rsidR="00CB2A8A">
        <w:t>a</w:t>
      </w:r>
      <w:r>
        <w:t xml:space="preserve"> j</w:t>
      </w:r>
      <w:r w:rsidR="00A3041A">
        <w:t>ednání expertního fóra</w:t>
      </w:r>
      <w:r w:rsidR="00A83AD9">
        <w:t xml:space="preserve"> k </w:t>
      </w:r>
      <w:r w:rsidR="00A3041A">
        <w:t>výkonu rozsudku ESLP</w:t>
      </w:r>
      <w:r w:rsidR="00A83AD9">
        <w:t xml:space="preserve"> ve </w:t>
      </w:r>
      <w:r w:rsidR="00A3041A">
        <w:t xml:space="preserve">věci D. </w:t>
      </w:r>
      <w:r w:rsidR="00A3041A">
        <w:rPr>
          <w:rFonts w:cs="Calibri"/>
          <w:color w:val="000000"/>
        </w:rPr>
        <w:t>H.</w:t>
      </w:r>
      <w:r w:rsidR="00A83AD9">
        <w:rPr>
          <w:rFonts w:cs="Calibri"/>
          <w:color w:val="000000"/>
        </w:rPr>
        <w:t xml:space="preserve"> a </w:t>
      </w:r>
      <w:r w:rsidR="00A3041A">
        <w:rPr>
          <w:rFonts w:cs="Calibri"/>
          <w:color w:val="000000"/>
        </w:rPr>
        <w:t>ostatní proti České republice</w:t>
      </w:r>
      <w:r>
        <w:rPr>
          <w:rFonts w:cs="Calibri"/>
          <w:color w:val="000000"/>
        </w:rPr>
        <w:t xml:space="preserve">. Jednání se </w:t>
      </w:r>
      <w:r w:rsidR="00A3041A">
        <w:rPr>
          <w:rFonts w:cs="Calibri"/>
          <w:color w:val="000000"/>
        </w:rPr>
        <w:t>věnovalo konkrétním opatřením, která by</w:t>
      </w:r>
      <w:r w:rsidR="00A83AD9">
        <w:rPr>
          <w:rFonts w:cs="Calibri"/>
          <w:color w:val="000000"/>
        </w:rPr>
        <w:t xml:space="preserve"> v </w:t>
      </w:r>
      <w:r w:rsidR="00A3041A">
        <w:rPr>
          <w:rFonts w:cs="Calibri"/>
          <w:color w:val="000000"/>
        </w:rPr>
        <w:t>tématu mělo zejména M</w:t>
      </w:r>
      <w:r w:rsidR="006613E4">
        <w:rPr>
          <w:rFonts w:cs="Calibri"/>
          <w:color w:val="000000"/>
        </w:rPr>
        <w:t>inisterstvo školství, mládeže</w:t>
      </w:r>
      <w:r w:rsidR="00A83AD9">
        <w:rPr>
          <w:rFonts w:cs="Calibri"/>
          <w:color w:val="000000"/>
        </w:rPr>
        <w:t xml:space="preserve"> a </w:t>
      </w:r>
      <w:r w:rsidR="006613E4">
        <w:rPr>
          <w:rFonts w:cs="Calibri"/>
          <w:color w:val="000000"/>
        </w:rPr>
        <w:t xml:space="preserve">tělovýchovy </w:t>
      </w:r>
      <w:r w:rsidR="00A3041A">
        <w:rPr>
          <w:rFonts w:cs="Calibri"/>
          <w:color w:val="000000"/>
        </w:rPr>
        <w:t>přijmout. </w:t>
      </w:r>
    </w:p>
    <w:p w14:paraId="74842573" w14:textId="1225BD5C" w:rsidR="00A3041A" w:rsidRDefault="002F28BC" w:rsidP="00A3041A">
      <w:pPr>
        <w:pStyle w:val="Zkladntext"/>
        <w:rPr>
          <w:rFonts w:cs="Calibri"/>
          <w:color w:val="000000"/>
        </w:rPr>
      </w:pPr>
      <w:r>
        <w:t xml:space="preserve">Právnička </w:t>
      </w:r>
      <w:r w:rsidR="004D3C72" w:rsidRPr="004D3C72">
        <w:t xml:space="preserve">odboru rovného zacházení </w:t>
      </w:r>
      <w:r w:rsidR="00FE444B">
        <w:t>se z</w:t>
      </w:r>
      <w:r w:rsidR="00A3041A">
        <w:rPr>
          <w:rFonts w:cs="Calibri"/>
          <w:color w:val="000000"/>
        </w:rPr>
        <w:t>účastnil</w:t>
      </w:r>
      <w:r w:rsidR="00CB2A8A">
        <w:rPr>
          <w:rFonts w:cs="Calibri"/>
          <w:color w:val="000000"/>
        </w:rPr>
        <w:t>a</w:t>
      </w:r>
      <w:r w:rsidR="00A3041A">
        <w:rPr>
          <w:rFonts w:cs="Calibri"/>
          <w:color w:val="000000"/>
        </w:rPr>
        <w:t xml:space="preserve"> pracovního setkání</w:t>
      </w:r>
      <w:r w:rsidR="00FE444B">
        <w:rPr>
          <w:rFonts w:cs="Calibri"/>
          <w:color w:val="000000"/>
        </w:rPr>
        <w:t xml:space="preserve"> </w:t>
      </w:r>
      <w:r w:rsidR="00CB2A8A">
        <w:rPr>
          <w:rFonts w:cs="Calibri"/>
          <w:color w:val="000000"/>
        </w:rPr>
        <w:t>zaměřeného</w:t>
      </w:r>
      <w:r w:rsidR="00A83AD9">
        <w:rPr>
          <w:rFonts w:cs="Calibri"/>
          <w:color w:val="000000"/>
        </w:rPr>
        <w:t xml:space="preserve"> na </w:t>
      </w:r>
      <w:r w:rsidR="00CB2A8A">
        <w:rPr>
          <w:rFonts w:cs="Calibri"/>
          <w:color w:val="000000"/>
        </w:rPr>
        <w:t>poskytování zdravotních úkonů</w:t>
      </w:r>
      <w:r w:rsidR="00A83AD9">
        <w:rPr>
          <w:rFonts w:cs="Calibri"/>
          <w:color w:val="000000"/>
        </w:rPr>
        <w:t xml:space="preserve"> ve </w:t>
      </w:r>
      <w:r w:rsidR="00CB2A8A">
        <w:rPr>
          <w:rFonts w:cs="Calibri"/>
          <w:color w:val="000000"/>
        </w:rPr>
        <w:t>školách</w:t>
      </w:r>
      <w:r w:rsidR="00FE444B">
        <w:rPr>
          <w:rFonts w:cs="Calibri"/>
          <w:color w:val="000000"/>
        </w:rPr>
        <w:t>,</w:t>
      </w:r>
      <w:r w:rsidR="00A83AD9">
        <w:rPr>
          <w:rFonts w:cs="Calibri"/>
          <w:color w:val="000000"/>
        </w:rPr>
        <w:t xml:space="preserve"> nad </w:t>
      </w:r>
      <w:r w:rsidR="00FE444B">
        <w:rPr>
          <w:rFonts w:cs="Calibri"/>
          <w:color w:val="000000"/>
        </w:rPr>
        <w:t>jejímž průběhem převzal z</w:t>
      </w:r>
      <w:r w:rsidR="00A3041A">
        <w:rPr>
          <w:rFonts w:cs="Calibri"/>
          <w:color w:val="000000"/>
        </w:rPr>
        <w:t>áštitu místopředsed</w:t>
      </w:r>
      <w:r w:rsidR="00FE444B">
        <w:rPr>
          <w:rFonts w:cs="Calibri"/>
          <w:color w:val="000000"/>
        </w:rPr>
        <w:t>a</w:t>
      </w:r>
      <w:r w:rsidR="00A3041A">
        <w:rPr>
          <w:rFonts w:cs="Calibri"/>
          <w:color w:val="000000"/>
        </w:rPr>
        <w:t xml:space="preserve"> Výboru</w:t>
      </w:r>
      <w:r w:rsidR="00A83AD9">
        <w:rPr>
          <w:rFonts w:cs="Calibri"/>
          <w:color w:val="000000"/>
        </w:rPr>
        <w:t xml:space="preserve"> pro </w:t>
      </w:r>
      <w:r w:rsidR="00A3041A">
        <w:rPr>
          <w:rFonts w:cs="Calibri"/>
          <w:color w:val="000000"/>
        </w:rPr>
        <w:t>zdravotnictví Senátu Parlamentu České republiky.</w:t>
      </w:r>
      <w:r w:rsidR="00A83AD9">
        <w:rPr>
          <w:rFonts w:cs="Calibri"/>
          <w:color w:val="000000"/>
        </w:rPr>
        <w:t xml:space="preserve"> S </w:t>
      </w:r>
      <w:r w:rsidR="00A3041A">
        <w:rPr>
          <w:rFonts w:cs="Calibri"/>
          <w:color w:val="000000"/>
        </w:rPr>
        <w:t>přítomnými zástupci M</w:t>
      </w:r>
      <w:r w:rsidR="00FE444B">
        <w:rPr>
          <w:rFonts w:cs="Calibri"/>
          <w:color w:val="000000"/>
        </w:rPr>
        <w:t>inisterstva školství, mládeže</w:t>
      </w:r>
      <w:r w:rsidR="00A83AD9">
        <w:rPr>
          <w:rFonts w:cs="Calibri"/>
          <w:color w:val="000000"/>
        </w:rPr>
        <w:t xml:space="preserve"> a </w:t>
      </w:r>
      <w:r w:rsidR="00FE444B">
        <w:rPr>
          <w:rFonts w:cs="Calibri"/>
          <w:color w:val="000000"/>
        </w:rPr>
        <w:t>tělovýchovy</w:t>
      </w:r>
      <w:r w:rsidR="00A83AD9">
        <w:rPr>
          <w:rFonts w:cs="Calibri"/>
          <w:color w:val="000000"/>
        </w:rPr>
        <w:t xml:space="preserve"> a </w:t>
      </w:r>
      <w:r w:rsidR="00A3041A">
        <w:rPr>
          <w:rFonts w:cs="Calibri"/>
          <w:color w:val="000000"/>
        </w:rPr>
        <w:t>M</w:t>
      </w:r>
      <w:r w:rsidR="00FE444B">
        <w:rPr>
          <w:rFonts w:cs="Calibri"/>
          <w:color w:val="000000"/>
        </w:rPr>
        <w:t xml:space="preserve">inisterstva zdravotnictví </w:t>
      </w:r>
      <w:r w:rsidR="00A3041A">
        <w:rPr>
          <w:rFonts w:cs="Calibri"/>
          <w:color w:val="000000"/>
        </w:rPr>
        <w:t>se shodli</w:t>
      </w:r>
      <w:r w:rsidR="00A83AD9">
        <w:rPr>
          <w:rFonts w:cs="Calibri"/>
          <w:color w:val="000000"/>
        </w:rPr>
        <w:t xml:space="preserve"> na </w:t>
      </w:r>
      <w:r w:rsidR="00A3041A">
        <w:rPr>
          <w:rFonts w:cs="Calibri"/>
          <w:color w:val="000000"/>
        </w:rPr>
        <w:t>potřebě změny metodického sdělení určeného školám</w:t>
      </w:r>
      <w:r w:rsidR="006613E4">
        <w:rPr>
          <w:rFonts w:cs="Calibri"/>
          <w:color w:val="000000"/>
        </w:rPr>
        <w:t xml:space="preserve"> týkajícího se poskytování zdravotních úkonů.</w:t>
      </w:r>
      <w:r w:rsidR="00FE444B" w:rsidRPr="00FE444B">
        <w:rPr>
          <w:rFonts w:cs="Calibri"/>
          <w:color w:val="000000"/>
          <w:highlight w:val="yellow"/>
        </w:rPr>
        <w:t xml:space="preserve"> </w:t>
      </w:r>
    </w:p>
    <w:p w14:paraId="0C9DB0E1" w14:textId="64284F15" w:rsidR="00A3041A" w:rsidRDefault="00FE444B" w:rsidP="00A3041A">
      <w:pPr>
        <w:pStyle w:val="Zkladntext"/>
      </w:pPr>
      <w:r w:rsidRPr="006613E4">
        <w:t>Právn</w:t>
      </w:r>
      <w:r w:rsidR="006613E4" w:rsidRPr="006613E4">
        <w:t xml:space="preserve">ička </w:t>
      </w:r>
      <w:r w:rsidRPr="006613E4">
        <w:t>odboru rovného zacházení se účastnil</w:t>
      </w:r>
      <w:r w:rsidR="006613E4" w:rsidRPr="006613E4">
        <w:t>a</w:t>
      </w:r>
      <w:r>
        <w:t xml:space="preserve"> </w:t>
      </w:r>
      <w:r w:rsidR="00A3041A">
        <w:t>jednání Rady vlády</w:t>
      </w:r>
      <w:r w:rsidR="00A83AD9">
        <w:t xml:space="preserve"> pro </w:t>
      </w:r>
      <w:r w:rsidR="00A3041A">
        <w:t>rovnost žen</w:t>
      </w:r>
      <w:r w:rsidR="00A83AD9">
        <w:t xml:space="preserve"> a </w:t>
      </w:r>
      <w:r w:rsidR="00A3041A">
        <w:t>mužů</w:t>
      </w:r>
      <w:r>
        <w:t xml:space="preserve">. Předmětem </w:t>
      </w:r>
      <w:r w:rsidR="00A3041A">
        <w:t>byly zejména aktuální kroky</w:t>
      </w:r>
      <w:r w:rsidR="00A83AD9">
        <w:t xml:space="preserve"> na </w:t>
      </w:r>
      <w:r w:rsidR="00A3041A">
        <w:t>poli potírání domácího násilí – zejména změna občanského zákoníku, která má přinést jednotnou definici domácího násilí</w:t>
      </w:r>
      <w:r w:rsidR="00A83AD9">
        <w:t xml:space="preserve"> do </w:t>
      </w:r>
      <w:r w:rsidR="00A3041A">
        <w:t>právního řádu. Dále se probíraly například otázky zajištění kapacit péče</w:t>
      </w:r>
      <w:r w:rsidR="00A83AD9">
        <w:t xml:space="preserve"> o </w:t>
      </w:r>
      <w:r w:rsidR="00A3041A">
        <w:t>předškolní děti, prevence sexuálního obtěžování</w:t>
      </w:r>
      <w:r w:rsidR="00A83AD9">
        <w:t xml:space="preserve"> na </w:t>
      </w:r>
      <w:r w:rsidR="00A3041A">
        <w:t>vysokých školách</w:t>
      </w:r>
      <w:r w:rsidR="00A83AD9">
        <w:t xml:space="preserve"> a </w:t>
      </w:r>
      <w:r w:rsidR="00A3041A">
        <w:t>aktuální data</w:t>
      </w:r>
      <w:r w:rsidR="00A83AD9">
        <w:t xml:space="preserve"> o </w:t>
      </w:r>
      <w:r w:rsidR="00A3041A">
        <w:t>zastoupení žen</w:t>
      </w:r>
      <w:r w:rsidR="00A83AD9">
        <w:t xml:space="preserve"> a </w:t>
      </w:r>
      <w:r w:rsidR="00A3041A">
        <w:t>mužů</w:t>
      </w:r>
      <w:r w:rsidR="00A83AD9">
        <w:t xml:space="preserve"> v </w:t>
      </w:r>
      <w:r w:rsidR="00A3041A">
        <w:t>rozhodovacích pozicích</w:t>
      </w:r>
      <w:r w:rsidR="00A83AD9">
        <w:t xml:space="preserve"> ve </w:t>
      </w:r>
      <w:r w:rsidR="00A3041A">
        <w:t>služebních úřadech.</w:t>
      </w:r>
    </w:p>
    <w:p w14:paraId="18976435" w14:textId="270B61EC" w:rsidR="00A3041A" w:rsidRDefault="004D3C72" w:rsidP="00A3041A">
      <w:pPr>
        <w:pStyle w:val="Zkladntext"/>
      </w:pPr>
      <w:r w:rsidRPr="004D3C72">
        <w:t>Právnička odboru rovného zacházení</w:t>
      </w:r>
      <w:r w:rsidR="00A83AD9">
        <w:t xml:space="preserve"> na </w:t>
      </w:r>
      <w:r w:rsidR="006613E4" w:rsidRPr="004D3C72">
        <w:t xml:space="preserve">červnovém </w:t>
      </w:r>
      <w:r w:rsidR="00A3041A" w:rsidRPr="004D3C72">
        <w:t>jednání Výboru</w:t>
      </w:r>
      <w:r w:rsidR="00A83AD9">
        <w:t xml:space="preserve"> pro </w:t>
      </w:r>
      <w:r w:rsidR="00A3041A" w:rsidRPr="004D3C72">
        <w:t>sociální politiku,</w:t>
      </w:r>
      <w:r w:rsidR="00A3041A">
        <w:t xml:space="preserve"> rodinu</w:t>
      </w:r>
      <w:r w:rsidR="00A83AD9">
        <w:t xml:space="preserve"> a </w:t>
      </w:r>
      <w:r w:rsidR="00A3041A">
        <w:t xml:space="preserve">péči </w:t>
      </w:r>
      <w:r w:rsidR="006613E4">
        <w:t>Rady vlády</w:t>
      </w:r>
      <w:r w:rsidR="00A83AD9">
        <w:t xml:space="preserve"> pro </w:t>
      </w:r>
      <w:r w:rsidR="006613E4">
        <w:t>rovnost žen</w:t>
      </w:r>
      <w:r w:rsidR="00A83AD9">
        <w:t xml:space="preserve"> a </w:t>
      </w:r>
      <w:r w:rsidR="006613E4">
        <w:t>mužů p</w:t>
      </w:r>
      <w:r w:rsidR="00A3041A">
        <w:t>okračoval</w:t>
      </w:r>
      <w:r w:rsidR="006613E4">
        <w:t>a</w:t>
      </w:r>
      <w:r w:rsidR="00A83AD9">
        <w:t xml:space="preserve"> v </w:t>
      </w:r>
      <w:r w:rsidR="00A3041A">
        <w:t>debat</w:t>
      </w:r>
      <w:r w:rsidR="00FE444B">
        <w:t>ě</w:t>
      </w:r>
      <w:r w:rsidR="00A83AD9">
        <w:t xml:space="preserve"> o </w:t>
      </w:r>
      <w:r w:rsidR="00A3041A">
        <w:t>transpozici evropských směrnic</w:t>
      </w:r>
      <w:r w:rsidR="00A83AD9">
        <w:t xml:space="preserve"> a </w:t>
      </w:r>
      <w:r w:rsidR="00A3041A">
        <w:t>koncepci rozvoje péče</w:t>
      </w:r>
      <w:r w:rsidR="00A83AD9">
        <w:t xml:space="preserve"> o </w:t>
      </w:r>
      <w:r w:rsidR="00A3041A">
        <w:t>předškolní děti. Velkou část jednání představovala diskuse</w:t>
      </w:r>
      <w:r w:rsidR="00A83AD9">
        <w:t xml:space="preserve"> o </w:t>
      </w:r>
      <w:r w:rsidR="00A3041A">
        <w:t>stavu odměňování pracujících</w:t>
      </w:r>
      <w:r w:rsidR="00A83AD9">
        <w:t xml:space="preserve"> v </w:t>
      </w:r>
      <w:r w:rsidR="00A3041A">
        <w:t>sociálních službách, zejména pak</w:t>
      </w:r>
      <w:r w:rsidR="00A83AD9">
        <w:t xml:space="preserve"> o </w:t>
      </w:r>
      <w:r w:rsidR="00A3041A">
        <w:t>nerovnosti</w:t>
      </w:r>
      <w:r w:rsidR="00A83AD9">
        <w:t xml:space="preserve"> v </w:t>
      </w:r>
      <w:r w:rsidR="00A3041A">
        <w:t>odměňování mezi sociálními pracovníky</w:t>
      </w:r>
      <w:r w:rsidR="00A83AD9">
        <w:t xml:space="preserve"> ve </w:t>
      </w:r>
      <w:r w:rsidR="00A3041A">
        <w:t>veřejné sféře</w:t>
      </w:r>
      <w:r w:rsidR="00A83AD9">
        <w:t xml:space="preserve"> a v </w:t>
      </w:r>
      <w:r w:rsidR="00A3041A">
        <w:t>neziskových organizacích.</w:t>
      </w:r>
    </w:p>
    <w:p w14:paraId="02EC0F23" w14:textId="0CDC50F0" w:rsidR="00A3041A" w:rsidRDefault="00FE444B" w:rsidP="00A3041A">
      <w:pPr>
        <w:pStyle w:val="Zkladntext"/>
      </w:pPr>
      <w:r w:rsidRPr="006613E4">
        <w:t>Právník odboru rovného zacházení se ú</w:t>
      </w:r>
      <w:r w:rsidR="00A3041A" w:rsidRPr="006613E4">
        <w:t>častnil</w:t>
      </w:r>
      <w:r w:rsidRPr="006613E4">
        <w:t xml:space="preserve"> </w:t>
      </w:r>
      <w:r w:rsidR="00A3041A" w:rsidRPr="006613E4">
        <w:t xml:space="preserve">jednání </w:t>
      </w:r>
      <w:r w:rsidRPr="006613E4">
        <w:t>V</w:t>
      </w:r>
      <w:r w:rsidR="00A3041A" w:rsidRPr="006613E4">
        <w:t>ýboru</w:t>
      </w:r>
      <w:r w:rsidR="00A83AD9">
        <w:t xml:space="preserve"> pro </w:t>
      </w:r>
      <w:r w:rsidR="00A3041A" w:rsidRPr="006613E4">
        <w:t>práva LGBTI+ lidi</w:t>
      </w:r>
      <w:r w:rsidR="006613E4" w:rsidRPr="006613E4">
        <w:t xml:space="preserve"> Rady vlády</w:t>
      </w:r>
      <w:r w:rsidR="00A83AD9">
        <w:t xml:space="preserve"> pro </w:t>
      </w:r>
      <w:r w:rsidR="006613E4" w:rsidRPr="006613E4">
        <w:t xml:space="preserve">lidská práva. </w:t>
      </w:r>
      <w:r w:rsidR="00A3041A" w:rsidRPr="006613E4">
        <w:t>Členové výboru především diskut</w:t>
      </w:r>
      <w:r w:rsidR="00A3041A">
        <w:t>ovali</w:t>
      </w:r>
      <w:r w:rsidR="00A83AD9">
        <w:t xml:space="preserve"> o </w:t>
      </w:r>
      <w:r w:rsidR="00A3041A">
        <w:t>budoucnosti</w:t>
      </w:r>
      <w:r w:rsidR="00A83AD9">
        <w:t xml:space="preserve"> v </w:t>
      </w:r>
      <w:r w:rsidR="00A3041A">
        <w:t>oblasti dárcovství krve</w:t>
      </w:r>
      <w:r w:rsidR="00A83AD9">
        <w:t xml:space="preserve"> v </w:t>
      </w:r>
      <w:r w:rsidR="00A3041A">
        <w:t>případě mužů majících sex</w:t>
      </w:r>
      <w:r w:rsidR="00A83AD9">
        <w:t xml:space="preserve"> s </w:t>
      </w:r>
      <w:r w:rsidR="00A3041A">
        <w:t>muži, seznámili se</w:t>
      </w:r>
      <w:r w:rsidR="00A83AD9">
        <w:t xml:space="preserve"> s </w:t>
      </w:r>
      <w:r w:rsidR="00A3041A">
        <w:t>výsledky Studie Být LGBTQ+</w:t>
      </w:r>
      <w:r w:rsidR="00A83AD9">
        <w:t xml:space="preserve"> v </w:t>
      </w:r>
      <w:r w:rsidR="00A3041A">
        <w:t>Česku 2022</w:t>
      </w:r>
      <w:r w:rsidR="00A83AD9">
        <w:t xml:space="preserve"> a </w:t>
      </w:r>
      <w:r w:rsidR="00A3041A">
        <w:t>aktuálními informacemi</w:t>
      </w:r>
      <w:r w:rsidR="00A83AD9">
        <w:t xml:space="preserve"> z </w:t>
      </w:r>
      <w:r w:rsidR="00A3041A">
        <w:t>řešení problematiky HIV/AIDS</w:t>
      </w:r>
      <w:r w:rsidR="00A83AD9">
        <w:t xml:space="preserve"> v </w:t>
      </w:r>
      <w:r w:rsidR="00A3041A">
        <w:t>Česku.</w:t>
      </w:r>
    </w:p>
    <w:p w14:paraId="4960670B" w14:textId="59B07A20" w:rsidR="00FE444B" w:rsidRDefault="00FE444B" w:rsidP="00F75141">
      <w:pPr>
        <w:pStyle w:val="Nadpis3"/>
      </w:pPr>
      <w:bookmarkStart w:id="44" w:name="_Toc141694111"/>
      <w:r>
        <w:t>Osvěta</w:t>
      </w:r>
      <w:bookmarkEnd w:id="44"/>
      <w:r>
        <w:t xml:space="preserve"> </w:t>
      </w:r>
    </w:p>
    <w:p w14:paraId="63F56DFB" w14:textId="3BA44215" w:rsidR="00FE444B" w:rsidRDefault="00FE444B" w:rsidP="00FE444B">
      <w:pPr>
        <w:pStyle w:val="Zkladntext"/>
      </w:pPr>
      <w:r>
        <w:t>I</w:t>
      </w:r>
      <w:r w:rsidR="00A83AD9">
        <w:t xml:space="preserve"> v </w:t>
      </w:r>
      <w:r>
        <w:t>jarním semestru Kancelář veřejného ochránce práv</w:t>
      </w:r>
      <w:r w:rsidR="00A83AD9">
        <w:t xml:space="preserve"> ve </w:t>
      </w:r>
      <w:r>
        <w:t>spolupráci</w:t>
      </w:r>
      <w:r w:rsidR="00A83AD9">
        <w:t xml:space="preserve"> s </w:t>
      </w:r>
      <w:r>
        <w:t>Masarykovou univerzitou pokračoval</w:t>
      </w:r>
      <w:r w:rsidR="009560D7">
        <w:t>a</w:t>
      </w:r>
      <w:r w:rsidR="00A83AD9">
        <w:t xml:space="preserve"> ve </w:t>
      </w:r>
      <w:r>
        <w:t>výuce předmětu Klinika antidiskriminačního práva.</w:t>
      </w:r>
    </w:p>
    <w:p w14:paraId="59891EB5" w14:textId="49891E51" w:rsidR="00FE444B" w:rsidRDefault="00FE444B" w:rsidP="00FE444B">
      <w:pPr>
        <w:pStyle w:val="Zkladntext"/>
      </w:pPr>
      <w:r>
        <w:t>V rámci výběrového semináře Gender</w:t>
      </w:r>
      <w:r w:rsidR="00A83AD9">
        <w:t xml:space="preserve"> a </w:t>
      </w:r>
      <w:r>
        <w:t>sociální práva vyučovaného</w:t>
      </w:r>
      <w:r w:rsidR="00A83AD9">
        <w:t xml:space="preserve"> na </w:t>
      </w:r>
      <w:r>
        <w:t>Karlově univerzitě právn</w:t>
      </w:r>
      <w:r w:rsidR="006613E4">
        <w:t xml:space="preserve">ičky </w:t>
      </w:r>
      <w:r>
        <w:t>odboru rovného z</w:t>
      </w:r>
      <w:r w:rsidR="002F28BC">
        <w:t>acházení studenty práv seznámily</w:t>
      </w:r>
      <w:r w:rsidR="00A83AD9">
        <w:t xml:space="preserve"> s </w:t>
      </w:r>
      <w:r>
        <w:t>tématem diskriminace</w:t>
      </w:r>
      <w:r w:rsidR="00A83AD9">
        <w:t xml:space="preserve"> z </w:t>
      </w:r>
      <w:r>
        <w:t>důvodu pohlaví především</w:t>
      </w:r>
      <w:r w:rsidR="00A83AD9">
        <w:t xml:space="preserve"> v </w:t>
      </w:r>
      <w:r>
        <w:t>oblasti práce</w:t>
      </w:r>
      <w:r w:rsidR="00A83AD9">
        <w:t xml:space="preserve"> a </w:t>
      </w:r>
      <w:r>
        <w:t xml:space="preserve">zaměstnání. </w:t>
      </w:r>
    </w:p>
    <w:p w14:paraId="7C6BEE80" w14:textId="45CAE9F8" w:rsidR="00FE444B" w:rsidRDefault="009560D7" w:rsidP="00FE444B">
      <w:pPr>
        <w:pStyle w:val="Zkladntext"/>
      </w:pPr>
      <w:r>
        <w:t xml:space="preserve">V </w:t>
      </w:r>
      <w:r w:rsidR="00FE444B">
        <w:t>květn</w:t>
      </w:r>
      <w:r>
        <w:t>u právníci odboru rovného zacházení uspořádali</w:t>
      </w:r>
      <w:r w:rsidR="00A83AD9">
        <w:t xml:space="preserve"> pro </w:t>
      </w:r>
      <w:r w:rsidR="00FE444B">
        <w:t>studenty střední školy American Academy</w:t>
      </w:r>
      <w:r w:rsidR="00A83AD9">
        <w:t xml:space="preserve"> v </w:t>
      </w:r>
      <w:r w:rsidR="00FE444B">
        <w:t>Brně seminář</w:t>
      </w:r>
      <w:r w:rsidR="00A83AD9">
        <w:t xml:space="preserve"> o </w:t>
      </w:r>
      <w:r w:rsidR="00FE444B">
        <w:t>diskriminaci</w:t>
      </w:r>
      <w:r w:rsidR="00A83AD9">
        <w:t xml:space="preserve"> a </w:t>
      </w:r>
      <w:r w:rsidR="00FE444B">
        <w:t>obraně proti ní.</w:t>
      </w:r>
    </w:p>
    <w:p w14:paraId="53A9A227" w14:textId="7FBD2EB4" w:rsidR="00FE444B" w:rsidRDefault="00FE444B" w:rsidP="00FE444B">
      <w:pPr>
        <w:pStyle w:val="Zkladntext"/>
      </w:pPr>
      <w:r w:rsidRPr="006613E4">
        <w:t xml:space="preserve">V dubnu se </w:t>
      </w:r>
      <w:r w:rsidR="009560D7" w:rsidRPr="006613E4">
        <w:t>právn</w:t>
      </w:r>
      <w:r w:rsidR="006613E4">
        <w:t xml:space="preserve">ička </w:t>
      </w:r>
      <w:r w:rsidR="009560D7" w:rsidRPr="006613E4">
        <w:t xml:space="preserve">odboru rovného zacházení </w:t>
      </w:r>
      <w:r>
        <w:t>zúčastnil</w:t>
      </w:r>
      <w:r w:rsidR="00542BE2">
        <w:t>a</w:t>
      </w:r>
      <w:r>
        <w:t xml:space="preserve"> soustředění</w:t>
      </w:r>
      <w:r w:rsidR="00A83AD9">
        <w:t xml:space="preserve"> pro </w:t>
      </w:r>
      <w:r>
        <w:t>studenty sociální práce Vyšší odborné školy sociální Caritas. Sdílel</w:t>
      </w:r>
      <w:r w:rsidR="00542BE2">
        <w:t>a</w:t>
      </w:r>
      <w:r>
        <w:t xml:space="preserve"> zkušenosti ochránce</w:t>
      </w:r>
      <w:r w:rsidR="00A83AD9">
        <w:t xml:space="preserve"> s </w:t>
      </w:r>
      <w:r>
        <w:t>řešením případů diskriminace, ale také</w:t>
      </w:r>
      <w:r w:rsidR="00A83AD9">
        <w:t xml:space="preserve"> v </w:t>
      </w:r>
      <w:r>
        <w:t>rámci panelové diskuse společně se skupinou sebeobhájců</w:t>
      </w:r>
      <w:r w:rsidR="00A83AD9">
        <w:t xml:space="preserve"> z </w:t>
      </w:r>
      <w:r>
        <w:t>Uherského Hradiště diskutoval</w:t>
      </w:r>
      <w:r w:rsidR="00542BE2">
        <w:t>a</w:t>
      </w:r>
      <w:r w:rsidR="00A83AD9">
        <w:t xml:space="preserve"> o </w:t>
      </w:r>
      <w:r>
        <w:t>tom, jak</w:t>
      </w:r>
      <w:r w:rsidR="00A83AD9">
        <w:t xml:space="preserve"> v </w:t>
      </w:r>
      <w:r>
        <w:t>Česku zlepšit prosazování práv lidí</w:t>
      </w:r>
      <w:r w:rsidR="00A83AD9">
        <w:t xml:space="preserve"> s </w:t>
      </w:r>
      <w:r>
        <w:t>postižením.</w:t>
      </w:r>
    </w:p>
    <w:p w14:paraId="2DBEA389" w14:textId="1083A622" w:rsidR="00FE444B" w:rsidRDefault="00FE444B" w:rsidP="00FE444B">
      <w:pPr>
        <w:pStyle w:val="Zkladntext"/>
      </w:pPr>
      <w:r>
        <w:t>Na projektové konferenci</w:t>
      </w:r>
      <w:r w:rsidR="00A83AD9">
        <w:t xml:space="preserve"> k </w:t>
      </w:r>
      <w:r>
        <w:t>tématu domácího</w:t>
      </w:r>
      <w:r w:rsidR="00A83AD9">
        <w:t xml:space="preserve"> a </w:t>
      </w:r>
      <w:r>
        <w:t xml:space="preserve">genderově podmíněného násilí </w:t>
      </w:r>
      <w:r w:rsidR="009560D7">
        <w:t>právn</w:t>
      </w:r>
      <w:r w:rsidR="00542BE2">
        <w:t xml:space="preserve">ička </w:t>
      </w:r>
      <w:r w:rsidR="009560D7">
        <w:t xml:space="preserve">odboru rovného zacházení </w:t>
      </w:r>
      <w:r>
        <w:t>představil</w:t>
      </w:r>
      <w:r w:rsidR="00542BE2">
        <w:t>a</w:t>
      </w:r>
      <w:r>
        <w:t xml:space="preserve"> o</w:t>
      </w:r>
      <w:r w:rsidR="009560D7">
        <w:t xml:space="preserve">chráncem </w:t>
      </w:r>
      <w:r>
        <w:t>řešené případy sexuálního obtěžování</w:t>
      </w:r>
      <w:r w:rsidR="00A83AD9">
        <w:t xml:space="preserve"> a </w:t>
      </w:r>
      <w:r w:rsidR="009560D7">
        <w:t xml:space="preserve">jeho </w:t>
      </w:r>
      <w:r>
        <w:t>možnosti</w:t>
      </w:r>
      <w:r w:rsidR="00A83AD9">
        <w:t xml:space="preserve"> v </w:t>
      </w:r>
      <w:r>
        <w:t>podobných případech.</w:t>
      </w:r>
    </w:p>
    <w:p w14:paraId="059491CB" w14:textId="22C9B48C" w:rsidR="00FE444B" w:rsidRDefault="009560D7" w:rsidP="00FE444B">
      <w:pPr>
        <w:pStyle w:val="Zkladntext"/>
      </w:pPr>
      <w:r>
        <w:t xml:space="preserve">Na </w:t>
      </w:r>
      <w:r w:rsidR="00FE444B">
        <w:t>akci Lidská práva</w:t>
      </w:r>
      <w:r w:rsidR="00A83AD9">
        <w:t xml:space="preserve"> na </w:t>
      </w:r>
      <w:r w:rsidR="00FE444B">
        <w:t>živo, kterou organizuje Právnická fakulta Masarykovy univerzity</w:t>
      </w:r>
      <w:r w:rsidR="00A83AD9">
        <w:t xml:space="preserve"> ve </w:t>
      </w:r>
      <w:r w:rsidR="00FE444B">
        <w:t>spolupráci</w:t>
      </w:r>
      <w:r w:rsidR="00A83AD9">
        <w:t xml:space="preserve"> s Pro </w:t>
      </w:r>
      <w:r w:rsidR="00FE444B">
        <w:t>bono aliancí</w:t>
      </w:r>
      <w:r w:rsidR="00197FD1">
        <w:t>,</w:t>
      </w:r>
      <w:r>
        <w:t xml:space="preserve"> představil</w:t>
      </w:r>
      <w:r w:rsidR="00542BE2">
        <w:t>y</w:t>
      </w:r>
      <w:r>
        <w:t xml:space="preserve"> právn</w:t>
      </w:r>
      <w:r w:rsidR="00542BE2">
        <w:t xml:space="preserve">ičky </w:t>
      </w:r>
      <w:r>
        <w:t xml:space="preserve">odboru rovného zacházení </w:t>
      </w:r>
      <w:r w:rsidR="00FE444B">
        <w:t>základy antidiskriminačního práva.</w:t>
      </w:r>
    </w:p>
    <w:p w14:paraId="2FA9D61D" w14:textId="5B837D05" w:rsidR="00FE444B" w:rsidRDefault="009560D7" w:rsidP="00FE444B">
      <w:pPr>
        <w:pStyle w:val="Zkladntext"/>
      </w:pPr>
      <w:r>
        <w:t>Kancelář veřejného ochránce práv p</w:t>
      </w:r>
      <w:r w:rsidR="00FE444B">
        <w:t>řivítal</w:t>
      </w:r>
      <w:r>
        <w:t xml:space="preserve">a </w:t>
      </w:r>
      <w:r w:rsidR="00FE444B">
        <w:t>exkurzi studujících kulturní antropologie Filozofické fakulty Univerzity Palackého</w:t>
      </w:r>
      <w:r w:rsidR="00A83AD9">
        <w:t xml:space="preserve"> v </w:t>
      </w:r>
      <w:r w:rsidR="00FE444B">
        <w:t>Olomouci. Součástí exkurze byl</w:t>
      </w:r>
      <w:r w:rsidR="00A83AD9">
        <w:t xml:space="preserve"> i </w:t>
      </w:r>
      <w:r w:rsidR="00FE444B">
        <w:t>seminář zaměřený</w:t>
      </w:r>
      <w:r w:rsidR="00A83AD9">
        <w:t xml:space="preserve"> na </w:t>
      </w:r>
      <w:r w:rsidR="00FE444B">
        <w:t>téma obtěžování</w:t>
      </w:r>
      <w:r w:rsidR="00A83AD9">
        <w:t xml:space="preserve"> na </w:t>
      </w:r>
      <w:r w:rsidR="00FE444B">
        <w:t>pracovišti</w:t>
      </w:r>
      <w:r w:rsidR="00A83AD9">
        <w:t xml:space="preserve"> a </w:t>
      </w:r>
      <w:r w:rsidR="00FE444B">
        <w:t>sexuální obtěžování.</w:t>
      </w:r>
    </w:p>
    <w:p w14:paraId="1E1ED19D" w14:textId="073015F2" w:rsidR="005662CE" w:rsidRDefault="00F75141" w:rsidP="005662CE">
      <w:pPr>
        <w:pStyle w:val="Nadpis3"/>
      </w:pPr>
      <w:bookmarkStart w:id="45" w:name="_Toc141694112"/>
      <w:r>
        <w:t>Konference, kulaté stoly</w:t>
      </w:r>
      <w:r w:rsidR="00A83AD9">
        <w:t xml:space="preserve"> a </w:t>
      </w:r>
      <w:r>
        <w:t>školen</w:t>
      </w:r>
      <w:r w:rsidR="00197FD1">
        <w:t>í</w:t>
      </w:r>
      <w:bookmarkEnd w:id="45"/>
    </w:p>
    <w:p w14:paraId="05765152" w14:textId="79020D0C" w:rsidR="005662CE" w:rsidRDefault="005662CE" w:rsidP="005662CE">
      <w:pPr>
        <w:pStyle w:val="Zkladntext"/>
      </w:pPr>
      <w:r>
        <w:t>Ve spolupráci</w:t>
      </w:r>
      <w:r w:rsidR="00A83AD9">
        <w:t xml:space="preserve"> s </w:t>
      </w:r>
      <w:r>
        <w:t>Ministerstvem průmyslu</w:t>
      </w:r>
      <w:r w:rsidR="00A83AD9">
        <w:t xml:space="preserve"> a </w:t>
      </w:r>
      <w:r>
        <w:t>obchodu proběhlo školení</w:t>
      </w:r>
      <w:r w:rsidR="00A83AD9">
        <w:t xml:space="preserve"> k </w:t>
      </w:r>
      <w:r>
        <w:t>problematice sexistické reklamy</w:t>
      </w:r>
      <w:r w:rsidR="00A83AD9">
        <w:t xml:space="preserve"> pro </w:t>
      </w:r>
      <w:r>
        <w:t xml:space="preserve">zaměstnance krajských živnostenských úřadů, kteří se zabývají </w:t>
      </w:r>
      <w:r w:rsidRPr="00542BE2">
        <w:t xml:space="preserve">regulací nezákonné reklamy. </w:t>
      </w:r>
      <w:r w:rsidR="00197FD1" w:rsidRPr="00542BE2">
        <w:t>Právn</w:t>
      </w:r>
      <w:r w:rsidR="00542BE2" w:rsidRPr="00542BE2">
        <w:t xml:space="preserve">ičky </w:t>
      </w:r>
      <w:r w:rsidR="00197FD1" w:rsidRPr="00542BE2">
        <w:t>odboru rovného zacházení p</w:t>
      </w:r>
      <w:r w:rsidRPr="00542BE2">
        <w:t>rezentoval</w:t>
      </w:r>
      <w:r w:rsidR="00542BE2" w:rsidRPr="00542BE2">
        <w:t>y</w:t>
      </w:r>
      <w:r>
        <w:t xml:space="preserve"> zejména dosavadní závěry veřejného ochránce práv</w:t>
      </w:r>
      <w:r w:rsidR="00A83AD9">
        <w:t xml:space="preserve"> a </w:t>
      </w:r>
      <w:r>
        <w:t>aktuální judikaturu správních soudů</w:t>
      </w:r>
      <w:r w:rsidR="00A83AD9">
        <w:t xml:space="preserve"> k </w:t>
      </w:r>
      <w:r>
        <w:t>této problematice.</w:t>
      </w:r>
    </w:p>
    <w:p w14:paraId="271A5FB4" w14:textId="7ADCC1E0" w:rsidR="005662CE" w:rsidRDefault="00542BE2" w:rsidP="005662CE">
      <w:pPr>
        <w:pStyle w:val="Zkladntext"/>
      </w:pPr>
      <w:r>
        <w:t>Veřejný ochránce práv</w:t>
      </w:r>
      <w:r w:rsidR="00A83AD9">
        <w:t xml:space="preserve"> v </w:t>
      </w:r>
      <w:r w:rsidR="005662CE">
        <w:t xml:space="preserve">červnu </w:t>
      </w:r>
      <w:r>
        <w:t xml:space="preserve">pořádal </w:t>
      </w:r>
      <w:r w:rsidR="005662CE">
        <w:t>konferenci</w:t>
      </w:r>
      <w:r w:rsidR="00A83AD9">
        <w:t xml:space="preserve"> a </w:t>
      </w:r>
      <w:r w:rsidR="005662CE">
        <w:t>workshop Rodičovství</w:t>
      </w:r>
      <w:r w:rsidR="00A83AD9">
        <w:t xml:space="preserve"> na </w:t>
      </w:r>
      <w:r w:rsidR="005662CE">
        <w:t xml:space="preserve">pracovišti </w:t>
      </w:r>
      <w:r>
        <w:t>P</w:t>
      </w:r>
      <w:r w:rsidR="00197FD1">
        <w:t>rávn</w:t>
      </w:r>
      <w:r>
        <w:t xml:space="preserve">ičky </w:t>
      </w:r>
      <w:r w:rsidR="00197FD1">
        <w:t xml:space="preserve">odboru rovného zacházení </w:t>
      </w:r>
      <w:r>
        <w:t xml:space="preserve">představily </w:t>
      </w:r>
      <w:r w:rsidR="005662CE">
        <w:t>výzkum</w:t>
      </w:r>
      <w:r w:rsidR="00A83AD9">
        <w:t xml:space="preserve"> a </w:t>
      </w:r>
      <w:r w:rsidR="005662CE">
        <w:t>doporučení</w:t>
      </w:r>
      <w:r w:rsidR="00197FD1">
        <w:t xml:space="preserve"> </w:t>
      </w:r>
      <w:r w:rsidR="00197FD1" w:rsidRPr="00197FD1">
        <w:t>(viz kapitola D3)</w:t>
      </w:r>
      <w:r w:rsidR="002F28BC">
        <w:t>.</w:t>
      </w:r>
      <w:r w:rsidR="005662CE">
        <w:t xml:space="preserve"> Zazněly také konkrétní příklady nerovného přístupu zaměstnavatelů</w:t>
      </w:r>
      <w:r w:rsidR="00A83AD9">
        <w:t xml:space="preserve"> k </w:t>
      </w:r>
      <w:r w:rsidR="005662CE">
        <w:t>mužům</w:t>
      </w:r>
      <w:r w:rsidR="00A83AD9">
        <w:t xml:space="preserve"> a </w:t>
      </w:r>
      <w:r w:rsidR="005662CE">
        <w:t>ženám.</w:t>
      </w:r>
      <w:r w:rsidR="00A83AD9">
        <w:t xml:space="preserve"> Z </w:t>
      </w:r>
      <w:r w:rsidR="005662CE">
        <w:t xml:space="preserve">případů </w:t>
      </w:r>
      <w:r w:rsidR="00197FD1">
        <w:t xml:space="preserve"> řešených ochráncem </w:t>
      </w:r>
      <w:r w:rsidR="005662CE">
        <w:t>šlo například</w:t>
      </w:r>
      <w:r w:rsidR="00A83AD9">
        <w:t xml:space="preserve"> o </w:t>
      </w:r>
      <w:r w:rsidR="005662CE">
        <w:t>situaci, kdy ministerstva rušila jako neobsazená</w:t>
      </w:r>
      <w:r w:rsidR="00A83AD9">
        <w:t xml:space="preserve"> i </w:t>
      </w:r>
      <w:r w:rsidR="005662CE">
        <w:t>služební místa zaměstnanců</w:t>
      </w:r>
      <w:r w:rsidR="00A83AD9">
        <w:t xml:space="preserve"> na </w:t>
      </w:r>
      <w:r w:rsidR="005662CE">
        <w:t>mateřské</w:t>
      </w:r>
      <w:r w:rsidR="00A83AD9">
        <w:t xml:space="preserve"> a </w:t>
      </w:r>
      <w:r w:rsidR="005662CE">
        <w:t>rodičovské dovolené. Pracovnice Státního úřadu inspekce práce</w:t>
      </w:r>
      <w:r w:rsidR="00A83AD9">
        <w:t xml:space="preserve"> na </w:t>
      </w:r>
      <w:r w:rsidR="005662CE">
        <w:t>konferenci sdílela zkušenosti</w:t>
      </w:r>
      <w:r w:rsidR="00A83AD9">
        <w:t xml:space="preserve"> z </w:t>
      </w:r>
      <w:r w:rsidR="005662CE">
        <w:t xml:space="preserve">inspekční činnosti. </w:t>
      </w:r>
    </w:p>
    <w:p w14:paraId="08619F3F" w14:textId="0B184A7F" w:rsidR="00F75141" w:rsidRDefault="00197FD1" w:rsidP="00F75141">
      <w:pPr>
        <w:pStyle w:val="Nadpis3"/>
      </w:pPr>
      <w:bookmarkStart w:id="46" w:name="_Toc141694113"/>
      <w:r>
        <w:t>Mezinárodní spolupráce</w:t>
      </w:r>
      <w:bookmarkEnd w:id="46"/>
      <w:r>
        <w:t xml:space="preserve"> </w:t>
      </w:r>
    </w:p>
    <w:p w14:paraId="7E631D0B" w14:textId="1E3F8EB4" w:rsidR="00197FD1" w:rsidRDefault="00197FD1" w:rsidP="00197FD1">
      <w:pPr>
        <w:pStyle w:val="Zkladntext"/>
        <w:rPr>
          <w:rFonts w:cs="Calibri"/>
          <w:color w:val="000000"/>
        </w:rPr>
      </w:pPr>
      <w:r>
        <w:rPr>
          <w:rFonts w:cs="Calibri"/>
          <w:color w:val="000000"/>
        </w:rPr>
        <w:t>V dubnu se právn</w:t>
      </w:r>
      <w:r w:rsidR="00542BE2">
        <w:rPr>
          <w:rFonts w:cs="Calibri"/>
          <w:color w:val="000000"/>
        </w:rPr>
        <w:t xml:space="preserve">ička </w:t>
      </w:r>
      <w:r>
        <w:rPr>
          <w:rFonts w:cs="Calibri"/>
          <w:color w:val="000000"/>
        </w:rPr>
        <w:t>odboru rovného zacházení zúčastnil</w:t>
      </w:r>
      <w:r w:rsidR="00542BE2">
        <w:rPr>
          <w:rFonts w:cs="Calibri"/>
          <w:color w:val="000000"/>
        </w:rPr>
        <w:t>a</w:t>
      </w:r>
      <w:r>
        <w:rPr>
          <w:rFonts w:cs="Calibri"/>
          <w:color w:val="000000"/>
        </w:rPr>
        <w:t xml:space="preserve"> pravidelné schůzky orgánů</w:t>
      </w:r>
      <w:r w:rsidR="00A83AD9">
        <w:rPr>
          <w:rFonts w:cs="Calibri"/>
          <w:color w:val="000000"/>
        </w:rPr>
        <w:t xml:space="preserve"> pro </w:t>
      </w:r>
      <w:r>
        <w:rPr>
          <w:rFonts w:cs="Calibri"/>
          <w:color w:val="000000"/>
        </w:rPr>
        <w:t>volný pohyb pracovníků EU</w:t>
      </w:r>
      <w:r w:rsidR="00A83AD9">
        <w:rPr>
          <w:rFonts w:cs="Calibri"/>
          <w:color w:val="000000"/>
        </w:rPr>
        <w:t xml:space="preserve"> na </w:t>
      </w:r>
      <w:r>
        <w:rPr>
          <w:rFonts w:cs="Calibri"/>
          <w:color w:val="000000"/>
        </w:rPr>
        <w:t>půdě Evropské komise. Evropská komise</w:t>
      </w:r>
      <w:r w:rsidR="00A83AD9">
        <w:rPr>
          <w:rFonts w:cs="Calibri"/>
          <w:color w:val="000000"/>
        </w:rPr>
        <w:t xml:space="preserve"> a </w:t>
      </w:r>
      <w:r>
        <w:rPr>
          <w:rFonts w:cs="Calibri"/>
          <w:color w:val="000000"/>
        </w:rPr>
        <w:t>Evropský úřad</w:t>
      </w:r>
      <w:r w:rsidR="00A83AD9">
        <w:rPr>
          <w:rFonts w:cs="Calibri"/>
          <w:color w:val="000000"/>
        </w:rPr>
        <w:t xml:space="preserve"> pro </w:t>
      </w:r>
      <w:r>
        <w:rPr>
          <w:rFonts w:cs="Calibri"/>
          <w:color w:val="000000"/>
        </w:rPr>
        <w:t>pracovní záležitosti (ELA) informoval</w:t>
      </w:r>
      <w:r w:rsidR="002F28BC">
        <w:rPr>
          <w:rFonts w:cs="Calibri"/>
          <w:color w:val="000000"/>
        </w:rPr>
        <w:t>y</w:t>
      </w:r>
      <w:r>
        <w:rPr>
          <w:rFonts w:cs="Calibri"/>
          <w:color w:val="000000"/>
        </w:rPr>
        <w:t xml:space="preserve"> účastníky</w:t>
      </w:r>
      <w:r w:rsidR="00A83AD9">
        <w:rPr>
          <w:rFonts w:cs="Calibri"/>
          <w:color w:val="000000"/>
        </w:rPr>
        <w:t xml:space="preserve"> o </w:t>
      </w:r>
      <w:r>
        <w:rPr>
          <w:rFonts w:cs="Calibri"/>
          <w:color w:val="000000"/>
        </w:rPr>
        <w:t>novinkách</w:t>
      </w:r>
      <w:r w:rsidR="00A83AD9">
        <w:rPr>
          <w:rFonts w:cs="Calibri"/>
          <w:color w:val="000000"/>
        </w:rPr>
        <w:t xml:space="preserve"> v </w:t>
      </w:r>
      <w:r>
        <w:rPr>
          <w:rFonts w:cs="Calibri"/>
          <w:color w:val="000000"/>
        </w:rPr>
        <w:t>této oblasti</w:t>
      </w:r>
      <w:r w:rsidR="00A83AD9">
        <w:rPr>
          <w:rFonts w:cs="Calibri"/>
          <w:color w:val="000000"/>
        </w:rPr>
        <w:t xml:space="preserve"> a </w:t>
      </w:r>
      <w:r>
        <w:rPr>
          <w:rFonts w:cs="Calibri"/>
          <w:color w:val="000000"/>
        </w:rPr>
        <w:t>plánovaných aktivitách</w:t>
      </w:r>
      <w:r w:rsidR="00A83AD9">
        <w:rPr>
          <w:rFonts w:cs="Calibri"/>
          <w:color w:val="000000"/>
        </w:rPr>
        <w:t xml:space="preserve"> do </w:t>
      </w:r>
      <w:r>
        <w:rPr>
          <w:rFonts w:cs="Calibri"/>
          <w:color w:val="000000"/>
        </w:rPr>
        <w:t>budoucna.</w:t>
      </w:r>
    </w:p>
    <w:p w14:paraId="3B5E3B6A" w14:textId="232DE12A" w:rsidR="00197FD1" w:rsidRDefault="00197FD1" w:rsidP="00197FD1">
      <w:pPr>
        <w:pStyle w:val="Zkladntext"/>
      </w:pPr>
      <w:r>
        <w:rPr>
          <w:rFonts w:cs="Calibri"/>
          <w:color w:val="000000"/>
        </w:rPr>
        <w:t>V dubnu též proběhlo jednání pracovní skupiny Equinetu zaměřené</w:t>
      </w:r>
      <w:r w:rsidR="00A83AD9">
        <w:rPr>
          <w:rFonts w:cs="Calibri"/>
          <w:color w:val="000000"/>
        </w:rPr>
        <w:t xml:space="preserve"> na </w:t>
      </w:r>
      <w:r>
        <w:rPr>
          <w:rFonts w:cs="Calibri"/>
          <w:color w:val="000000"/>
        </w:rPr>
        <w:t>systematické otázky (Policy Formation Working Group)</w:t>
      </w:r>
      <w:r w:rsidR="00A83AD9">
        <w:rPr>
          <w:rFonts w:cs="Calibri"/>
          <w:color w:val="000000"/>
        </w:rPr>
        <w:t xml:space="preserve"> a </w:t>
      </w:r>
      <w:r w:rsidR="002F28BC">
        <w:rPr>
          <w:rFonts w:cs="Calibri"/>
          <w:color w:val="000000"/>
        </w:rPr>
        <w:t xml:space="preserve">členové </w:t>
      </w:r>
      <w:r>
        <w:rPr>
          <w:rFonts w:cs="Calibri"/>
          <w:color w:val="000000"/>
        </w:rPr>
        <w:t>diskutovali</w:t>
      </w:r>
      <w:r w:rsidR="00A83AD9">
        <w:rPr>
          <w:rFonts w:cs="Calibri"/>
          <w:color w:val="000000"/>
        </w:rPr>
        <w:t xml:space="preserve"> o </w:t>
      </w:r>
      <w:r>
        <w:rPr>
          <w:rFonts w:cs="Calibri"/>
          <w:color w:val="000000"/>
        </w:rPr>
        <w:t>možnostech</w:t>
      </w:r>
      <w:r w:rsidR="00A83AD9">
        <w:rPr>
          <w:rFonts w:cs="Calibri"/>
          <w:color w:val="000000"/>
        </w:rPr>
        <w:t xml:space="preserve"> a </w:t>
      </w:r>
      <w:r>
        <w:rPr>
          <w:rFonts w:cs="Calibri"/>
          <w:color w:val="000000"/>
        </w:rPr>
        <w:t>praxi orgánů</w:t>
      </w:r>
      <w:r w:rsidR="00A83AD9">
        <w:rPr>
          <w:rFonts w:cs="Calibri"/>
          <w:color w:val="000000"/>
        </w:rPr>
        <w:t xml:space="preserve"> pro </w:t>
      </w:r>
      <w:r>
        <w:rPr>
          <w:rFonts w:cs="Calibri"/>
          <w:color w:val="000000"/>
        </w:rPr>
        <w:t>rovné zacházení</w:t>
      </w:r>
      <w:r w:rsidR="00A83AD9">
        <w:rPr>
          <w:rFonts w:cs="Calibri"/>
          <w:color w:val="000000"/>
        </w:rPr>
        <w:t xml:space="preserve"> při </w:t>
      </w:r>
      <w:r>
        <w:rPr>
          <w:rFonts w:cs="Calibri"/>
          <w:color w:val="000000"/>
        </w:rPr>
        <w:t>vydávání doporučení se zaměřením</w:t>
      </w:r>
      <w:r w:rsidR="00A83AD9">
        <w:rPr>
          <w:rFonts w:cs="Calibri"/>
          <w:color w:val="000000"/>
        </w:rPr>
        <w:t xml:space="preserve"> na </w:t>
      </w:r>
      <w:r>
        <w:rPr>
          <w:rFonts w:cs="Calibri"/>
          <w:color w:val="000000"/>
        </w:rPr>
        <w:t>legislativní doporučení.</w:t>
      </w:r>
      <w:r w:rsidR="00A83AD9">
        <w:rPr>
          <w:rFonts w:cs="Calibri"/>
          <w:color w:val="000000"/>
        </w:rPr>
        <w:t xml:space="preserve"> V </w:t>
      </w:r>
      <w:r>
        <w:rPr>
          <w:rFonts w:cs="Calibri"/>
          <w:color w:val="000000"/>
        </w:rPr>
        <w:t>květnu se  sešla pracovní skupina zaměřená</w:t>
      </w:r>
      <w:r w:rsidR="00A83AD9">
        <w:rPr>
          <w:rFonts w:cs="Calibri"/>
          <w:color w:val="000000"/>
        </w:rPr>
        <w:t xml:space="preserve"> na </w:t>
      </w:r>
      <w:r>
        <w:rPr>
          <w:rFonts w:cs="Calibri"/>
          <w:color w:val="000000"/>
        </w:rPr>
        <w:t xml:space="preserve">interpretaci antidiskriminačního práva (Equality Law Working Group), jejímž cílem bylo </w:t>
      </w:r>
      <w:r>
        <w:t>sdílení informací</w:t>
      </w:r>
      <w:r w:rsidR="00A83AD9">
        <w:t xml:space="preserve"> o </w:t>
      </w:r>
      <w:r>
        <w:t>novinkách</w:t>
      </w:r>
      <w:r w:rsidR="00A83AD9">
        <w:t xml:space="preserve"> z </w:t>
      </w:r>
      <w:r>
        <w:t>evropského antidiskriminačního práva</w:t>
      </w:r>
      <w:r w:rsidR="00A83AD9">
        <w:t xml:space="preserve"> a </w:t>
      </w:r>
      <w:r>
        <w:t>tvorba plánu činnosti</w:t>
      </w:r>
      <w:r w:rsidR="00A83AD9">
        <w:t xml:space="preserve"> na </w:t>
      </w:r>
      <w:r>
        <w:t>rok 2024. Členové pracovní skupiny se následně zúčastnili semináře</w:t>
      </w:r>
      <w:r w:rsidR="00A83AD9">
        <w:t xml:space="preserve"> o </w:t>
      </w:r>
      <w:r>
        <w:t>obtěžování jakožto jedné</w:t>
      </w:r>
      <w:r w:rsidR="00A83AD9">
        <w:t xml:space="preserve"> z </w:t>
      </w:r>
      <w:r>
        <w:t>forem diskriminace.</w:t>
      </w:r>
      <w:r w:rsidR="00A83AD9">
        <w:t xml:space="preserve"> V </w:t>
      </w:r>
      <w:r>
        <w:t>rámci pracovní skupiny zaměřené</w:t>
      </w:r>
      <w:r w:rsidR="00A83AD9">
        <w:t xml:space="preserve"> na </w:t>
      </w:r>
      <w:r>
        <w:t>rovnost žen</w:t>
      </w:r>
      <w:r w:rsidR="00A83AD9">
        <w:t xml:space="preserve"> a </w:t>
      </w:r>
      <w:r>
        <w:t>mužů (Gender Equality Working Group) se právníci odboru rovného zacházení zapojili</w:t>
      </w:r>
      <w:r w:rsidR="00A83AD9">
        <w:t xml:space="preserve"> do </w:t>
      </w:r>
      <w:r>
        <w:t>diskuzí</w:t>
      </w:r>
      <w:r w:rsidR="00A83AD9">
        <w:t xml:space="preserve"> o </w:t>
      </w:r>
      <w:r>
        <w:t>posledním vývoji evropské legislativy týkající se rovnosti žen</w:t>
      </w:r>
      <w:r w:rsidR="00A83AD9">
        <w:t xml:space="preserve"> a </w:t>
      </w:r>
      <w:r>
        <w:t>mužů</w:t>
      </w:r>
      <w:r w:rsidR="00A83AD9">
        <w:t xml:space="preserve"> a na </w:t>
      </w:r>
      <w:r>
        <w:t>potenciální dopady směrnice</w:t>
      </w:r>
      <w:r w:rsidR="00A83AD9">
        <w:t xml:space="preserve"> o </w:t>
      </w:r>
      <w:r>
        <w:t>standardech</w:t>
      </w:r>
      <w:r w:rsidR="00A83AD9">
        <w:t xml:space="preserve"> pro </w:t>
      </w:r>
      <w:r>
        <w:t>orgány</w:t>
      </w:r>
      <w:r w:rsidR="00A83AD9">
        <w:t xml:space="preserve"> pro </w:t>
      </w:r>
      <w:r>
        <w:t>rovné zacházení</w:t>
      </w:r>
      <w:r w:rsidR="00A83AD9">
        <w:t xml:space="preserve"> na </w:t>
      </w:r>
      <w:r>
        <w:t>práci těchto orgánů</w:t>
      </w:r>
      <w:r w:rsidR="00A83AD9">
        <w:t xml:space="preserve"> v </w:t>
      </w:r>
      <w:r>
        <w:t>oblasti rovnosti žen</w:t>
      </w:r>
      <w:r w:rsidR="00A83AD9">
        <w:t xml:space="preserve"> a </w:t>
      </w:r>
      <w:r>
        <w:t>mužů.</w:t>
      </w:r>
      <w:r w:rsidR="00A83AD9">
        <w:t xml:space="preserve"> Na </w:t>
      </w:r>
      <w:r>
        <w:t>semináři</w:t>
      </w:r>
      <w:r w:rsidR="00A83AD9">
        <w:t xml:space="preserve"> k </w:t>
      </w:r>
      <w:r>
        <w:t>transpozici směrnice</w:t>
      </w:r>
      <w:r w:rsidR="00A83AD9">
        <w:t xml:space="preserve"> o </w:t>
      </w:r>
      <w:r>
        <w:t>slaďování pracovního</w:t>
      </w:r>
      <w:r w:rsidR="00A83AD9">
        <w:t xml:space="preserve"> a </w:t>
      </w:r>
      <w:r>
        <w:t>soukromého života se účastníci mimo jiné seznámili se stavem transpozice</w:t>
      </w:r>
      <w:r w:rsidR="00A83AD9">
        <w:t xml:space="preserve"> v </w:t>
      </w:r>
      <w:r>
        <w:t>jednotlivých členských státech</w:t>
      </w:r>
      <w:r w:rsidR="00A83AD9">
        <w:t xml:space="preserve"> a </w:t>
      </w:r>
      <w:r>
        <w:t>sdíleli dobrou praxi např.</w:t>
      </w:r>
      <w:r w:rsidR="00A83AD9">
        <w:t xml:space="preserve"> ze </w:t>
      </w:r>
      <w:r>
        <w:t xml:space="preserve">spolupráce </w:t>
      </w:r>
      <w:r w:rsidR="00542BE2">
        <w:t xml:space="preserve">se </w:t>
      </w:r>
      <w:r>
        <w:t>zaměstnavateli</w:t>
      </w:r>
      <w:r w:rsidR="00A83AD9">
        <w:t xml:space="preserve"> a </w:t>
      </w:r>
      <w:r>
        <w:t>orgány inspekce práce. Sešla se též pracovní skupina zaměřená</w:t>
      </w:r>
      <w:r w:rsidR="00A83AD9">
        <w:t xml:space="preserve"> na </w:t>
      </w:r>
      <w:r>
        <w:t>diskuze</w:t>
      </w:r>
      <w:r w:rsidR="00A83AD9">
        <w:t xml:space="preserve"> o </w:t>
      </w:r>
      <w:r>
        <w:t>nových návrzích směrnic, které mají</w:t>
      </w:r>
      <w:r w:rsidR="00A83AD9">
        <w:t xml:space="preserve"> za </w:t>
      </w:r>
      <w:r>
        <w:t>cíl zavést minimální standardy</w:t>
      </w:r>
      <w:r w:rsidR="00A83AD9">
        <w:t xml:space="preserve"> pro </w:t>
      </w:r>
      <w:r>
        <w:t>orgány</w:t>
      </w:r>
      <w:r w:rsidR="00A83AD9">
        <w:t xml:space="preserve"> pro </w:t>
      </w:r>
      <w:r>
        <w:t>rovné zacházení.</w:t>
      </w:r>
    </w:p>
    <w:p w14:paraId="291A1445" w14:textId="77777777" w:rsidR="00197FD1" w:rsidRDefault="00197FD1" w:rsidP="00197FD1">
      <w:pPr>
        <w:autoSpaceDE w:val="0"/>
        <w:autoSpaceDN w:val="0"/>
        <w:rPr>
          <w:i/>
          <w:iCs/>
        </w:rPr>
      </w:pPr>
    </w:p>
    <w:p w14:paraId="68886ED6" w14:textId="77777777" w:rsidR="00197FD1" w:rsidRDefault="00197FD1" w:rsidP="00197FD1">
      <w:pPr>
        <w:pStyle w:val="Zkladntext"/>
        <w:rPr>
          <w:rFonts w:cs="Calibri"/>
          <w:color w:val="000000"/>
        </w:rPr>
      </w:pPr>
    </w:p>
    <w:p w14:paraId="5510E46D" w14:textId="77777777" w:rsidR="00197FD1" w:rsidRDefault="00197FD1" w:rsidP="00197FD1">
      <w:pPr>
        <w:pStyle w:val="Zkladntext"/>
      </w:pPr>
    </w:p>
    <w:p w14:paraId="04181DE4" w14:textId="77777777" w:rsidR="00197FD1" w:rsidRDefault="00197FD1" w:rsidP="00197FD1">
      <w:pPr>
        <w:pStyle w:val="Zkladntext"/>
      </w:pPr>
    </w:p>
    <w:p w14:paraId="67B440E6" w14:textId="77777777" w:rsidR="005662CE" w:rsidRPr="005662CE" w:rsidRDefault="005662CE" w:rsidP="005662CE">
      <w:pPr>
        <w:pStyle w:val="Zkladntext"/>
      </w:pPr>
    </w:p>
    <w:p w14:paraId="59E82EB9" w14:textId="5D4EEC91" w:rsidR="005662CE" w:rsidRDefault="005662CE" w:rsidP="005662CE">
      <w:pPr>
        <w:pStyle w:val="Zkladntext"/>
      </w:pPr>
      <w:r>
        <w:t xml:space="preserve"> </w:t>
      </w:r>
    </w:p>
    <w:p w14:paraId="47F7153A" w14:textId="77777777" w:rsidR="005662CE" w:rsidRPr="005662CE" w:rsidRDefault="005662CE" w:rsidP="005662CE">
      <w:pPr>
        <w:pStyle w:val="Zkladntext"/>
      </w:pPr>
    </w:p>
    <w:p w14:paraId="2426F321" w14:textId="77777777" w:rsidR="005A55A9" w:rsidRDefault="009165F6" w:rsidP="0039224B">
      <w:pPr>
        <w:pStyle w:val="Nadpis2"/>
      </w:pPr>
      <w:bookmarkStart w:id="47" w:name="_Toc141694114"/>
      <w:r>
        <w:t>Sledování</w:t>
      </w:r>
      <w:r w:rsidR="005A55A9">
        <w:t xml:space="preserve"> práv lidí se zdravotním postižením</w:t>
      </w:r>
      <w:bookmarkEnd w:id="47"/>
    </w:p>
    <w:p w14:paraId="0549F828" w14:textId="3F0D31EC" w:rsidR="0001457E" w:rsidRDefault="0001457E" w:rsidP="0001457E">
      <w:pPr>
        <w:pStyle w:val="Zkladntext"/>
      </w:pPr>
      <w:r w:rsidRPr="003F0CE9">
        <w:t>Počínaje lednem 2018 ochránce zastává také funkci monitorovacího orgánu</w:t>
      </w:r>
      <w:r w:rsidR="00A83AD9">
        <w:t xml:space="preserve"> pro </w:t>
      </w:r>
      <w:r w:rsidRPr="003F0CE9">
        <w:t>naplňování práv zakotvených Úmluvou</w:t>
      </w:r>
      <w:r w:rsidR="00A83AD9">
        <w:t xml:space="preserve"> o </w:t>
      </w:r>
      <w:r w:rsidRPr="003F0CE9">
        <w:t>právec</w:t>
      </w:r>
      <w:r>
        <w:t>h osob se zdravotním postižením.</w:t>
      </w:r>
    </w:p>
    <w:p w14:paraId="4B449A97" w14:textId="2B9B9DC6" w:rsidR="003110A7" w:rsidRDefault="003110A7" w:rsidP="003110A7">
      <w:pPr>
        <w:pStyle w:val="Nadpis3"/>
      </w:pPr>
      <w:bookmarkStart w:id="48" w:name="_Toc141694115"/>
      <w:r w:rsidRPr="003110A7">
        <w:t>Souhlas opatrovance</w:t>
      </w:r>
      <w:r w:rsidR="00A83AD9">
        <w:t xml:space="preserve"> s </w:t>
      </w:r>
      <w:r w:rsidRPr="003110A7">
        <w:t>jednotlivými úkony opatrovníka, nahlížení</w:t>
      </w:r>
      <w:r w:rsidR="00A83AD9">
        <w:t xml:space="preserve"> do </w:t>
      </w:r>
      <w:r w:rsidRPr="003110A7">
        <w:t>opatrovnického spisu</w:t>
      </w:r>
      <w:r w:rsidR="00A83AD9">
        <w:t xml:space="preserve"> a </w:t>
      </w:r>
      <w:r w:rsidRPr="003110A7">
        <w:t>efektivní výkon opatrovnictví (sp. zn.</w:t>
      </w:r>
      <w:r w:rsidRPr="00ED4F91">
        <w:t xml:space="preserve"> </w:t>
      </w:r>
      <w:r>
        <w:t>6528</w:t>
      </w:r>
      <w:r w:rsidRPr="008D4F1F">
        <w:t>/20</w:t>
      </w:r>
      <w:r>
        <w:t>23</w:t>
      </w:r>
      <w:r w:rsidRPr="008D4F1F">
        <w:t>/</w:t>
      </w:r>
      <w:r>
        <w:t>VOP)</w:t>
      </w:r>
      <w:r>
        <w:rPr>
          <w:rStyle w:val="Znakapoznpodarou"/>
        </w:rPr>
        <w:footnoteReference w:id="25"/>
      </w:r>
      <w:bookmarkEnd w:id="48"/>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67"/>
        <w:gridCol w:w="7927"/>
      </w:tblGrid>
      <w:tr w:rsidR="003110A7" w14:paraId="184A682D" w14:textId="77777777" w:rsidTr="006422AA">
        <w:tc>
          <w:tcPr>
            <w:tcW w:w="567" w:type="dxa"/>
          </w:tcPr>
          <w:p w14:paraId="21EB7ED4" w14:textId="77777777" w:rsidR="003110A7" w:rsidRDefault="003110A7" w:rsidP="006422AA">
            <w:pPr>
              <w:pStyle w:val="Zkladntext"/>
              <w:jc w:val="center"/>
            </w:pPr>
            <w:r>
              <w:rPr>
                <w:noProof/>
              </w:rPr>
              <w:drawing>
                <wp:anchor distT="0" distB="0" distL="114300" distR="114300" simplePos="0" relativeHeight="251668480" behindDoc="0" locked="0" layoutInCell="1" allowOverlap="1" wp14:anchorId="2BC98D3B" wp14:editId="6E3BCAF3">
                  <wp:simplePos x="0" y="0"/>
                  <wp:positionH relativeFrom="column">
                    <wp:posOffset>-3810</wp:posOffset>
                  </wp:positionH>
                  <wp:positionV relativeFrom="paragraph">
                    <wp:posOffset>5715</wp:posOffset>
                  </wp:positionV>
                  <wp:extent cx="283210" cy="283210"/>
                  <wp:effectExtent l="0" t="0" r="0" b="2540"/>
                  <wp:wrapNone/>
                  <wp:docPr id="8" name="Grafický objekt 89" descr="Žárov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Lightbulb.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85"/>
                              </a:ext>
                            </a:extLst>
                          </a:blip>
                          <a:stretch>
                            <a:fillRect/>
                          </a:stretch>
                        </pic:blipFill>
                        <pic:spPr>
                          <a:xfrm>
                            <a:off x="0" y="0"/>
                            <a:ext cx="283210" cy="283210"/>
                          </a:xfrm>
                          <a:prstGeom prst="rect">
                            <a:avLst/>
                          </a:prstGeom>
                        </pic:spPr>
                      </pic:pic>
                    </a:graphicData>
                  </a:graphic>
                </wp:anchor>
              </w:drawing>
            </w:r>
          </w:p>
        </w:tc>
        <w:tc>
          <w:tcPr>
            <w:tcW w:w="7927" w:type="dxa"/>
          </w:tcPr>
          <w:p w14:paraId="42DBF0AB" w14:textId="55EF23C7" w:rsidR="003110A7" w:rsidRPr="003110A7" w:rsidRDefault="003110A7" w:rsidP="003110A7">
            <w:pPr>
              <w:pStyle w:val="Zkladntext"/>
              <w:rPr>
                <w:rStyle w:val="Siln"/>
                <w:b w:val="0"/>
              </w:rPr>
            </w:pPr>
            <w:r w:rsidRPr="003110A7">
              <w:rPr>
                <w:rStyle w:val="Siln"/>
                <w:b w:val="0"/>
              </w:rPr>
              <w:t>I.</w:t>
            </w:r>
            <w:r w:rsidR="00A83AD9">
              <w:rPr>
                <w:rStyle w:val="Siln"/>
                <w:b w:val="0"/>
              </w:rPr>
              <w:t xml:space="preserve"> K </w:t>
            </w:r>
            <w:r w:rsidRPr="003110A7">
              <w:rPr>
                <w:rStyle w:val="Siln"/>
                <w:b w:val="0"/>
              </w:rPr>
              <w:t>jednotlivým jednáním</w:t>
            </w:r>
            <w:r w:rsidR="00A83AD9">
              <w:rPr>
                <w:rStyle w:val="Siln"/>
                <w:b w:val="0"/>
              </w:rPr>
              <w:t xml:space="preserve"> v </w:t>
            </w:r>
            <w:r w:rsidRPr="003110A7">
              <w:rPr>
                <w:rStyle w:val="Siln"/>
                <w:b w:val="0"/>
              </w:rPr>
              <w:t>rámci zástupčího oprávnění nepotřebuje opatrovník písemný souhlas opatrovance. Musí však vycházet</w:t>
            </w:r>
            <w:r w:rsidR="00A83AD9">
              <w:rPr>
                <w:rStyle w:val="Siln"/>
                <w:b w:val="0"/>
              </w:rPr>
              <w:t xml:space="preserve"> z </w:t>
            </w:r>
            <w:r w:rsidRPr="003110A7">
              <w:rPr>
                <w:rStyle w:val="Siln"/>
                <w:b w:val="0"/>
              </w:rPr>
              <w:t>jeho přání</w:t>
            </w:r>
            <w:r w:rsidR="00A83AD9">
              <w:rPr>
                <w:rStyle w:val="Siln"/>
                <w:b w:val="0"/>
              </w:rPr>
              <w:t xml:space="preserve"> a </w:t>
            </w:r>
            <w:r w:rsidRPr="003110A7">
              <w:rPr>
                <w:rStyle w:val="Siln"/>
                <w:b w:val="0"/>
              </w:rPr>
              <w:t>postupovat</w:t>
            </w:r>
            <w:r w:rsidR="00A83AD9">
              <w:rPr>
                <w:rStyle w:val="Siln"/>
                <w:b w:val="0"/>
              </w:rPr>
              <w:t xml:space="preserve"> v </w:t>
            </w:r>
            <w:r w:rsidRPr="003110A7">
              <w:rPr>
                <w:rStyle w:val="Siln"/>
                <w:b w:val="0"/>
              </w:rPr>
              <w:t xml:space="preserve">jeho zájmu. </w:t>
            </w:r>
          </w:p>
          <w:p w14:paraId="0AACB916" w14:textId="0519660F" w:rsidR="003110A7" w:rsidRPr="003110A7" w:rsidRDefault="003110A7" w:rsidP="003110A7">
            <w:pPr>
              <w:pStyle w:val="Zkladntext"/>
              <w:rPr>
                <w:rStyle w:val="Siln"/>
                <w:b w:val="0"/>
              </w:rPr>
            </w:pPr>
            <w:r w:rsidRPr="003110A7">
              <w:rPr>
                <w:rStyle w:val="Siln"/>
                <w:b w:val="0"/>
              </w:rPr>
              <w:t>II. Žádný předpis neukládá opatrovníkovi povinnost umožnit opatrovanci nahlížet</w:t>
            </w:r>
            <w:r w:rsidR="00A83AD9">
              <w:rPr>
                <w:rStyle w:val="Siln"/>
                <w:b w:val="0"/>
              </w:rPr>
              <w:t xml:space="preserve"> do </w:t>
            </w:r>
            <w:r w:rsidRPr="003110A7">
              <w:rPr>
                <w:rStyle w:val="Siln"/>
                <w:b w:val="0"/>
              </w:rPr>
              <w:t>opatrovnického spisu nebo mu přeposílat korespondenci</w:t>
            </w:r>
            <w:r w:rsidR="00A83AD9">
              <w:rPr>
                <w:rStyle w:val="Siln"/>
                <w:b w:val="0"/>
              </w:rPr>
              <w:t xml:space="preserve"> od </w:t>
            </w:r>
            <w:r w:rsidRPr="003110A7">
              <w:rPr>
                <w:rStyle w:val="Siln"/>
                <w:b w:val="0"/>
              </w:rPr>
              <w:t>soudů adresovanou přímo opatrovníkovi.</w:t>
            </w:r>
          </w:p>
          <w:p w14:paraId="626D5B0A" w14:textId="7B80553B" w:rsidR="003110A7" w:rsidRDefault="003110A7" w:rsidP="003110A7">
            <w:pPr>
              <w:pStyle w:val="Zkladntext"/>
            </w:pPr>
            <w:r w:rsidRPr="003110A7">
              <w:rPr>
                <w:rStyle w:val="Siln"/>
                <w:b w:val="0"/>
              </w:rPr>
              <w:t>III. Opatrovník má povinnost aktivně řešit dlouhodobé konflikty</w:t>
            </w:r>
            <w:r w:rsidR="00A83AD9">
              <w:rPr>
                <w:rStyle w:val="Siln"/>
                <w:b w:val="0"/>
              </w:rPr>
              <w:t xml:space="preserve"> s </w:t>
            </w:r>
            <w:r w:rsidRPr="003110A7">
              <w:rPr>
                <w:rStyle w:val="Siln"/>
                <w:b w:val="0"/>
              </w:rPr>
              <w:t>opatrovancem, aby byl výkon opatrovnictví efektivní. Může například pověřit opatrovnictvím jinou osobu, nebo podat návrh</w:t>
            </w:r>
            <w:r w:rsidR="00A83AD9">
              <w:rPr>
                <w:rStyle w:val="Siln"/>
                <w:b w:val="0"/>
              </w:rPr>
              <w:t xml:space="preserve"> na </w:t>
            </w:r>
            <w:r w:rsidRPr="003110A7">
              <w:rPr>
                <w:rStyle w:val="Siln"/>
                <w:b w:val="0"/>
              </w:rPr>
              <w:t>změnu opatrovníka, pokud opatrovanec dlouhodobě pobývá</w:t>
            </w:r>
            <w:r w:rsidR="00A83AD9">
              <w:rPr>
                <w:rStyle w:val="Siln"/>
                <w:b w:val="0"/>
              </w:rPr>
              <w:t xml:space="preserve"> v </w:t>
            </w:r>
            <w:r w:rsidRPr="003110A7">
              <w:rPr>
                <w:rStyle w:val="Siln"/>
                <w:b w:val="0"/>
              </w:rPr>
              <w:t xml:space="preserve">jiné obci.   </w:t>
            </w:r>
          </w:p>
        </w:tc>
      </w:tr>
    </w:tbl>
    <w:p w14:paraId="16E33BF3" w14:textId="77777777" w:rsidR="003110A7" w:rsidRDefault="003110A7" w:rsidP="003110A7">
      <w:pPr>
        <w:pStyle w:val="Zkladntext"/>
      </w:pPr>
    </w:p>
    <w:p w14:paraId="69AA5D80" w14:textId="1D3821B5" w:rsidR="003110A7" w:rsidRDefault="003110A7" w:rsidP="003110A7">
      <w:pPr>
        <w:pStyle w:val="Zkladntext"/>
      </w:pPr>
      <w:r>
        <w:t>Žena si stěžovala</w:t>
      </w:r>
      <w:r w:rsidR="00A83AD9">
        <w:t xml:space="preserve"> na </w:t>
      </w:r>
      <w:r>
        <w:t xml:space="preserve">svou veřejnou opatrovnici (starostku obce). Namítala, že: </w:t>
      </w:r>
    </w:p>
    <w:p w14:paraId="47D1ED36" w14:textId="4DF01CA8" w:rsidR="003110A7" w:rsidRDefault="003110A7" w:rsidP="003110A7">
      <w:pPr>
        <w:pStyle w:val="Zkladntext"/>
        <w:numPr>
          <w:ilvl w:val="0"/>
          <w:numId w:val="35"/>
        </w:numPr>
        <w:spacing w:before="200"/>
      </w:pPr>
      <w:r>
        <w:t>jí brání</w:t>
      </w:r>
      <w:r w:rsidR="00A83AD9">
        <w:t xml:space="preserve"> ve </w:t>
      </w:r>
      <w:r>
        <w:t>výkonu procesních práv,</w:t>
      </w:r>
    </w:p>
    <w:p w14:paraId="5B86182B" w14:textId="3B24E200" w:rsidR="003110A7" w:rsidRDefault="003110A7" w:rsidP="003110A7">
      <w:pPr>
        <w:pStyle w:val="Zkladntext"/>
        <w:numPr>
          <w:ilvl w:val="0"/>
          <w:numId w:val="35"/>
        </w:numPr>
        <w:spacing w:before="200"/>
      </w:pPr>
      <w:r>
        <w:t>ji zastupuje</w:t>
      </w:r>
      <w:r w:rsidR="00A83AD9">
        <w:t xml:space="preserve"> v </w:t>
      </w:r>
      <w:r>
        <w:t>jednání před úřady, ačkoliv</w:t>
      </w:r>
      <w:r w:rsidR="00A83AD9">
        <w:t xml:space="preserve"> k </w:t>
      </w:r>
      <w:r>
        <w:t xml:space="preserve">tomu nemá oprávnění, </w:t>
      </w:r>
    </w:p>
    <w:p w14:paraId="425A0482" w14:textId="70E3BD6C" w:rsidR="003110A7" w:rsidRDefault="003110A7" w:rsidP="003110A7">
      <w:pPr>
        <w:pStyle w:val="Zkladntext"/>
        <w:numPr>
          <w:ilvl w:val="0"/>
          <w:numId w:val="35"/>
        </w:numPr>
        <w:spacing w:before="200"/>
      </w:pPr>
      <w:r>
        <w:t>za ní jedná bez jejího písemného souhlasu,</w:t>
      </w:r>
      <w:r w:rsidR="00A83AD9">
        <w:t xml:space="preserve"> v </w:t>
      </w:r>
      <w:r>
        <w:t>oblastech,</w:t>
      </w:r>
      <w:r w:rsidR="00A83AD9">
        <w:t xml:space="preserve"> ve </w:t>
      </w:r>
      <w:r>
        <w:t>kterých ji může zastupovat,</w:t>
      </w:r>
      <w:r w:rsidR="00A83AD9">
        <w:t xml:space="preserve"> a </w:t>
      </w:r>
    </w:p>
    <w:p w14:paraId="126BD5BB" w14:textId="7622BB70" w:rsidR="003110A7" w:rsidRDefault="003110A7" w:rsidP="003110A7">
      <w:pPr>
        <w:pStyle w:val="Zkladntext"/>
        <w:numPr>
          <w:ilvl w:val="0"/>
          <w:numId w:val="35"/>
        </w:numPr>
        <w:spacing w:before="200"/>
      </w:pPr>
      <w:r>
        <w:t>jí neumožňuje nahlížet</w:t>
      </w:r>
      <w:r w:rsidR="00A83AD9">
        <w:t xml:space="preserve"> do </w:t>
      </w:r>
      <w:r>
        <w:t xml:space="preserve">opatrovnického spisu. </w:t>
      </w:r>
    </w:p>
    <w:p w14:paraId="4DF32CFE" w14:textId="6D73544A" w:rsidR="003110A7" w:rsidRDefault="003110A7" w:rsidP="003110A7">
      <w:pPr>
        <w:pStyle w:val="Zkladntext"/>
      </w:pPr>
      <w:r>
        <w:t>Vztahy mezi opatrovnicí</w:t>
      </w:r>
      <w:r w:rsidR="00A83AD9">
        <w:t xml:space="preserve"> a </w:t>
      </w:r>
      <w:r>
        <w:t>opatrovanou byly natolik vyhrocené, že</w:t>
      </w:r>
      <w:r w:rsidR="00A83AD9">
        <w:t xml:space="preserve"> na </w:t>
      </w:r>
      <w:r>
        <w:t xml:space="preserve">sebe obě ženy podaly několik trestních oznámení. Proto </w:t>
      </w:r>
      <w:r w:rsidR="001438B9">
        <w:t xml:space="preserve">ochránce </w:t>
      </w:r>
      <w:r>
        <w:t>doporučil opatrovnici, aby pověřila jiného zaměstnance obce výkonem opatrovnictví nebo požádala soud</w:t>
      </w:r>
      <w:r w:rsidR="00A83AD9">
        <w:t xml:space="preserve"> o </w:t>
      </w:r>
      <w:r>
        <w:t>změnu opatrovníka,</w:t>
      </w:r>
      <w:r w:rsidR="00A83AD9">
        <w:t xml:space="preserve"> z </w:t>
      </w:r>
      <w:r>
        <w:t>důvodu dlouhodobého pobytu opatrované</w:t>
      </w:r>
      <w:r w:rsidR="00A83AD9">
        <w:t xml:space="preserve"> v </w:t>
      </w:r>
      <w:r>
        <w:t xml:space="preserve">jiné obci. Současně </w:t>
      </w:r>
      <w:r w:rsidR="001438B9">
        <w:t xml:space="preserve">ochránce </w:t>
      </w:r>
      <w:r>
        <w:t>opatrovnici vytkl, že opakovaně překračovala zástupčí oprávnění svěřené jí soudem, nekonzultovala</w:t>
      </w:r>
      <w:r w:rsidR="00A83AD9">
        <w:t xml:space="preserve"> s </w:t>
      </w:r>
      <w:r>
        <w:t>opatrovanou zpětvzetí některých podání</w:t>
      </w:r>
      <w:r w:rsidR="00A83AD9">
        <w:t xml:space="preserve"> a </w:t>
      </w:r>
      <w:r>
        <w:t>dále že podala žádost</w:t>
      </w:r>
      <w:r w:rsidR="00A83AD9">
        <w:t xml:space="preserve"> o </w:t>
      </w:r>
      <w:r>
        <w:t>umístění opatrované</w:t>
      </w:r>
      <w:r w:rsidR="00A83AD9">
        <w:t xml:space="preserve"> do </w:t>
      </w:r>
      <w:r>
        <w:t>domova</w:t>
      </w:r>
      <w:r w:rsidR="00A83AD9">
        <w:t xml:space="preserve"> pro </w:t>
      </w:r>
      <w:r>
        <w:t>osoby se zdravotním postižením, aniž by proto byly důvody. Opatrovnice podle nás naopak nepochybila, když si nevyžádala písemný souhlas opatrované</w:t>
      </w:r>
      <w:r w:rsidR="00A83AD9">
        <w:t xml:space="preserve"> k </w:t>
      </w:r>
      <w:r>
        <w:t>jednotlivým úkonům,</w:t>
      </w:r>
      <w:r w:rsidR="00A83AD9">
        <w:t xml:space="preserve"> ve </w:t>
      </w:r>
      <w:r>
        <w:t>kterých byla oprávněna ji zastupovat. Ani když jí neumožnila nahlížet</w:t>
      </w:r>
      <w:r w:rsidR="00A83AD9">
        <w:t xml:space="preserve"> do </w:t>
      </w:r>
      <w:r>
        <w:t>opatrovnického spisu. Žádný zákon totiž právo opatrovance nahlížet</w:t>
      </w:r>
      <w:r w:rsidR="00A83AD9">
        <w:t xml:space="preserve"> do </w:t>
      </w:r>
      <w:r>
        <w:t>opatrovnického spisu neupravuje.</w:t>
      </w:r>
    </w:p>
    <w:p w14:paraId="0511DFBF" w14:textId="6CAA7018" w:rsidR="003110A7" w:rsidRDefault="003110A7" w:rsidP="003110A7">
      <w:pPr>
        <w:pStyle w:val="Zkladntext"/>
      </w:pPr>
      <w:r>
        <w:t>Starostka obce se</w:t>
      </w:r>
      <w:r w:rsidR="00A83AD9">
        <w:t xml:space="preserve"> k </w:t>
      </w:r>
      <w:r>
        <w:t xml:space="preserve">závěrům </w:t>
      </w:r>
      <w:r w:rsidR="001438B9">
        <w:t xml:space="preserve">ochránce </w:t>
      </w:r>
      <w:r>
        <w:t>ani přes urgenci nevyjádřila. Situaci se podařilo vyřešit tím, že známý opatrované souhlasil</w:t>
      </w:r>
      <w:r w:rsidR="00A83AD9">
        <w:t xml:space="preserve"> s </w:t>
      </w:r>
      <w:r>
        <w:t xml:space="preserve">převzetím opatrovnictví. Přestože </w:t>
      </w:r>
      <w:r w:rsidR="001438B9">
        <w:t xml:space="preserve">ochránce </w:t>
      </w:r>
      <w:r>
        <w:t>šetření ukončil, doporučil starostce obce několik opatření</w:t>
      </w:r>
      <w:r w:rsidR="00A83AD9">
        <w:t xml:space="preserve"> pro </w:t>
      </w:r>
      <w:r>
        <w:t>případ, že by se</w:t>
      </w:r>
      <w:r w:rsidR="00A83AD9">
        <w:t xml:space="preserve"> v </w:t>
      </w:r>
      <w:r>
        <w:t>budoucnu opět stala opatrovnicí. Jedním</w:t>
      </w:r>
      <w:r w:rsidR="00A83AD9">
        <w:t xml:space="preserve"> z </w:t>
      </w:r>
      <w:r>
        <w:t>nich je absolvování vzdělání</w:t>
      </w:r>
      <w:r w:rsidR="00A83AD9">
        <w:t xml:space="preserve"> a </w:t>
      </w:r>
      <w:r>
        <w:t>zkoušky odborné způsobilosti</w:t>
      </w:r>
      <w:r w:rsidR="00A83AD9">
        <w:t xml:space="preserve"> pro </w:t>
      </w:r>
      <w:r>
        <w:t>výkon veřejného opatrovnictví.</w:t>
      </w:r>
    </w:p>
    <w:p w14:paraId="798B3C25" w14:textId="0E69B662" w:rsidR="003110A7" w:rsidRDefault="003110A7" w:rsidP="003110A7">
      <w:pPr>
        <w:pStyle w:val="Zkladntext"/>
      </w:pPr>
      <w:r>
        <w:t>Šetřený případ ilustruje neutěšenou situaci</w:t>
      </w:r>
      <w:r w:rsidR="00A83AD9">
        <w:t xml:space="preserve"> v </w:t>
      </w:r>
      <w:r>
        <w:t>oblasti veřejného opatrovnictví,</w:t>
      </w:r>
      <w:r w:rsidR="00A83AD9">
        <w:t xml:space="preserve"> na </w:t>
      </w:r>
      <w:r>
        <w:t xml:space="preserve">kterou </w:t>
      </w:r>
      <w:r w:rsidR="001438B9">
        <w:t xml:space="preserve">ochránce </w:t>
      </w:r>
      <w:r>
        <w:t>upozornil již</w:t>
      </w:r>
      <w:r w:rsidR="00A83AD9">
        <w:t xml:space="preserve"> ve </w:t>
      </w:r>
      <w:r>
        <w:t xml:space="preserve">Výroční zprávě </w:t>
      </w:r>
      <w:r w:rsidR="001438B9">
        <w:t xml:space="preserve">veřejného </w:t>
      </w:r>
      <w:r>
        <w:t>ochránce</w:t>
      </w:r>
      <w:r w:rsidR="001438B9">
        <w:t xml:space="preserve"> práv</w:t>
      </w:r>
      <w:r w:rsidR="00A83AD9">
        <w:t xml:space="preserve"> za </w:t>
      </w:r>
      <w:r>
        <w:t>rok 2021.</w:t>
      </w:r>
      <w:r>
        <w:rPr>
          <w:rStyle w:val="Znakapoznpodarou"/>
        </w:rPr>
        <w:footnoteReference w:id="26"/>
      </w:r>
      <w:r>
        <w:t xml:space="preserve">  </w:t>
      </w:r>
    </w:p>
    <w:p w14:paraId="0D80F816" w14:textId="10735306" w:rsidR="002138A0" w:rsidRPr="002138A0" w:rsidRDefault="002138A0" w:rsidP="006422AA">
      <w:pPr>
        <w:pStyle w:val="Nadpis3"/>
      </w:pPr>
      <w:bookmarkStart w:id="49" w:name="_Toc141694116"/>
      <w:r>
        <w:t>Výsledek uplatněných p</w:t>
      </w:r>
      <w:r w:rsidRPr="002138A0">
        <w:t>řipomín</w:t>
      </w:r>
      <w:r>
        <w:t>ek</w:t>
      </w:r>
      <w:r w:rsidR="00A83AD9">
        <w:t xml:space="preserve"> k </w:t>
      </w:r>
      <w:r w:rsidRPr="002138A0">
        <w:t>novele zákona</w:t>
      </w:r>
      <w:r w:rsidR="00A83AD9">
        <w:t xml:space="preserve"> o </w:t>
      </w:r>
      <w:r w:rsidRPr="002138A0">
        <w:t>vysokých školách</w:t>
      </w:r>
      <w:r>
        <w:rPr>
          <w:rStyle w:val="Znakapoznpodarou"/>
        </w:rPr>
        <w:footnoteReference w:id="27"/>
      </w:r>
      <w:bookmarkEnd w:id="49"/>
    </w:p>
    <w:p w14:paraId="27BA1F43" w14:textId="5FCBF651" w:rsidR="002138A0" w:rsidRDefault="002138A0" w:rsidP="002138A0">
      <w:pPr>
        <w:spacing w:before="120" w:after="120"/>
        <w:contextualSpacing/>
        <w:jc w:val="both"/>
        <w:rPr>
          <w:rFonts w:cs="Calibri"/>
        </w:rPr>
      </w:pPr>
      <w:r w:rsidRPr="00A50D7E">
        <w:t>Veřejný ochránce práv u</w:t>
      </w:r>
      <w:r>
        <w:t>platnil</w:t>
      </w:r>
      <w:r w:rsidRPr="00A50D7E">
        <w:t xml:space="preserve"> připomínky</w:t>
      </w:r>
      <w:r w:rsidR="00A83AD9">
        <w:t xml:space="preserve"> ke </w:t>
      </w:r>
      <w:r w:rsidRPr="00A50D7E">
        <w:t xml:space="preserve">třem bodům </w:t>
      </w:r>
      <w:r w:rsidRPr="00A50D7E">
        <w:rPr>
          <w:bCs/>
        </w:rPr>
        <w:t xml:space="preserve">navrhované </w:t>
      </w:r>
      <w:r>
        <w:rPr>
          <w:bCs/>
        </w:rPr>
        <w:t>novely</w:t>
      </w:r>
      <w:r w:rsidRPr="00A50D7E">
        <w:rPr>
          <w:bCs/>
        </w:rPr>
        <w:t xml:space="preserve"> zákona</w:t>
      </w:r>
      <w:r w:rsidR="00A83AD9">
        <w:t xml:space="preserve"> o </w:t>
      </w:r>
      <w:r w:rsidRPr="00A50D7E">
        <w:rPr>
          <w:bCs/>
        </w:rPr>
        <w:t>vysokých školách</w:t>
      </w:r>
      <w:r w:rsidRPr="00A50D7E">
        <w:t>. Vychází</w:t>
      </w:r>
      <w:r w:rsidR="00A83AD9">
        <w:t xml:space="preserve"> v </w:t>
      </w:r>
      <w:r w:rsidRPr="00A50D7E">
        <w:t>nich</w:t>
      </w:r>
      <w:r w:rsidR="00A83AD9">
        <w:t xml:space="preserve"> z </w:t>
      </w:r>
      <w:r w:rsidRPr="00A50D7E">
        <w:t xml:space="preserve">článku 24 Úmluvy. Ten zavazuje </w:t>
      </w:r>
      <w:r>
        <w:t xml:space="preserve">smluvní </w:t>
      </w:r>
      <w:r w:rsidRPr="00A50D7E">
        <w:t>státy</w:t>
      </w:r>
      <w:r w:rsidR="00A83AD9">
        <w:t xml:space="preserve"> k </w:t>
      </w:r>
      <w:r w:rsidRPr="00A50D7E">
        <w:t>zajištění začleňujícího systému vzdělávání</w:t>
      </w:r>
      <w:r w:rsidR="00A83AD9">
        <w:t xml:space="preserve"> na </w:t>
      </w:r>
      <w:r w:rsidRPr="00A50D7E">
        <w:t>všech úrovních, tedy včetně terciární.</w:t>
      </w:r>
      <w:r w:rsidR="00A83AD9">
        <w:t xml:space="preserve"> Za </w:t>
      </w:r>
      <w:r w:rsidRPr="00A50D7E">
        <w:t xml:space="preserve">tímto účelem </w:t>
      </w:r>
      <w:r>
        <w:t>jim ukládá povinnost</w:t>
      </w:r>
      <w:r w:rsidRPr="00A50D7E">
        <w:t>, aby lidem</w:t>
      </w:r>
      <w:r w:rsidR="00A83AD9">
        <w:t xml:space="preserve"> s </w:t>
      </w:r>
      <w:r w:rsidRPr="00A50D7E">
        <w:t>postižením poskyt</w:t>
      </w:r>
      <w:r>
        <w:t>ovaly přiměřené úpravy. Totožné stanovisko</w:t>
      </w:r>
      <w:r w:rsidRPr="00A50D7E">
        <w:t xml:space="preserve"> zastává</w:t>
      </w:r>
      <w:r w:rsidR="00A83AD9">
        <w:t xml:space="preserve"> ve </w:t>
      </w:r>
      <w:r w:rsidRPr="00A50D7E">
        <w:t xml:space="preserve">svém přijatém usnesení stran práv studentů se </w:t>
      </w:r>
      <w:r>
        <w:t>specifickými</w:t>
      </w:r>
      <w:r w:rsidRPr="00A50D7E">
        <w:t xml:space="preserve"> potřebami také poradní orgán ochránce</w:t>
      </w:r>
      <w:r w:rsidR="00A83AD9">
        <w:t xml:space="preserve"> pro </w:t>
      </w:r>
      <w:r>
        <w:t>oblast ochrany práv lidí</w:t>
      </w:r>
      <w:r w:rsidR="00A83AD9">
        <w:t xml:space="preserve"> s </w:t>
      </w:r>
      <w:r>
        <w:t>postižením</w:t>
      </w:r>
      <w:r w:rsidRPr="00A50D7E">
        <w:t>.</w:t>
      </w:r>
      <w:r>
        <w:t xml:space="preserve"> </w:t>
      </w:r>
      <w:r w:rsidRPr="00A50D7E">
        <w:rPr>
          <w:rFonts w:cs="Calibri"/>
        </w:rPr>
        <w:t xml:space="preserve">Předkládaná novela </w:t>
      </w:r>
      <w:r w:rsidRPr="00A50D7E">
        <w:rPr>
          <w:bCs/>
        </w:rPr>
        <w:t>zavazuje</w:t>
      </w:r>
      <w:r w:rsidRPr="00A50D7E">
        <w:rPr>
          <w:rFonts w:cs="Calibri"/>
        </w:rPr>
        <w:t xml:space="preserve"> vysoké školy, soukromé nevyjímaje, aby</w:t>
      </w:r>
      <w:r w:rsidR="00A83AD9">
        <w:rPr>
          <w:rFonts w:cs="Calibri"/>
        </w:rPr>
        <w:t xml:space="preserve"> pro </w:t>
      </w:r>
      <w:r w:rsidRPr="00A50D7E">
        <w:rPr>
          <w:rFonts w:cs="Calibri"/>
        </w:rPr>
        <w:t xml:space="preserve">takové studenty </w:t>
      </w:r>
      <w:r w:rsidRPr="00A50D7E">
        <w:rPr>
          <w:bCs/>
        </w:rPr>
        <w:t>zajišťovaly přiměřená podpůrná opatření</w:t>
      </w:r>
      <w:r w:rsidRPr="00A50D7E">
        <w:rPr>
          <w:rFonts w:cs="Calibri"/>
        </w:rPr>
        <w:t>, což ochránce vítá</w:t>
      </w:r>
      <w:r w:rsidRPr="00A50D7E">
        <w:t xml:space="preserve">. </w:t>
      </w:r>
      <w:r w:rsidR="007B3D41">
        <w:t xml:space="preserve">Ochránce má </w:t>
      </w:r>
      <w:r w:rsidRPr="00A50D7E">
        <w:t>výhrady</w:t>
      </w:r>
      <w:r w:rsidR="00A83AD9">
        <w:t xml:space="preserve"> k </w:t>
      </w:r>
      <w:r w:rsidRPr="00A50D7E">
        <w:rPr>
          <w:bCs/>
        </w:rPr>
        <w:t>zavádějící formu</w:t>
      </w:r>
      <w:r w:rsidRPr="00A50D7E">
        <w:rPr>
          <w:bCs/>
        </w:rPr>
        <w:softHyphen/>
        <w:t>laci stanovení této povinnosti</w:t>
      </w:r>
      <w:r w:rsidRPr="00A50D7E">
        <w:t xml:space="preserve">. Návrh rovněž </w:t>
      </w:r>
      <w:r w:rsidRPr="00A50D7E">
        <w:rPr>
          <w:bCs/>
        </w:rPr>
        <w:t>nepočítá</w:t>
      </w:r>
      <w:r w:rsidR="00A83AD9">
        <w:t xml:space="preserve"> s </w:t>
      </w:r>
      <w:r w:rsidRPr="00A50D7E">
        <w:t>poskytováním státního příspěvku</w:t>
      </w:r>
      <w:r w:rsidR="00A83AD9">
        <w:t xml:space="preserve"> k </w:t>
      </w:r>
      <w:r w:rsidRPr="00A50D7E">
        <w:rPr>
          <w:bCs/>
        </w:rPr>
        <w:t>financování</w:t>
      </w:r>
      <w:r w:rsidRPr="00A50D7E">
        <w:t xml:space="preserve"> podpůrných opatření</w:t>
      </w:r>
      <w:r w:rsidR="00A83AD9">
        <w:t xml:space="preserve"> na </w:t>
      </w:r>
      <w:r w:rsidRPr="00A50D7E">
        <w:rPr>
          <w:bCs/>
        </w:rPr>
        <w:t>soukromých školách</w:t>
      </w:r>
      <w:r w:rsidRPr="00A50D7E">
        <w:t>. Ochránce usuzuje, že je</w:t>
      </w:r>
      <w:r w:rsidRPr="00A50D7E">
        <w:rPr>
          <w:rFonts w:cs="Calibri"/>
          <w:iCs/>
        </w:rPr>
        <w:t xml:space="preserve"> </w:t>
      </w:r>
      <w:r w:rsidRPr="00A50D7E">
        <w:rPr>
          <w:bCs/>
        </w:rPr>
        <w:t>sociální úlohou státu</w:t>
      </w:r>
      <w:r w:rsidRPr="00A50D7E">
        <w:rPr>
          <w:rFonts w:cs="Calibri"/>
          <w:iCs/>
        </w:rPr>
        <w:t>, aby</w:t>
      </w:r>
      <w:r w:rsidR="00A83AD9">
        <w:rPr>
          <w:rFonts w:cs="Calibri"/>
          <w:iCs/>
        </w:rPr>
        <w:t xml:space="preserve"> s </w:t>
      </w:r>
      <w:r w:rsidRPr="00A50D7E">
        <w:rPr>
          <w:rFonts w:cs="Calibri"/>
          <w:iCs/>
        </w:rPr>
        <w:t>uložením této povinnosti vůči soukromým školám spojil také adekvátní možnost čerpat státní finanční příspěvek</w:t>
      </w:r>
      <w:r w:rsidR="00A83AD9">
        <w:rPr>
          <w:rFonts w:cs="Calibri"/>
          <w:iCs/>
        </w:rPr>
        <w:t xml:space="preserve"> k </w:t>
      </w:r>
      <w:r w:rsidRPr="00A50D7E">
        <w:rPr>
          <w:rFonts w:cs="Calibri"/>
          <w:iCs/>
        </w:rPr>
        <w:t xml:space="preserve">jejímu zajištění. </w:t>
      </w:r>
      <w:r w:rsidRPr="00A50D7E">
        <w:t>Konečně považuje ochránce</w:t>
      </w:r>
      <w:r w:rsidR="00A83AD9">
        <w:t xml:space="preserve"> za </w:t>
      </w:r>
      <w:r w:rsidRPr="00A50D7E">
        <w:t>zcela nezbyt</w:t>
      </w:r>
      <w:r w:rsidRPr="00A50D7E">
        <w:softHyphen/>
        <w:t xml:space="preserve">né </w:t>
      </w:r>
      <w:r w:rsidRPr="00A50D7E">
        <w:rPr>
          <w:bCs/>
        </w:rPr>
        <w:t>zakotvení povinnosti určit</w:t>
      </w:r>
      <w:r w:rsidR="00A83AD9">
        <w:t xml:space="preserve"> na </w:t>
      </w:r>
      <w:r w:rsidRPr="00A50D7E">
        <w:t xml:space="preserve">vysoké škole </w:t>
      </w:r>
      <w:r w:rsidRPr="00A50D7E">
        <w:rPr>
          <w:bCs/>
        </w:rPr>
        <w:t>jednotné kontaktní místo</w:t>
      </w:r>
      <w:r w:rsidR="00A83AD9">
        <w:rPr>
          <w:bCs/>
        </w:rPr>
        <w:t xml:space="preserve"> pro </w:t>
      </w:r>
      <w:r w:rsidRPr="00A50D7E">
        <w:rPr>
          <w:bCs/>
        </w:rPr>
        <w:t>studenty se specifickými potřebami</w:t>
      </w:r>
      <w:r w:rsidRPr="00A50D7E">
        <w:t>. To by mělo nést komplexní odpovědnost nejenom</w:t>
      </w:r>
      <w:r w:rsidR="00A83AD9">
        <w:t xml:space="preserve"> za </w:t>
      </w:r>
      <w:r w:rsidRPr="00A50D7E">
        <w:t>poskytnutí podpory těmto studentům, ale také</w:t>
      </w:r>
      <w:r w:rsidR="00A83AD9">
        <w:t xml:space="preserve"> za </w:t>
      </w:r>
      <w:r w:rsidRPr="00A50D7E">
        <w:t>zajištění veškeré organizace</w:t>
      </w:r>
      <w:r w:rsidR="00A83AD9">
        <w:t xml:space="preserve"> a </w:t>
      </w:r>
      <w:r w:rsidRPr="00A50D7E">
        <w:t xml:space="preserve">všestranné komunikace, </w:t>
      </w:r>
      <w:r w:rsidRPr="00A50D7E">
        <w:rPr>
          <w:rFonts w:cs="Calibri"/>
        </w:rPr>
        <w:t>které se</w:t>
      </w:r>
      <w:r w:rsidR="00A83AD9">
        <w:rPr>
          <w:rFonts w:cs="Calibri"/>
        </w:rPr>
        <w:t xml:space="preserve"> s </w:t>
      </w:r>
      <w:r w:rsidRPr="00A50D7E">
        <w:rPr>
          <w:rFonts w:cs="Calibri"/>
        </w:rPr>
        <w:t>poskyt</w:t>
      </w:r>
      <w:r w:rsidRPr="00A50D7E">
        <w:rPr>
          <w:rFonts w:cs="Calibri"/>
        </w:rPr>
        <w:softHyphen/>
        <w:t>nutím podpory pojí.</w:t>
      </w:r>
    </w:p>
    <w:p w14:paraId="4A368063" w14:textId="77777777" w:rsidR="007B3D41" w:rsidRDefault="007B3D41" w:rsidP="002138A0">
      <w:pPr>
        <w:spacing w:before="120" w:after="120"/>
        <w:contextualSpacing/>
        <w:jc w:val="both"/>
        <w:rPr>
          <w:rFonts w:cs="Calibri"/>
        </w:rPr>
      </w:pPr>
    </w:p>
    <w:p w14:paraId="2A4E1AD1" w14:textId="7EFF8874" w:rsidR="002138A0" w:rsidRDefault="002138A0" w:rsidP="002138A0">
      <w:pPr>
        <w:spacing w:before="120" w:after="120"/>
        <w:contextualSpacing/>
        <w:jc w:val="both"/>
      </w:pPr>
      <w:r w:rsidRPr="00A50D7E">
        <w:t>Předkladatel</w:t>
      </w:r>
      <w:r w:rsidR="00A83AD9">
        <w:t xml:space="preserve"> s </w:t>
      </w:r>
      <w:r w:rsidRPr="00A50D7E">
        <w:t>ochráncem</w:t>
      </w:r>
      <w:r w:rsidR="00A83AD9">
        <w:t xml:space="preserve"> v </w:t>
      </w:r>
      <w:r w:rsidRPr="00A50D7E">
        <w:t>tuto chvíli uplatněné připomínky projednává</w:t>
      </w:r>
      <w:r w:rsidR="00A83AD9">
        <w:t xml:space="preserve"> v </w:t>
      </w:r>
      <w:r w:rsidRPr="00A50D7E">
        <w:t>rámci vnějšího mezirezortního řízení, nicméně rozpor mezi nimi přetrvává.</w:t>
      </w:r>
      <w:r w:rsidR="00A83AD9">
        <w:t xml:space="preserve"> S </w:t>
      </w:r>
      <w:r w:rsidRPr="00A50D7E">
        <w:t>obdobnými požadavky se obrátil</w:t>
      </w:r>
      <w:r w:rsidR="00A83AD9">
        <w:t xml:space="preserve"> na </w:t>
      </w:r>
      <w:r w:rsidRPr="00A50D7E">
        <w:t>Ministerstvo školství také Vládní výbor</w:t>
      </w:r>
      <w:r w:rsidR="00A83AD9">
        <w:t xml:space="preserve"> pro </w:t>
      </w:r>
      <w:r w:rsidRPr="00A50D7E">
        <w:t>osoby se zdravotním postižením, který přijal</w:t>
      </w:r>
      <w:r w:rsidR="00A83AD9">
        <w:t xml:space="preserve"> ve </w:t>
      </w:r>
      <w:r w:rsidRPr="00A50D7E">
        <w:t>věci usnesení</w:t>
      </w:r>
      <w:r w:rsidR="00A83AD9">
        <w:t xml:space="preserve"> na </w:t>
      </w:r>
      <w:r w:rsidRPr="00A50D7E">
        <w:t>svém červnovém zasedání.</w:t>
      </w:r>
    </w:p>
    <w:p w14:paraId="01C1CEBB" w14:textId="09F000D6" w:rsidR="002859D7" w:rsidRDefault="004C52FA" w:rsidP="0039224B">
      <w:pPr>
        <w:pStyle w:val="Nadpis3"/>
      </w:pPr>
      <w:bookmarkStart w:id="50" w:name="_Toc141694117"/>
      <w:r>
        <w:t>Z</w:t>
      </w:r>
      <w:r w:rsidR="002859D7">
        <w:t>asedání poradního orgánu</w:t>
      </w:r>
      <w:bookmarkEnd w:id="50"/>
    </w:p>
    <w:p w14:paraId="14F7FEA2" w14:textId="6BD6AF06" w:rsidR="004C52FA" w:rsidRDefault="004C52FA" w:rsidP="004C52FA">
      <w:pPr>
        <w:pStyle w:val="Zkladntext"/>
      </w:pPr>
      <w:r>
        <w:t>V uplynulém období se poradní orgán</w:t>
      </w:r>
      <w:r w:rsidR="00A83AD9">
        <w:t xml:space="preserve"> pro </w:t>
      </w:r>
      <w:r>
        <w:t>oblast ochrany práv lidí</w:t>
      </w:r>
      <w:r w:rsidR="00A83AD9">
        <w:t xml:space="preserve"> s </w:t>
      </w:r>
      <w:r>
        <w:t>postižením sešel dvakrát.</w:t>
      </w:r>
      <w:r w:rsidR="00A83AD9">
        <w:t xml:space="preserve"> Na </w:t>
      </w:r>
      <w:r>
        <w:t>dubnovém zasedání se věnoval zejména problematice příspěvku</w:t>
      </w:r>
      <w:r w:rsidR="00A83AD9">
        <w:t xml:space="preserve"> na </w:t>
      </w:r>
      <w:r>
        <w:t>péči</w:t>
      </w:r>
      <w:r w:rsidR="00A83AD9">
        <w:t xml:space="preserve"> a </w:t>
      </w:r>
      <w:r>
        <w:t>jeho nedostatečné výši. Poradní orgán svým usnesením podpořil legislativní doporučení ochránce</w:t>
      </w:r>
      <w:r w:rsidR="00A83AD9">
        <w:t xml:space="preserve"> k </w:t>
      </w:r>
      <w:r>
        <w:t>příspěvku</w:t>
      </w:r>
      <w:r w:rsidR="00A83AD9">
        <w:t xml:space="preserve"> na </w:t>
      </w:r>
      <w:r>
        <w:t>péči</w:t>
      </w:r>
      <w:r w:rsidR="00A83AD9">
        <w:t xml:space="preserve"> a </w:t>
      </w:r>
      <w:r>
        <w:t xml:space="preserve">stejně jako on konstatoval, že je </w:t>
      </w:r>
      <w:r w:rsidRPr="00F078D2">
        <w:t>nutn</w:t>
      </w:r>
      <w:r>
        <w:t>é</w:t>
      </w:r>
      <w:r w:rsidRPr="00F078D2">
        <w:t xml:space="preserve"> příspěvek</w:t>
      </w:r>
      <w:r w:rsidR="00A83AD9">
        <w:t xml:space="preserve"> na </w:t>
      </w:r>
      <w:r w:rsidRPr="00F078D2">
        <w:t>péči nejprve navýšit tak, aby zůstala zachována jeho reálná hodnota</w:t>
      </w:r>
      <w:r w:rsidR="00A83AD9">
        <w:t xml:space="preserve"> a </w:t>
      </w:r>
      <w:r w:rsidRPr="00F078D2">
        <w:t>teprve</w:t>
      </w:r>
      <w:r w:rsidR="00A83AD9">
        <w:t xml:space="preserve"> po </w:t>
      </w:r>
      <w:r w:rsidRPr="00F078D2">
        <w:t>tomto navýš</w:t>
      </w:r>
      <w:r>
        <w:t>ení jej pravidelně valorizovat. Poradní orgán dále zdůraznil, že následně je nezbytné příspěvek</w:t>
      </w:r>
      <w:r w:rsidR="00A83AD9">
        <w:t xml:space="preserve"> na </w:t>
      </w:r>
      <w:r>
        <w:t>péči reformovat</w:t>
      </w:r>
      <w:r w:rsidR="00A83AD9">
        <w:t xml:space="preserve"> v </w:t>
      </w:r>
      <w:r>
        <w:t>kontextu Úmluvy</w:t>
      </w:r>
      <w:r w:rsidR="00A83AD9">
        <w:t xml:space="preserve"> o </w:t>
      </w:r>
      <w:r>
        <w:t>právech osob se zdravotním postižením</w:t>
      </w:r>
      <w:r>
        <w:rPr>
          <w:rStyle w:val="Znakapoznpodarou"/>
        </w:rPr>
        <w:footnoteReference w:id="28"/>
      </w:r>
      <w:r>
        <w:t xml:space="preserve"> tak, aby podpora</w:t>
      </w:r>
      <w:r w:rsidR="00A83AD9">
        <w:t xml:space="preserve"> ze </w:t>
      </w:r>
      <w:r>
        <w:t>strany státu zohlednila reálné potřeby lidí</w:t>
      </w:r>
      <w:r w:rsidR="00A83AD9">
        <w:t xml:space="preserve"> s </w:t>
      </w:r>
      <w:r>
        <w:t>postižením</w:t>
      </w:r>
      <w:r w:rsidR="00A83AD9">
        <w:t xml:space="preserve"> při </w:t>
      </w:r>
      <w:r>
        <w:t>zachování jejich důstojnosti</w:t>
      </w:r>
      <w:r w:rsidR="00A83AD9">
        <w:t xml:space="preserve"> a </w:t>
      </w:r>
      <w:r>
        <w:t>práva</w:t>
      </w:r>
      <w:r w:rsidR="00A83AD9">
        <w:t xml:space="preserve"> na </w:t>
      </w:r>
      <w:r>
        <w:t>nezávislý život.</w:t>
      </w:r>
      <w:r>
        <w:rPr>
          <w:rStyle w:val="Znakapoznpodarou"/>
        </w:rPr>
        <w:footnoteReference w:id="29"/>
      </w:r>
    </w:p>
    <w:p w14:paraId="08F04906" w14:textId="0676DEE1" w:rsidR="004C52FA" w:rsidRDefault="004C52FA" w:rsidP="004C52FA">
      <w:pPr>
        <w:pStyle w:val="Zkladntext"/>
      </w:pPr>
      <w:r>
        <w:t>Ochránce</w:t>
      </w:r>
      <w:r w:rsidR="00A83AD9">
        <w:t xml:space="preserve"> o </w:t>
      </w:r>
      <w:r>
        <w:t>závěrech poradního orgánu informoval ministra práce</w:t>
      </w:r>
      <w:r w:rsidR="00A83AD9">
        <w:t xml:space="preserve"> a </w:t>
      </w:r>
      <w:r>
        <w:t>sociálních věcí Mariana Jurečku. Obrátil se také</w:t>
      </w:r>
      <w:r w:rsidR="00A83AD9">
        <w:t xml:space="preserve"> na </w:t>
      </w:r>
      <w:r>
        <w:t>předsedu Vládního výboru</w:t>
      </w:r>
      <w:r w:rsidR="00A83AD9">
        <w:t xml:space="preserve"> pro </w:t>
      </w:r>
      <w:r>
        <w:t>osoby se zdravotním postižením, kterým je premiér Petr Fiala.</w:t>
      </w:r>
      <w:r>
        <w:rPr>
          <w:rStyle w:val="Znakapoznpodarou"/>
        </w:rPr>
        <w:footnoteReference w:id="30"/>
      </w:r>
      <w:r>
        <w:t xml:space="preserve"> Vládní výbor následně </w:t>
      </w:r>
      <w:r w:rsidR="00A83AD9">
        <w:t xml:space="preserve"> na </w:t>
      </w:r>
      <w:r>
        <w:t>svém červnovém zasedání podpořil návrh ochránce</w:t>
      </w:r>
      <w:r w:rsidR="00A83AD9">
        <w:t xml:space="preserve"> k </w:t>
      </w:r>
      <w:r>
        <w:t>navýšení příspěvku</w:t>
      </w:r>
      <w:r w:rsidR="00A83AD9">
        <w:t xml:space="preserve"> na </w:t>
      </w:r>
      <w:r>
        <w:t>péči</w:t>
      </w:r>
      <w:r w:rsidR="00A83AD9">
        <w:t xml:space="preserve"> a </w:t>
      </w:r>
      <w:r>
        <w:t>vyzval vládu, aby toto téma projednala.</w:t>
      </w:r>
      <w:r>
        <w:rPr>
          <w:rStyle w:val="Znakapoznpodarou"/>
        </w:rPr>
        <w:footnoteReference w:id="31"/>
      </w:r>
    </w:p>
    <w:p w14:paraId="052E1931" w14:textId="77AB14B8" w:rsidR="004C52FA" w:rsidRDefault="004C52FA" w:rsidP="004C52FA">
      <w:pPr>
        <w:pStyle w:val="Zkladntext"/>
      </w:pPr>
      <w:r>
        <w:t>Na červnovém setkání členové poradního orgánu projednávali institut omezení</w:t>
      </w:r>
      <w:r w:rsidR="00A83AD9">
        <w:t xml:space="preserve"> ve </w:t>
      </w:r>
      <w:r>
        <w:t>svéprávnosti</w:t>
      </w:r>
      <w:r w:rsidR="00A83AD9">
        <w:t xml:space="preserve"> a </w:t>
      </w:r>
      <w:r>
        <w:t>nedostatečné využívání způsobů podpory</w:t>
      </w:r>
      <w:r w:rsidR="00A83AD9">
        <w:t xml:space="preserve"> při </w:t>
      </w:r>
      <w:r>
        <w:t>rozhodování, které jsou založeny</w:t>
      </w:r>
      <w:r w:rsidR="00A83AD9">
        <w:t xml:space="preserve"> na </w:t>
      </w:r>
      <w:r>
        <w:t>respektu</w:t>
      </w:r>
      <w:r w:rsidR="00A83AD9">
        <w:t xml:space="preserve"> k </w:t>
      </w:r>
      <w:r>
        <w:t>vůli</w:t>
      </w:r>
      <w:r w:rsidR="00A83AD9">
        <w:t xml:space="preserve"> a </w:t>
      </w:r>
      <w:r>
        <w:t>preferenci podporovaného člověka (článek 12 Úmluvy). Poradní orgán přijal usnesení,</w:t>
      </w:r>
      <w:r w:rsidR="00A83AD9">
        <w:t xml:space="preserve"> ve </w:t>
      </w:r>
      <w:r>
        <w:t>kterém podpořil legislativní doporučení ochránce</w:t>
      </w:r>
      <w:r w:rsidR="00A83AD9">
        <w:t xml:space="preserve"> k </w:t>
      </w:r>
      <w:r>
        <w:t>určení gestora</w:t>
      </w:r>
      <w:r w:rsidR="00A83AD9">
        <w:t xml:space="preserve"> pro </w:t>
      </w:r>
      <w:r>
        <w:t>oblast podpory</w:t>
      </w:r>
      <w:r w:rsidR="00A83AD9">
        <w:t xml:space="preserve"> v </w:t>
      </w:r>
      <w:r>
        <w:t>rozhodování</w:t>
      </w:r>
      <w:r w:rsidR="00A83AD9">
        <w:t xml:space="preserve"> a k </w:t>
      </w:r>
      <w:r>
        <w:t>přípravě komplexního zákona</w:t>
      </w:r>
      <w:r w:rsidR="00A83AD9">
        <w:t xml:space="preserve"> o </w:t>
      </w:r>
      <w:r>
        <w:t xml:space="preserve">podpůrných opatřeních. </w:t>
      </w:r>
      <w:r w:rsidRPr="002F06C6">
        <w:t xml:space="preserve">Členové poradního orgánu se </w:t>
      </w:r>
      <w:r>
        <w:t xml:space="preserve">také </w:t>
      </w:r>
      <w:r w:rsidRPr="002F06C6">
        <w:t>shodli</w:t>
      </w:r>
      <w:r w:rsidR="00A83AD9">
        <w:t xml:space="preserve"> na </w:t>
      </w:r>
      <w:r>
        <w:t>tom</w:t>
      </w:r>
      <w:r w:rsidRPr="002F06C6">
        <w:t>, že veřejné povědomí</w:t>
      </w:r>
      <w:r w:rsidR="00A83AD9">
        <w:t xml:space="preserve"> o </w:t>
      </w:r>
      <w:r w:rsidRPr="002F06C6">
        <w:t xml:space="preserve">podpůrných opatřeních je nedostatečné. Vyzvali </w:t>
      </w:r>
      <w:r>
        <w:t>ochránce</w:t>
      </w:r>
      <w:r w:rsidRPr="002F06C6">
        <w:t>, aby vedl veřejné instituce, které se podílí</w:t>
      </w:r>
      <w:r w:rsidR="00A83AD9">
        <w:t xml:space="preserve"> na </w:t>
      </w:r>
      <w:r w:rsidRPr="002F06C6">
        <w:t>rozhodování</w:t>
      </w:r>
      <w:r w:rsidR="00A83AD9">
        <w:t xml:space="preserve"> o </w:t>
      </w:r>
      <w:r w:rsidRPr="002F06C6">
        <w:t>podpůrných opatřeních,</w:t>
      </w:r>
      <w:r w:rsidR="00A83AD9">
        <w:t xml:space="preserve"> k </w:t>
      </w:r>
      <w:r w:rsidRPr="002F06C6">
        <w:t>posilování ochrany lidí</w:t>
      </w:r>
      <w:r w:rsidR="00A83AD9">
        <w:t xml:space="preserve"> s </w:t>
      </w:r>
      <w:r w:rsidRPr="002F06C6">
        <w:t>postižením před nedůvodnými zásahy</w:t>
      </w:r>
      <w:r w:rsidR="00A83AD9">
        <w:t xml:space="preserve"> do </w:t>
      </w:r>
      <w:r w:rsidRPr="002F06C6">
        <w:t>jejich svéprávnosti právě</w:t>
      </w:r>
      <w:r w:rsidR="00A83AD9">
        <w:t xml:space="preserve"> za </w:t>
      </w:r>
      <w:r w:rsidRPr="002F06C6">
        <w:t>využití podpůrných opatření. Zároveň se členové</w:t>
      </w:r>
      <w:r>
        <w:t xml:space="preserve"> poradního orgánu</w:t>
      </w:r>
      <w:r w:rsidRPr="002F06C6">
        <w:t xml:space="preserve"> zavázali</w:t>
      </w:r>
      <w:r w:rsidR="00A83AD9">
        <w:t xml:space="preserve"> k </w:t>
      </w:r>
      <w:r>
        <w:t>tomu</w:t>
      </w:r>
      <w:r w:rsidRPr="002F06C6">
        <w:t xml:space="preserve">, že </w:t>
      </w:r>
      <w:r>
        <w:t>sami budou</w:t>
      </w:r>
      <w:r w:rsidRPr="002F06C6">
        <w:t xml:space="preserve"> informace</w:t>
      </w:r>
      <w:r w:rsidR="00A83AD9">
        <w:t xml:space="preserve"> o </w:t>
      </w:r>
      <w:r w:rsidRPr="002F06C6">
        <w:t>možnostech podpory</w:t>
      </w:r>
      <w:r w:rsidR="00A83AD9">
        <w:t xml:space="preserve"> v </w:t>
      </w:r>
      <w:r w:rsidRPr="002F06C6">
        <w:t>právním jednání</w:t>
      </w:r>
      <w:r>
        <w:t xml:space="preserve"> šířit</w:t>
      </w:r>
      <w:r w:rsidRPr="002F06C6">
        <w:t>.</w:t>
      </w:r>
      <w:r>
        <w:rPr>
          <w:rStyle w:val="Znakapoznpodarou"/>
        </w:rPr>
        <w:footnoteReference w:id="32"/>
      </w:r>
    </w:p>
    <w:p w14:paraId="03249841" w14:textId="5F3464B4" w:rsidR="002859D7" w:rsidRDefault="004C52FA" w:rsidP="0039224B">
      <w:pPr>
        <w:pStyle w:val="Nadpis3"/>
      </w:pPr>
      <w:bookmarkStart w:id="51" w:name="_Toc141694118"/>
      <w:r>
        <w:t>V</w:t>
      </w:r>
      <w:r w:rsidR="002859D7">
        <w:t>ýzkum</w:t>
      </w:r>
      <w:r w:rsidR="003D615C">
        <w:t>y</w:t>
      </w:r>
      <w:r w:rsidR="00A83AD9">
        <w:t xml:space="preserve"> a </w:t>
      </w:r>
      <w:r>
        <w:t>doporučení</w:t>
      </w:r>
      <w:r w:rsidR="00A83AD9">
        <w:t xml:space="preserve"> ke </w:t>
      </w:r>
      <w:r>
        <w:t>zlepšení situace lidí</w:t>
      </w:r>
      <w:r w:rsidR="00A83AD9">
        <w:t xml:space="preserve"> s </w:t>
      </w:r>
      <w:r>
        <w:t>postižením</w:t>
      </w:r>
      <w:bookmarkEnd w:id="51"/>
      <w:r>
        <w:t xml:space="preserve"> </w:t>
      </w:r>
    </w:p>
    <w:p w14:paraId="53457B93" w14:textId="45F14A76" w:rsidR="004C52FA" w:rsidRPr="004C52FA" w:rsidRDefault="004C52FA" w:rsidP="004C52FA">
      <w:pPr>
        <w:pStyle w:val="Zkladntext"/>
        <w:rPr>
          <w:b/>
        </w:rPr>
      </w:pPr>
      <w:r w:rsidRPr="004C52FA">
        <w:rPr>
          <w:b/>
        </w:rPr>
        <w:t>Poučení</w:t>
      </w:r>
      <w:r w:rsidR="00A83AD9">
        <w:rPr>
          <w:b/>
        </w:rPr>
        <w:t xml:space="preserve"> pro </w:t>
      </w:r>
      <w:r w:rsidRPr="004C52FA">
        <w:rPr>
          <w:b/>
        </w:rPr>
        <w:t>účastníka pracovní rehabilitace</w:t>
      </w:r>
      <w:r w:rsidR="00A83AD9">
        <w:rPr>
          <w:b/>
        </w:rPr>
        <w:t xml:space="preserve"> ve </w:t>
      </w:r>
      <w:r w:rsidRPr="004C52FA">
        <w:rPr>
          <w:b/>
        </w:rPr>
        <w:t>snadném čtení (sp. zn. 64/2022/OZP)</w:t>
      </w:r>
    </w:p>
    <w:p w14:paraId="2BA28993" w14:textId="42B8A5C5" w:rsidR="004C52FA" w:rsidRPr="008E3FAD" w:rsidRDefault="004C52FA" w:rsidP="004C52FA">
      <w:pPr>
        <w:pStyle w:val="Zkladntext"/>
      </w:pPr>
      <w:r w:rsidRPr="008E3FAD">
        <w:t>Ochránce zaslal Ministerstvu práce</w:t>
      </w:r>
      <w:r w:rsidR="00A83AD9">
        <w:t xml:space="preserve"> a </w:t>
      </w:r>
      <w:r w:rsidRPr="008E3FAD">
        <w:t>sociálních věcí doporučení</w:t>
      </w:r>
      <w:r w:rsidR="00A83AD9">
        <w:t xml:space="preserve"> k </w:t>
      </w:r>
      <w:r w:rsidRPr="008E3FAD">
        <w:t>úpravě formuláře „Základní poučení účastníka pracovní rehabilitace“</w:t>
      </w:r>
      <w:r w:rsidR="00A83AD9">
        <w:t xml:space="preserve"> do </w:t>
      </w:r>
      <w:r w:rsidRPr="008E3FAD">
        <w:t>verze</w:t>
      </w:r>
      <w:r w:rsidR="00A83AD9">
        <w:t xml:space="preserve"> pro </w:t>
      </w:r>
      <w:r w:rsidRPr="008E3FAD">
        <w:t>snadné čtení. Zpracování informačních materiálů či formulářů</w:t>
      </w:r>
      <w:r w:rsidR="00A83AD9">
        <w:t xml:space="preserve"> ve </w:t>
      </w:r>
      <w:r w:rsidRPr="008E3FAD">
        <w:t>verzi</w:t>
      </w:r>
      <w:r w:rsidR="00A83AD9">
        <w:t xml:space="preserve"> pro </w:t>
      </w:r>
      <w:r w:rsidRPr="008E3FAD">
        <w:t>snadné čtení</w:t>
      </w:r>
      <w:r w:rsidR="00A83AD9">
        <w:t xml:space="preserve"> a </w:t>
      </w:r>
      <w:r w:rsidRPr="008E3FAD">
        <w:t>dalších přístupných formátech je prostředkem</w:t>
      </w:r>
      <w:r w:rsidR="00A83AD9">
        <w:t xml:space="preserve"> k </w:t>
      </w:r>
      <w:r>
        <w:t>zajištění přístupnosti informací podle čl. 9, čl. 21</w:t>
      </w:r>
      <w:r w:rsidR="00A83AD9">
        <w:t xml:space="preserve"> a </w:t>
      </w:r>
      <w:r>
        <w:t>čl. 27 odst. 1 písm. k) Úmluvy</w:t>
      </w:r>
      <w:r w:rsidR="00A83AD9">
        <w:t xml:space="preserve"> o </w:t>
      </w:r>
      <w:r>
        <w:t>právech osob se zdravotním postižením</w:t>
      </w:r>
      <w:r w:rsidR="00A83AD9">
        <w:t xml:space="preserve"> a </w:t>
      </w:r>
      <w:r>
        <w:t>posílení</w:t>
      </w:r>
      <w:r w:rsidRPr="008E3FAD">
        <w:t xml:space="preserve"> nízkoprahovosti služeb lidem</w:t>
      </w:r>
      <w:r w:rsidR="00A83AD9">
        <w:t xml:space="preserve"> s </w:t>
      </w:r>
      <w:r w:rsidRPr="008E3FAD">
        <w:t xml:space="preserve">postižením (včetně pracovní rehabilitace). Právě </w:t>
      </w:r>
      <w:r w:rsidRPr="008E3FAD">
        <w:rPr>
          <w:rStyle w:val="Siln"/>
          <w:b w:val="0"/>
          <w:bCs w:val="0"/>
        </w:rPr>
        <w:t>lidé</w:t>
      </w:r>
      <w:r w:rsidR="00A83AD9">
        <w:rPr>
          <w:rStyle w:val="Siln"/>
          <w:b w:val="0"/>
          <w:bCs w:val="0"/>
        </w:rPr>
        <w:t xml:space="preserve"> s </w:t>
      </w:r>
      <w:r w:rsidRPr="008E3FAD">
        <w:rPr>
          <w:rStyle w:val="Siln"/>
          <w:b w:val="0"/>
          <w:bCs w:val="0"/>
        </w:rPr>
        <w:t>postižením jsou totiž primárním</w:t>
      </w:r>
      <w:r>
        <w:rPr>
          <w:rStyle w:val="Siln"/>
          <w:b w:val="0"/>
          <w:bCs w:val="0"/>
        </w:rPr>
        <w:t>i</w:t>
      </w:r>
      <w:r w:rsidRPr="008E3FAD">
        <w:rPr>
          <w:rStyle w:val="Siln"/>
          <w:b w:val="0"/>
          <w:bCs w:val="0"/>
        </w:rPr>
        <w:t xml:space="preserve"> adresát</w:t>
      </w:r>
      <w:r>
        <w:rPr>
          <w:rStyle w:val="Siln"/>
          <w:b w:val="0"/>
          <w:bCs w:val="0"/>
        </w:rPr>
        <w:t>y</w:t>
      </w:r>
      <w:r w:rsidRPr="008E3FAD">
        <w:rPr>
          <w:rStyle w:val="Siln"/>
          <w:b w:val="0"/>
          <w:bCs w:val="0"/>
        </w:rPr>
        <w:t xml:space="preserve"> sdělení</w:t>
      </w:r>
      <w:r w:rsidRPr="008E3FAD">
        <w:t xml:space="preserve"> obsaženého</w:t>
      </w:r>
      <w:r w:rsidR="00A83AD9">
        <w:t xml:space="preserve"> ve </w:t>
      </w:r>
      <w:r w:rsidRPr="008E3FAD">
        <w:t>formuláři „Základní poučení účastníka pracovní rehabilitace“.</w:t>
      </w:r>
      <w:r>
        <w:t xml:space="preserve"> </w:t>
      </w:r>
      <w:r w:rsidRPr="008E3FAD">
        <w:t>Požadavek</w:t>
      </w:r>
      <w:r w:rsidR="00A83AD9">
        <w:t xml:space="preserve"> na </w:t>
      </w:r>
      <w:r w:rsidRPr="008E3FAD">
        <w:t>přístupnost informací</w:t>
      </w:r>
      <w:r w:rsidR="00A83AD9">
        <w:t xml:space="preserve"> v </w:t>
      </w:r>
      <w:r w:rsidRPr="008E3FAD">
        <w:t>kontextu zaměstnávání lidí</w:t>
      </w:r>
      <w:r w:rsidR="00A83AD9">
        <w:t xml:space="preserve"> s </w:t>
      </w:r>
      <w:r w:rsidRPr="008E3FAD">
        <w:t>postižením zahrnuje</w:t>
      </w:r>
      <w:r w:rsidR="00A83AD9">
        <w:t xml:space="preserve"> i </w:t>
      </w:r>
      <w:r w:rsidRPr="008E3FAD">
        <w:t>článek 27 Úmluvy</w:t>
      </w:r>
      <w:r w:rsidR="00A83AD9">
        <w:t xml:space="preserve"> a </w:t>
      </w:r>
      <w:r w:rsidRPr="008E3FAD">
        <w:t>související komentář Výboru OSN</w:t>
      </w:r>
      <w:r w:rsidR="00A83AD9">
        <w:t xml:space="preserve"> pro </w:t>
      </w:r>
      <w:r w:rsidRPr="008E3FAD">
        <w:t xml:space="preserve">práva osob se zdravotním postižením. Komentář uvádí, že </w:t>
      </w:r>
      <w:r w:rsidRPr="002F28BC">
        <w:rPr>
          <w:rStyle w:val="Tunkurzva"/>
          <w:b w:val="0"/>
        </w:rPr>
        <w:t>„Veškeré informace týkající se práce</w:t>
      </w:r>
      <w:r w:rsidR="00A83AD9">
        <w:rPr>
          <w:rStyle w:val="Tunkurzva"/>
          <w:b w:val="0"/>
        </w:rPr>
        <w:t xml:space="preserve"> a </w:t>
      </w:r>
      <w:r w:rsidRPr="002F28BC">
        <w:rPr>
          <w:rStyle w:val="Tunkurzva"/>
          <w:b w:val="0"/>
        </w:rPr>
        <w:t>zaměstnání musí být přístupné</w:t>
      </w:r>
      <w:r w:rsidR="00A83AD9">
        <w:rPr>
          <w:rStyle w:val="Tunkurzva"/>
          <w:b w:val="0"/>
        </w:rPr>
        <w:t xml:space="preserve"> v </w:t>
      </w:r>
      <w:r w:rsidRPr="002F28BC">
        <w:rPr>
          <w:rStyle w:val="Tunkurzva"/>
          <w:b w:val="0"/>
        </w:rPr>
        <w:t>podobě znakového jazyka, Braillova písma, snadného čtení („Easy Read“), přístupných elektronických formátů, alternativního písma</w:t>
      </w:r>
      <w:r w:rsidR="00A83AD9">
        <w:rPr>
          <w:rStyle w:val="Tunkurzva"/>
          <w:b w:val="0"/>
        </w:rPr>
        <w:t xml:space="preserve"> a </w:t>
      </w:r>
      <w:r w:rsidRPr="002F28BC">
        <w:rPr>
          <w:rStyle w:val="Tunkurzva"/>
          <w:b w:val="0"/>
        </w:rPr>
        <w:t>zvětšovacích</w:t>
      </w:r>
      <w:r w:rsidR="00A83AD9">
        <w:rPr>
          <w:rStyle w:val="Tunkurzva"/>
          <w:b w:val="0"/>
        </w:rPr>
        <w:t xml:space="preserve"> a </w:t>
      </w:r>
      <w:r w:rsidRPr="002F28BC">
        <w:rPr>
          <w:rStyle w:val="Tunkurzva"/>
          <w:b w:val="0"/>
        </w:rPr>
        <w:t>alternativních způsobů, prostředků</w:t>
      </w:r>
      <w:r w:rsidR="00A83AD9">
        <w:rPr>
          <w:rStyle w:val="Tunkurzva"/>
          <w:b w:val="0"/>
        </w:rPr>
        <w:t xml:space="preserve"> a </w:t>
      </w:r>
      <w:r w:rsidRPr="002F28BC">
        <w:rPr>
          <w:rStyle w:val="Tunkurzva"/>
          <w:b w:val="0"/>
        </w:rPr>
        <w:t>formátů komunikace.“</w:t>
      </w:r>
      <w:r w:rsidRPr="008E3FAD">
        <w:rPr>
          <w:rStyle w:val="Znakapoznpodarou"/>
        </w:rPr>
        <w:footnoteReference w:id="33"/>
      </w:r>
      <w:r w:rsidRPr="008E3FAD">
        <w:rPr>
          <w:rStyle w:val="Tunkurzva"/>
        </w:rPr>
        <w:t xml:space="preserve"> </w:t>
      </w:r>
      <w:r>
        <w:t xml:space="preserve">Ministerstvo se </w:t>
      </w:r>
      <w:r w:rsidRPr="008E3FAD">
        <w:rPr>
          <w:rStyle w:val="Siln"/>
          <w:b w:val="0"/>
          <w:bCs w:val="0"/>
        </w:rPr>
        <w:t>zavázalo učinit kroky směřující</w:t>
      </w:r>
      <w:r w:rsidR="00A83AD9">
        <w:rPr>
          <w:rStyle w:val="Siln"/>
          <w:b w:val="0"/>
          <w:bCs w:val="0"/>
        </w:rPr>
        <w:t xml:space="preserve"> k </w:t>
      </w:r>
      <w:r w:rsidRPr="008E3FAD">
        <w:rPr>
          <w:rStyle w:val="Siln"/>
          <w:b w:val="0"/>
          <w:bCs w:val="0"/>
        </w:rPr>
        <w:t>úpravě předmětného for</w:t>
      </w:r>
      <w:r>
        <w:rPr>
          <w:rStyle w:val="Siln"/>
          <w:b w:val="0"/>
          <w:bCs w:val="0"/>
        </w:rPr>
        <w:t>muláře</w:t>
      </w:r>
      <w:r w:rsidR="00A83AD9">
        <w:rPr>
          <w:rStyle w:val="Siln"/>
          <w:b w:val="0"/>
          <w:bCs w:val="0"/>
        </w:rPr>
        <w:t xml:space="preserve"> do </w:t>
      </w:r>
      <w:r>
        <w:rPr>
          <w:rStyle w:val="Siln"/>
          <w:b w:val="0"/>
          <w:bCs w:val="0"/>
        </w:rPr>
        <w:t>verze</w:t>
      </w:r>
      <w:r w:rsidR="00A83AD9">
        <w:rPr>
          <w:rStyle w:val="Siln"/>
          <w:b w:val="0"/>
          <w:bCs w:val="0"/>
        </w:rPr>
        <w:t xml:space="preserve"> pro </w:t>
      </w:r>
      <w:r>
        <w:rPr>
          <w:rStyle w:val="Siln"/>
          <w:b w:val="0"/>
          <w:bCs w:val="0"/>
        </w:rPr>
        <w:t>snadné čtení</w:t>
      </w:r>
      <w:r w:rsidR="00A83AD9">
        <w:rPr>
          <w:rStyle w:val="Siln"/>
          <w:b w:val="0"/>
          <w:bCs w:val="0"/>
        </w:rPr>
        <w:t xml:space="preserve"> do </w:t>
      </w:r>
      <w:r w:rsidRPr="008E3FAD">
        <w:rPr>
          <w:rStyle w:val="Siln"/>
          <w:b w:val="0"/>
          <w:bCs w:val="0"/>
        </w:rPr>
        <w:t>konce října 2023.</w:t>
      </w:r>
      <w:r w:rsidRPr="008E3FAD">
        <w:t xml:space="preserve"> </w:t>
      </w:r>
    </w:p>
    <w:p w14:paraId="06CF9EE2" w14:textId="2B494848" w:rsidR="004C52FA" w:rsidRPr="004C52FA" w:rsidRDefault="004C52FA" w:rsidP="004C52FA">
      <w:pPr>
        <w:pStyle w:val="Zkladntext"/>
        <w:rPr>
          <w:b/>
        </w:rPr>
      </w:pPr>
      <w:r w:rsidRPr="004C52FA">
        <w:rPr>
          <w:b/>
        </w:rPr>
        <w:t>Posuzování sluchové ostrosti lidí pracujících</w:t>
      </w:r>
      <w:r w:rsidR="00A83AD9">
        <w:rPr>
          <w:b/>
        </w:rPr>
        <w:t xml:space="preserve"> na </w:t>
      </w:r>
      <w:r w:rsidRPr="004C52FA">
        <w:rPr>
          <w:b/>
        </w:rPr>
        <w:t>dráze (sp. zn. 21/2017/SZD)</w:t>
      </w:r>
    </w:p>
    <w:p w14:paraId="660EEA9D" w14:textId="0AEDAF4B" w:rsidR="004C52FA" w:rsidRDefault="004C52FA" w:rsidP="004C52FA">
      <w:pPr>
        <w:pStyle w:val="Zkladntext"/>
      </w:pPr>
      <w:r>
        <w:t>Ministerstvo zdravotnictví vyhovělo doporučení ochránce</w:t>
      </w:r>
      <w:r w:rsidR="00A83AD9">
        <w:t xml:space="preserve"> při </w:t>
      </w:r>
      <w:r>
        <w:t>přípravě nové drážní vyhlášky. Ochránce</w:t>
      </w:r>
      <w:r w:rsidR="00A83AD9">
        <w:t xml:space="preserve"> od </w:t>
      </w:r>
      <w:r>
        <w:t>roku 2017 usiloval</w:t>
      </w:r>
      <w:r w:rsidR="00A83AD9">
        <w:t xml:space="preserve"> o </w:t>
      </w:r>
      <w:r w:rsidR="00C9568A">
        <w:t>to</w:t>
      </w:r>
      <w:r>
        <w:t>, aby ministerstvo modernizovalo podmínky</w:t>
      </w:r>
      <w:r w:rsidR="00A83AD9">
        <w:t xml:space="preserve"> pro </w:t>
      </w:r>
      <w:r>
        <w:t>posuzování sluchové ostrosti drážních zaměstnankyň</w:t>
      </w:r>
      <w:r w:rsidR="00A83AD9">
        <w:t xml:space="preserve"> a </w:t>
      </w:r>
      <w:r>
        <w:t>zaměstnanců. Původní vyhláška (č. 101/1995 Sb.) již nezohledňuje pokrok</w:t>
      </w:r>
      <w:r w:rsidR="00A83AD9">
        <w:t xml:space="preserve"> ve </w:t>
      </w:r>
      <w:r>
        <w:t>vývoji kompenzačních pomůcek. Ministerstvo oslovilo Českou odbornou společnost otorinolaryngologie</w:t>
      </w:r>
      <w:r w:rsidR="00A83AD9">
        <w:t xml:space="preserve"> a </w:t>
      </w:r>
      <w:r>
        <w:t>chirurgie hlavy</w:t>
      </w:r>
      <w:r w:rsidR="00A83AD9">
        <w:t xml:space="preserve"> a </w:t>
      </w:r>
      <w:r>
        <w:t>krku</w:t>
      </w:r>
      <w:r w:rsidR="00A83AD9">
        <w:t xml:space="preserve"> a na </w:t>
      </w:r>
      <w:r>
        <w:t>základě jejího stanoviska provedlo zásadní úpravy</w:t>
      </w:r>
      <w:r w:rsidR="00A83AD9">
        <w:t xml:space="preserve"> ve </w:t>
      </w:r>
      <w:r>
        <w:t>vyhlášce. Dále stanovilo limit sluchové nedostatečnosti přesně podle směrnice EU (</w:t>
      </w:r>
      <w:r w:rsidRPr="003108AB">
        <w:t>2007/59/ES</w:t>
      </w:r>
      <w:r>
        <w:t>). Tím sjednotilo metodu výpočtu</w:t>
      </w:r>
      <w:r w:rsidR="00A83AD9">
        <w:t xml:space="preserve"> a </w:t>
      </w:r>
      <w:r>
        <w:t>zpřehlednilo práva zaměstnanců</w:t>
      </w:r>
      <w:r w:rsidR="00A83AD9">
        <w:t xml:space="preserve"> a </w:t>
      </w:r>
      <w:r>
        <w:t>povinnosti zaměstnavatelů</w:t>
      </w:r>
      <w:r w:rsidR="00A83AD9">
        <w:t xml:space="preserve"> a </w:t>
      </w:r>
      <w:r>
        <w:t>poskytovatelů pracovnělékařské péče.</w:t>
      </w:r>
      <w:r w:rsidR="00A83AD9">
        <w:t xml:space="preserve"> Ve </w:t>
      </w:r>
      <w:r>
        <w:t>srovnání</w:t>
      </w:r>
      <w:r w:rsidR="00A83AD9">
        <w:t xml:space="preserve"> s </w:t>
      </w:r>
      <w:r>
        <w:t>aktuální právní úpravou budou drážní zaměstnanci, kteří se přímo nepodílejí</w:t>
      </w:r>
      <w:r w:rsidR="00A83AD9">
        <w:t xml:space="preserve"> na </w:t>
      </w:r>
      <w:r>
        <w:t>řízení drážních vozidel (opraváři</w:t>
      </w:r>
      <w:r w:rsidR="00A83AD9">
        <w:t xml:space="preserve"> a </w:t>
      </w:r>
      <w:r>
        <w:t>údržbáři), moci dosáhnout nastavených hranic ztráty sluchu pomocí elektroakustických nebo jiných přístrojů</w:t>
      </w:r>
      <w:r w:rsidR="00A83AD9">
        <w:t xml:space="preserve"> pro </w:t>
      </w:r>
      <w:r>
        <w:t>zlepšení sluchu (předtím byli posuzování stejně přísně jako strojvedoucí). Nová vyhláška by měla být účinná</w:t>
      </w:r>
      <w:r w:rsidR="00A83AD9">
        <w:t xml:space="preserve"> od </w:t>
      </w:r>
      <w:r>
        <w:t xml:space="preserve">1. </w:t>
      </w:r>
      <w:r w:rsidR="00C9568A">
        <w:t>září</w:t>
      </w:r>
      <w:r>
        <w:t xml:space="preserve"> 2023.</w:t>
      </w:r>
    </w:p>
    <w:p w14:paraId="0E0BFA7B" w14:textId="58138846" w:rsidR="00375C5C" w:rsidRDefault="00375C5C" w:rsidP="0039224B">
      <w:pPr>
        <w:pStyle w:val="Nadpis3"/>
      </w:pPr>
      <w:bookmarkStart w:id="52" w:name="_Toc141694119"/>
      <w:r>
        <w:t>Mezinárodní spolupráce</w:t>
      </w:r>
      <w:bookmarkEnd w:id="52"/>
      <w:r>
        <w:t xml:space="preserve"> </w:t>
      </w:r>
    </w:p>
    <w:p w14:paraId="592D71B9" w14:textId="6F9FB288" w:rsidR="00375C5C" w:rsidRPr="005E72D7" w:rsidRDefault="00375C5C" w:rsidP="00375C5C">
      <w:pPr>
        <w:pStyle w:val="Zkladntext"/>
      </w:pPr>
      <w:r w:rsidRPr="005E72D7">
        <w:t>Součástí monitorovací práce ochránce je</w:t>
      </w:r>
      <w:r w:rsidR="00A83AD9">
        <w:t xml:space="preserve"> i </w:t>
      </w:r>
      <w:r w:rsidRPr="005E72D7">
        <w:t>povinnost výměny informací</w:t>
      </w:r>
      <w:r w:rsidR="00A83AD9">
        <w:t xml:space="preserve"> s </w:t>
      </w:r>
      <w:r w:rsidRPr="005E72D7">
        <w:t>příslušnými zahraničními</w:t>
      </w:r>
      <w:r w:rsidR="00A83AD9">
        <w:t xml:space="preserve"> a </w:t>
      </w:r>
      <w:r w:rsidRPr="005E72D7">
        <w:t>mezinárodními subjekty.</w:t>
      </w:r>
      <w:r w:rsidR="00A83AD9">
        <w:t xml:space="preserve"> V </w:t>
      </w:r>
      <w:r w:rsidRPr="005E72D7">
        <w:t>této souvislosti absolvovali práv</w:t>
      </w:r>
      <w:r w:rsidR="005E72D7">
        <w:t>níci</w:t>
      </w:r>
      <w:r w:rsidRPr="005E72D7">
        <w:t xml:space="preserve"> odboru ochrany práv osob se zdravotním postižením několikadenní stáž</w:t>
      </w:r>
      <w:r w:rsidR="00A83AD9">
        <w:t xml:space="preserve"> ve </w:t>
      </w:r>
      <w:r w:rsidRPr="005E72D7">
        <w:t>Španělsku.</w:t>
      </w:r>
      <w:r w:rsidR="00A83AD9">
        <w:t xml:space="preserve"> U </w:t>
      </w:r>
      <w:r w:rsidRPr="005E72D7">
        <w:t>vybraných partnerů (včetně monitorovacího orgánu CERMI – Comité  Espa</w:t>
      </w:r>
      <w:r w:rsidRPr="005E72D7">
        <w:rPr>
          <w:rFonts w:cs="Calibri"/>
        </w:rPr>
        <w:t xml:space="preserve">ñol de Representantes de Personas con Discapacidad) se </w:t>
      </w:r>
      <w:r w:rsidRPr="005E72D7">
        <w:t>podrobněji seznamovali</w:t>
      </w:r>
      <w:r w:rsidR="00A83AD9">
        <w:t xml:space="preserve"> s </w:t>
      </w:r>
      <w:r w:rsidRPr="005E72D7">
        <w:t>novelou tamějšího občanského zákoníku</w:t>
      </w:r>
      <w:r w:rsidR="00A83AD9">
        <w:t xml:space="preserve"> z </w:t>
      </w:r>
      <w:r w:rsidRPr="005E72D7">
        <w:t>roku 2021. Novela zrušila opatrovnictví</w:t>
      </w:r>
      <w:r w:rsidR="00A83AD9">
        <w:t xml:space="preserve"> a </w:t>
      </w:r>
      <w:r w:rsidRPr="005E72D7">
        <w:t>lidé</w:t>
      </w:r>
      <w:r w:rsidR="00A83AD9">
        <w:t xml:space="preserve"> s </w:t>
      </w:r>
      <w:r w:rsidRPr="005E72D7">
        <w:t>postižením již nemohou být zbaveni či omezeni</w:t>
      </w:r>
      <w:r w:rsidR="00A83AD9">
        <w:t xml:space="preserve"> ve </w:t>
      </w:r>
      <w:r w:rsidRPr="005E72D7">
        <w:t>svéprávnosti, jak</w:t>
      </w:r>
      <w:r w:rsidR="00C9568A">
        <w:t xml:space="preserve"> ukládá </w:t>
      </w:r>
      <w:r w:rsidRPr="005E72D7">
        <w:t>čl</w:t>
      </w:r>
      <w:r w:rsidR="00C9568A">
        <w:t>ánek</w:t>
      </w:r>
      <w:r w:rsidRPr="005E72D7">
        <w:t xml:space="preserve"> 12 Úmluvy. Podpůrná opatření si zletilí lidé mohou stanovit sami (např.</w:t>
      </w:r>
      <w:r w:rsidR="00A83AD9">
        <w:t xml:space="preserve"> ve </w:t>
      </w:r>
      <w:r w:rsidRPr="005E72D7">
        <w:t>formě notářského zápisu) anebo</w:t>
      </w:r>
      <w:r w:rsidR="00A83AD9">
        <w:t xml:space="preserve"> o </w:t>
      </w:r>
      <w:r w:rsidRPr="005E72D7">
        <w:t>nich rozhodne soud. Stoupl význam neziskových organizací, které poskytují profesionální podporu</w:t>
      </w:r>
      <w:r w:rsidR="00A83AD9">
        <w:t xml:space="preserve"> v </w:t>
      </w:r>
      <w:r w:rsidRPr="005E72D7">
        <w:t>rozhodování (nejčastěji</w:t>
      </w:r>
      <w:r w:rsidR="00A83AD9">
        <w:t xml:space="preserve"> ve </w:t>
      </w:r>
      <w:r w:rsidRPr="005E72D7">
        <w:t>formě nápomoci). Neméně důležitá je úzká spolupráce soudů, státních zastupitelství</w:t>
      </w:r>
      <w:r w:rsidR="00A83AD9">
        <w:t xml:space="preserve"> a </w:t>
      </w:r>
      <w:r w:rsidRPr="005E72D7">
        <w:t>notářů. Pokud</w:t>
      </w:r>
      <w:r w:rsidR="00A83AD9">
        <w:t xml:space="preserve"> o </w:t>
      </w:r>
      <w:r w:rsidRPr="005E72D7">
        <w:t>podpůrném opatření rozhoduje soud, musí být vypracována</w:t>
      </w:r>
      <w:r w:rsidR="00A83AD9">
        <w:t xml:space="preserve"> i </w:t>
      </w:r>
      <w:r w:rsidRPr="005E72D7">
        <w:t>zpráva</w:t>
      </w:r>
      <w:r w:rsidR="00A83AD9">
        <w:t xml:space="preserve"> o </w:t>
      </w:r>
      <w:r w:rsidRPr="005E72D7">
        <w:t>sociálním prostředí člověka</w:t>
      </w:r>
      <w:r w:rsidR="00A83AD9">
        <w:t xml:space="preserve"> s </w:t>
      </w:r>
      <w:r w:rsidRPr="005E72D7">
        <w:t>postižením (samotná lékařská zpráva již nestačí). Španělsko také upravilo procesní předpisy, které nyní zakotvují právo</w:t>
      </w:r>
      <w:r w:rsidR="00A83AD9">
        <w:t xml:space="preserve"> na </w:t>
      </w:r>
      <w:r w:rsidRPr="005E72D7">
        <w:t>přiměřené úpravy během soudního řízení (dokumenty</w:t>
      </w:r>
      <w:r w:rsidR="00A83AD9">
        <w:t xml:space="preserve"> ve </w:t>
      </w:r>
      <w:r w:rsidRPr="005E72D7">
        <w:t>snadném čtení nebo přítomnost facilitátora</w:t>
      </w:r>
      <w:r w:rsidR="00A83AD9">
        <w:t xml:space="preserve"> na </w:t>
      </w:r>
      <w:r w:rsidRPr="005E72D7">
        <w:t>ústním jednání). Všechny poznatky ochránce promítne</w:t>
      </w:r>
      <w:r w:rsidR="00A83AD9">
        <w:t xml:space="preserve"> do </w:t>
      </w:r>
      <w:r w:rsidRPr="005E72D7">
        <w:t>dalších jednání ohledně realizace svého legislativního doporučení</w:t>
      </w:r>
      <w:r w:rsidR="00A83AD9">
        <w:t xml:space="preserve"> z </w:t>
      </w:r>
      <w:r w:rsidRPr="005E72D7">
        <w:t>roku 2022 (Komplexní úprava opatrovnictví</w:t>
      </w:r>
      <w:r w:rsidR="00A83AD9">
        <w:t xml:space="preserve"> a </w:t>
      </w:r>
      <w:r w:rsidRPr="005E72D7">
        <w:t>podpůrných opatření</w:t>
      </w:r>
      <w:r w:rsidR="00A83AD9">
        <w:t xml:space="preserve"> pro </w:t>
      </w:r>
      <w:r w:rsidRPr="005E72D7">
        <w:t>zletilé osoby)</w:t>
      </w:r>
      <w:r w:rsidR="005E72D7">
        <w:rPr>
          <w:rStyle w:val="Znakapoznpodarou"/>
        </w:rPr>
        <w:footnoteReference w:id="34"/>
      </w:r>
      <w:r w:rsidRPr="005E72D7">
        <w:t xml:space="preserve">.  </w:t>
      </w:r>
    </w:p>
    <w:p w14:paraId="2C35916A" w14:textId="44643367" w:rsidR="002859D7" w:rsidRDefault="002859D7" w:rsidP="0039224B">
      <w:pPr>
        <w:pStyle w:val="Nadpis3"/>
      </w:pPr>
      <w:bookmarkStart w:id="53" w:name="_Toc141694120"/>
      <w:r>
        <w:t>Spolupráce</w:t>
      </w:r>
      <w:r w:rsidR="00A83AD9">
        <w:t xml:space="preserve"> s </w:t>
      </w:r>
      <w:r>
        <w:t>neziskovými organizacemi</w:t>
      </w:r>
      <w:r w:rsidR="00A83AD9">
        <w:t xml:space="preserve"> a </w:t>
      </w:r>
      <w:r>
        <w:t>lidmi</w:t>
      </w:r>
      <w:r w:rsidR="00A83AD9">
        <w:t xml:space="preserve"> s </w:t>
      </w:r>
      <w:r>
        <w:t>postižením</w:t>
      </w:r>
      <w:bookmarkEnd w:id="53"/>
    </w:p>
    <w:p w14:paraId="22D46D21" w14:textId="2EA18507" w:rsidR="005E72D7" w:rsidRPr="005E72D7" w:rsidRDefault="005E72D7" w:rsidP="005E72D7">
      <w:pPr>
        <w:pStyle w:val="Zkladntext"/>
        <w:rPr>
          <w:b/>
        </w:rPr>
      </w:pPr>
      <w:r w:rsidRPr="005E72D7">
        <w:rPr>
          <w:b/>
        </w:rPr>
        <w:t>Poskytování podpůrných opatření</w:t>
      </w:r>
      <w:r w:rsidR="00A83AD9">
        <w:rPr>
          <w:b/>
        </w:rPr>
        <w:t xml:space="preserve"> ve </w:t>
      </w:r>
      <w:r w:rsidRPr="005E72D7">
        <w:rPr>
          <w:b/>
        </w:rPr>
        <w:t>speciálních třídách</w:t>
      </w:r>
      <w:r w:rsidR="00A83AD9">
        <w:rPr>
          <w:b/>
        </w:rPr>
        <w:t xml:space="preserve"> a </w:t>
      </w:r>
      <w:r w:rsidRPr="005E72D7">
        <w:rPr>
          <w:b/>
        </w:rPr>
        <w:t>školách</w:t>
      </w:r>
    </w:p>
    <w:p w14:paraId="180E4408" w14:textId="3D7D68ED" w:rsidR="005E72D7" w:rsidRDefault="005E72D7" w:rsidP="005E72D7">
      <w:pPr>
        <w:pStyle w:val="Zkladntext"/>
      </w:pPr>
      <w:r>
        <w:t>N</w:t>
      </w:r>
      <w:r w:rsidRPr="005C7B65">
        <w:t xml:space="preserve">a </w:t>
      </w:r>
      <w:r>
        <w:t xml:space="preserve">květnovém </w:t>
      </w:r>
      <w:r w:rsidRPr="005C7B65">
        <w:t xml:space="preserve">on-line setkání </w:t>
      </w:r>
      <w:r>
        <w:t>zástupce ochránce představil výsledky monitoringu, který ochránce provádí</w:t>
      </w:r>
      <w:r w:rsidR="00A83AD9">
        <w:t xml:space="preserve"> od </w:t>
      </w:r>
      <w:r>
        <w:t>roku 2020</w:t>
      </w:r>
      <w:r w:rsidR="00A83AD9">
        <w:t xml:space="preserve"> na </w:t>
      </w:r>
      <w:r>
        <w:t>základě společného podnětu organizací Spolu</w:t>
      </w:r>
      <w:r w:rsidR="00A83AD9">
        <w:t xml:space="preserve"> a </w:t>
      </w:r>
      <w:r>
        <w:t>Ligy lidských práv.</w:t>
      </w:r>
      <w:r w:rsidR="00A83AD9">
        <w:t xml:space="preserve"> V </w:t>
      </w:r>
      <w:r>
        <w:t>roce 2020 se totiž podstatně změnil systém financování některých podpůrných opatření (například kompenzačních pomůcek či asistenta pedagoga). Ochránce zjistil, že podmínky vzdělávání</w:t>
      </w:r>
      <w:r w:rsidR="00A83AD9">
        <w:t xml:space="preserve"> ve </w:t>
      </w:r>
      <w:r>
        <w:t>speciálních školách se liší</w:t>
      </w:r>
      <w:r w:rsidR="00A83AD9">
        <w:t xml:space="preserve"> v </w:t>
      </w:r>
      <w:r>
        <w:t>různých regionech podle vstřícnosti veřejných zřizovatelů (měst</w:t>
      </w:r>
      <w:r w:rsidR="00A83AD9">
        <w:t xml:space="preserve"> a </w:t>
      </w:r>
      <w:r>
        <w:t>krajů). Situace je rozdílná</w:t>
      </w:r>
      <w:r w:rsidR="00A83AD9">
        <w:t xml:space="preserve"> ve </w:t>
      </w:r>
      <w:r>
        <w:t>veřejných</w:t>
      </w:r>
      <w:r w:rsidR="00A83AD9">
        <w:t xml:space="preserve"> a </w:t>
      </w:r>
      <w:r>
        <w:t>soukromých školách</w:t>
      </w:r>
      <w:r w:rsidR="00A83AD9">
        <w:t xml:space="preserve"> a </w:t>
      </w:r>
      <w:r>
        <w:t>velmi záleží také</w:t>
      </w:r>
      <w:r w:rsidR="00A83AD9">
        <w:t xml:space="preserve"> na </w:t>
      </w:r>
      <w:r>
        <w:t>tom, jak umí veřejné školy využívat finanční prostředky</w:t>
      </w:r>
      <w:r w:rsidR="00A83AD9">
        <w:t xml:space="preserve"> ze </w:t>
      </w:r>
      <w:r>
        <w:t>státního rozpočtu (tzv. PHAmax podle nařízení vlády</w:t>
      </w:r>
      <w:r w:rsidR="00A83AD9">
        <w:t xml:space="preserve"> č. </w:t>
      </w:r>
      <w:r>
        <w:t>123/2018 Sb.).  Ochránce zjistil, že se zvýšil počet dětí</w:t>
      </w:r>
      <w:r w:rsidR="00A83AD9">
        <w:t xml:space="preserve"> s </w:t>
      </w:r>
      <w:r>
        <w:t>postižením</w:t>
      </w:r>
      <w:r w:rsidR="00A83AD9">
        <w:t xml:space="preserve"> v </w:t>
      </w:r>
      <w:r>
        <w:t>domácím vzdělávání</w:t>
      </w:r>
      <w:r w:rsidR="00A83AD9">
        <w:t xml:space="preserve"> a </w:t>
      </w:r>
      <w:r>
        <w:t>že se začal častěji</w:t>
      </w:r>
      <w:r w:rsidR="00A83AD9">
        <w:t xml:space="preserve"> do </w:t>
      </w:r>
      <w:r>
        <w:t>speciálních škol doporučovat další pedagog, což je nákladnější opatření než asistent pedagoga.</w:t>
      </w:r>
      <w:r w:rsidR="00A83AD9">
        <w:t xml:space="preserve"> S </w:t>
      </w:r>
      <w:r>
        <w:t>těmito poznatky seznámil zástupce ochránce také odbornou veřejnost</w:t>
      </w:r>
      <w:r w:rsidR="00A83AD9">
        <w:t xml:space="preserve"> na </w:t>
      </w:r>
      <w:r>
        <w:t>červnovém semináři „Vzdělávání dětí</w:t>
      </w:r>
      <w:r w:rsidR="00A83AD9">
        <w:t xml:space="preserve"> s </w:t>
      </w:r>
      <w:r>
        <w:t>těžkým kombinovaným postižením“, který pořádala poslankyně Martina Ochodnická</w:t>
      </w:r>
      <w:r w:rsidR="00A83AD9">
        <w:t xml:space="preserve"> v </w:t>
      </w:r>
      <w:r>
        <w:t xml:space="preserve">Poslanecké sněmovně. </w:t>
      </w:r>
    </w:p>
    <w:p w14:paraId="5AD34879" w14:textId="77777777" w:rsidR="005E72D7" w:rsidRPr="005E72D7" w:rsidRDefault="005E72D7" w:rsidP="005E72D7">
      <w:pPr>
        <w:pStyle w:val="Zkladntext"/>
        <w:rPr>
          <w:b/>
        </w:rPr>
      </w:pPr>
      <w:r w:rsidRPr="005E72D7">
        <w:rPr>
          <w:b/>
        </w:rPr>
        <w:t>Setkání participační skupiny sebeobhájců</w:t>
      </w:r>
    </w:p>
    <w:p w14:paraId="0218B5A8" w14:textId="70722DE0" w:rsidR="005E72D7" w:rsidRPr="005E72D7" w:rsidRDefault="005E72D7" w:rsidP="005E72D7">
      <w:pPr>
        <w:pStyle w:val="Zkladntext"/>
      </w:pPr>
      <w:r>
        <w:t>Dlouhodobě se</w:t>
      </w:r>
      <w:r w:rsidR="00A83AD9">
        <w:t xml:space="preserve"> na </w:t>
      </w:r>
      <w:r>
        <w:t>monitorování práv lidí</w:t>
      </w:r>
      <w:r w:rsidR="00A83AD9">
        <w:t xml:space="preserve"> s </w:t>
      </w:r>
      <w:r>
        <w:t>postižením podílejí také sebeobhájci.</w:t>
      </w:r>
      <w:r w:rsidR="00A83AD9">
        <w:t xml:space="preserve"> V </w:t>
      </w:r>
      <w:r>
        <w:t>červnu se</w:t>
      </w:r>
      <w:r w:rsidR="00A83AD9">
        <w:t xml:space="preserve"> v </w:t>
      </w:r>
      <w:r>
        <w:t>Kanceláři veřejného ochránce práv sešli sebeobhájci</w:t>
      </w:r>
      <w:r w:rsidR="00A83AD9">
        <w:t xml:space="preserve"> z </w:t>
      </w:r>
      <w:r>
        <w:t>různých koutů republiky.  Rozebrali téma bydlení</w:t>
      </w:r>
      <w:r w:rsidR="00A83AD9">
        <w:t xml:space="preserve"> a </w:t>
      </w:r>
      <w:r>
        <w:t>také se seznámili se svým úkolem, který zpracují</w:t>
      </w:r>
      <w:r w:rsidR="00A83AD9">
        <w:t xml:space="preserve"> v </w:t>
      </w:r>
      <w:r>
        <w:t>následujících měsících. Spočívá</w:t>
      </w:r>
      <w:r w:rsidR="00A83AD9">
        <w:t xml:space="preserve"> v </w:t>
      </w:r>
      <w:r>
        <w:t>provedení rozhovoru</w:t>
      </w:r>
      <w:r w:rsidR="00A83AD9">
        <w:t xml:space="preserve"> s </w:t>
      </w:r>
      <w:r>
        <w:t>jinými lidmi</w:t>
      </w:r>
      <w:r w:rsidR="00A83AD9">
        <w:t xml:space="preserve"> s </w:t>
      </w:r>
      <w:r>
        <w:t>postižením</w:t>
      </w:r>
      <w:r w:rsidR="00A83AD9">
        <w:t xml:space="preserve"> o </w:t>
      </w:r>
      <w:r>
        <w:t>tom, jak žijí. Aktivita je součástí monitorovací činnosti</w:t>
      </w:r>
      <w:r w:rsidR="00A83AD9">
        <w:t xml:space="preserve"> a </w:t>
      </w:r>
      <w:r>
        <w:t>bude dále sloužit jako podklad</w:t>
      </w:r>
      <w:r w:rsidR="00A83AD9">
        <w:t xml:space="preserve"> pro </w:t>
      </w:r>
      <w:r>
        <w:t>doporučení</w:t>
      </w:r>
      <w:r w:rsidR="00A83AD9">
        <w:t xml:space="preserve"> k </w:t>
      </w:r>
      <w:r>
        <w:t xml:space="preserve">naplňování </w:t>
      </w:r>
      <w:r w:rsidR="00C9568A">
        <w:t xml:space="preserve">    </w:t>
      </w:r>
      <w:r>
        <w:t>č</w:t>
      </w:r>
      <w:r w:rsidR="00C9568A">
        <w:t xml:space="preserve">lánku </w:t>
      </w:r>
      <w:r>
        <w:t>19 Úmluvy (tzv. pozičního dokumentu). Další setkání sebeobhájců proběhne</w:t>
      </w:r>
      <w:r w:rsidR="00A83AD9">
        <w:t xml:space="preserve"> v </w:t>
      </w:r>
      <w:r>
        <w:t>září.</w:t>
      </w:r>
    </w:p>
    <w:p w14:paraId="1E1852DF" w14:textId="756253E9" w:rsidR="005F2C14" w:rsidRDefault="005F2C14" w:rsidP="005F2C14">
      <w:pPr>
        <w:pStyle w:val="Nadpis3"/>
      </w:pPr>
      <w:bookmarkStart w:id="54" w:name="_Toc141694121"/>
      <w:r>
        <w:t>Konference, kulaté stoly</w:t>
      </w:r>
      <w:r w:rsidR="00A83AD9">
        <w:t xml:space="preserve"> a </w:t>
      </w:r>
      <w:r>
        <w:t>školení</w:t>
      </w:r>
      <w:bookmarkEnd w:id="54"/>
    </w:p>
    <w:p w14:paraId="7EDB75E1" w14:textId="77777777" w:rsidR="006E0D71" w:rsidRPr="006E0D71" w:rsidRDefault="006E0D71" w:rsidP="006E0D71">
      <w:pPr>
        <w:pStyle w:val="Zkladntext"/>
        <w:rPr>
          <w:b/>
        </w:rPr>
      </w:pPr>
      <w:r w:rsidRPr="006E0D71">
        <w:rPr>
          <w:b/>
        </w:rPr>
        <w:t>Institucionalizace asistenta pedagoga</w:t>
      </w:r>
    </w:p>
    <w:p w14:paraId="444637AB" w14:textId="1B25A0DB" w:rsidR="006E0D71" w:rsidRDefault="006E0D71" w:rsidP="006E0D71">
      <w:pPr>
        <w:pStyle w:val="Zkladntext"/>
      </w:pPr>
      <w:r>
        <w:t>V červnu zástupce ochránce</w:t>
      </w:r>
      <w:r w:rsidRPr="005C7B65">
        <w:t xml:space="preserve"> vystoupil</w:t>
      </w:r>
      <w:r w:rsidR="00A83AD9">
        <w:t xml:space="preserve"> na </w:t>
      </w:r>
      <w:r w:rsidRPr="005C7B65">
        <w:t>on-line kulatém stole „Jak institucionalizovat pozici asistenta pedagoga dobře?“, který pořádaly SKAV</w:t>
      </w:r>
      <w:r w:rsidR="00A83AD9">
        <w:t xml:space="preserve"> a </w:t>
      </w:r>
      <w:r w:rsidRPr="005C7B65">
        <w:t>EDUin.</w:t>
      </w:r>
      <w:r>
        <w:rPr>
          <w:rStyle w:val="Znakapoznpodarou"/>
        </w:rPr>
        <w:footnoteReference w:id="35"/>
      </w:r>
      <w:r w:rsidRPr="005C7B65">
        <w:t xml:space="preserve"> </w:t>
      </w:r>
      <w:r>
        <w:t xml:space="preserve">Ochránce obecně </w:t>
      </w:r>
      <w:r w:rsidRPr="005C7B65">
        <w:t>nerozporuje změnu</w:t>
      </w:r>
      <w:r w:rsidR="00A83AD9">
        <w:t xml:space="preserve"> při </w:t>
      </w:r>
      <w:r w:rsidRPr="005C7B65">
        <w:t>zajištění pedagogické asistence žákům se speciálními vzdělávacími potřebami</w:t>
      </w:r>
      <w:r>
        <w:t>, kterou navrhuje MŠMT</w:t>
      </w:r>
      <w:r w:rsidR="00A83AD9">
        <w:t xml:space="preserve"> v </w:t>
      </w:r>
      <w:r>
        <w:t>hlavním vzdělávacím proudu</w:t>
      </w:r>
      <w:r w:rsidRPr="005C7B65">
        <w:t xml:space="preserve"> (tzn. přechod</w:t>
      </w:r>
      <w:r w:rsidR="00A83AD9">
        <w:t xml:space="preserve"> od </w:t>
      </w:r>
      <w:r w:rsidRPr="005C7B65">
        <w:t>individualizované podpory</w:t>
      </w:r>
      <w:r w:rsidR="00A83AD9">
        <w:t xml:space="preserve"> k </w:t>
      </w:r>
      <w:r w:rsidRPr="005C7B65">
        <w:t xml:space="preserve">podpoře institucionální podle předem stanovených parametrů). </w:t>
      </w:r>
      <w:r>
        <w:t xml:space="preserve">Ochránce </w:t>
      </w:r>
      <w:r w:rsidRPr="005C7B65">
        <w:t>ale zároveň požaduje, aby byl</w:t>
      </w:r>
      <w:r w:rsidR="00A83AD9">
        <w:t xml:space="preserve"> ve </w:t>
      </w:r>
      <w:r w:rsidRPr="005C7B65">
        <w:t>školském zákoně stanoven p</w:t>
      </w:r>
      <w:r>
        <w:t>ostup, jak zajistit žákům</w:t>
      </w:r>
      <w:r w:rsidRPr="005C7B65">
        <w:t xml:space="preserve"> individualizovanou podporu, když finanční prostředky rozdělené podle parametrů st</w:t>
      </w:r>
      <w:r>
        <w:t>anovených nařízením vlády nebudou</w:t>
      </w:r>
      <w:r w:rsidRPr="005C7B65">
        <w:t xml:space="preserve"> stačit.</w:t>
      </w:r>
      <w:r>
        <w:rPr>
          <w:rStyle w:val="Znakapoznpodarou"/>
        </w:rPr>
        <w:footnoteReference w:id="36"/>
      </w:r>
      <w:r w:rsidRPr="005C7B65">
        <w:t xml:space="preserve"> Pokud nebude</w:t>
      </w:r>
      <w:r w:rsidR="00A83AD9">
        <w:t xml:space="preserve"> v </w:t>
      </w:r>
      <w:r w:rsidRPr="005C7B65">
        <w:t>zákoně zajištěna individualizace</w:t>
      </w:r>
      <w:r w:rsidR="00A83AD9">
        <w:t xml:space="preserve"> ve </w:t>
      </w:r>
      <w:r w:rsidRPr="005C7B65">
        <w:t xml:space="preserve">zvláštních případech, </w:t>
      </w:r>
      <w:r>
        <w:t xml:space="preserve">navržená </w:t>
      </w:r>
      <w:r w:rsidRPr="005C7B65">
        <w:t>právní úprava povede</w:t>
      </w:r>
      <w:r w:rsidR="00A83AD9">
        <w:t xml:space="preserve"> ke </w:t>
      </w:r>
      <w:r w:rsidRPr="005C7B65">
        <w:t xml:space="preserve">snížení standardu ochrany práva </w:t>
      </w:r>
      <w:r>
        <w:t>všech dětí</w:t>
      </w:r>
      <w:r w:rsidR="00A83AD9">
        <w:t xml:space="preserve"> na </w:t>
      </w:r>
      <w:r>
        <w:t>vzdělání</w:t>
      </w:r>
      <w:r w:rsidR="00A83AD9">
        <w:t xml:space="preserve"> a </w:t>
      </w:r>
      <w:r w:rsidRPr="005C7B65">
        <w:t>bude</w:t>
      </w:r>
      <w:r w:rsidR="00A83AD9">
        <w:t xml:space="preserve"> v </w:t>
      </w:r>
      <w:r>
        <w:t>rozporu</w:t>
      </w:r>
      <w:r w:rsidR="00A83AD9">
        <w:t xml:space="preserve"> s </w:t>
      </w:r>
      <w:r w:rsidRPr="005C7B65">
        <w:t>čl. 24 odst. 2 písm. c)</w:t>
      </w:r>
      <w:r w:rsidR="00A83AD9">
        <w:t xml:space="preserve"> a </w:t>
      </w:r>
      <w:r w:rsidRPr="005C7B65">
        <w:t>e) Úmluvy</w:t>
      </w:r>
      <w:r w:rsidR="00A83AD9">
        <w:t xml:space="preserve"> o </w:t>
      </w:r>
      <w:r w:rsidRPr="005C7B65">
        <w:t xml:space="preserve">právech osob se zdravotním postižením, jak jej </w:t>
      </w:r>
      <w:r>
        <w:t xml:space="preserve">setrvale </w:t>
      </w:r>
      <w:r w:rsidRPr="005C7B65">
        <w:t>vykládá Výbor OSN.</w:t>
      </w:r>
      <w:r>
        <w:rPr>
          <w:rStyle w:val="Znakapoznpodarou"/>
        </w:rPr>
        <w:footnoteReference w:id="37"/>
      </w:r>
      <w:r w:rsidR="00A83AD9">
        <w:t xml:space="preserve"> S </w:t>
      </w:r>
      <w:r>
        <w:t>názorem ochránce se ztotožnil také Vládní výbor</w:t>
      </w:r>
      <w:r w:rsidR="00A83AD9">
        <w:t xml:space="preserve"> pro </w:t>
      </w:r>
      <w:r>
        <w:t>osoby se zdravotním postižením, který vyzval vládu</w:t>
      </w:r>
      <w:r w:rsidR="00A83AD9">
        <w:t xml:space="preserve"> k </w:t>
      </w:r>
      <w:r>
        <w:t>úpravě návrhu novely</w:t>
      </w:r>
      <w:r w:rsidR="00A83AD9">
        <w:t xml:space="preserve"> na </w:t>
      </w:r>
      <w:r>
        <w:t>svém červnovém zasedání.</w:t>
      </w:r>
      <w:r>
        <w:rPr>
          <w:rStyle w:val="Znakapoznpodarou"/>
        </w:rPr>
        <w:footnoteReference w:id="38"/>
      </w:r>
    </w:p>
    <w:p w14:paraId="54D26992" w14:textId="74C1889C" w:rsidR="006E0D71" w:rsidRPr="000D5B7F" w:rsidRDefault="006E0D71" w:rsidP="006E0D71">
      <w:pPr>
        <w:pStyle w:val="Zkladntext"/>
        <w:rPr>
          <w:b/>
        </w:rPr>
      </w:pPr>
      <w:r w:rsidRPr="000D5B7F">
        <w:rPr>
          <w:b/>
        </w:rPr>
        <w:t>Ochrana lidí</w:t>
      </w:r>
      <w:r w:rsidR="00A83AD9">
        <w:rPr>
          <w:b/>
        </w:rPr>
        <w:t xml:space="preserve"> s </w:t>
      </w:r>
      <w:r w:rsidRPr="000D5B7F">
        <w:rPr>
          <w:b/>
        </w:rPr>
        <w:t>postižením před diskriminací</w:t>
      </w:r>
      <w:r w:rsidR="00A83AD9">
        <w:rPr>
          <w:b/>
        </w:rPr>
        <w:t xml:space="preserve"> v </w:t>
      </w:r>
      <w:r w:rsidRPr="000D5B7F">
        <w:rPr>
          <w:b/>
        </w:rPr>
        <w:t>EU</w:t>
      </w:r>
    </w:p>
    <w:p w14:paraId="2728E6B3" w14:textId="6A1CC5DF" w:rsidR="006E0D71" w:rsidRDefault="006E0D71" w:rsidP="006E0D71">
      <w:pPr>
        <w:pStyle w:val="Zkladntext"/>
      </w:pPr>
      <w:r>
        <w:t>Právník odboru ochrany práv osob</w:t>
      </w:r>
      <w:r w:rsidR="00A83AD9">
        <w:t xml:space="preserve"> s </w:t>
      </w:r>
      <w:r>
        <w:t>postižením se zúčastnil vzdělávací akce pořádané Evropskou akademií práva</w:t>
      </w:r>
      <w:r w:rsidR="00A83AD9">
        <w:t xml:space="preserve"> v </w:t>
      </w:r>
      <w:r>
        <w:t>Barceloně. Seminář byl určen zejména</w:t>
      </w:r>
      <w:r w:rsidR="00A83AD9">
        <w:t xml:space="preserve"> pro </w:t>
      </w:r>
      <w:r>
        <w:t>advokáty, úředníky</w:t>
      </w:r>
      <w:r w:rsidR="00A83AD9">
        <w:t xml:space="preserve"> a </w:t>
      </w:r>
      <w:r>
        <w:t>pracovníky neziskových organizací</w:t>
      </w:r>
      <w:r w:rsidR="00A83AD9">
        <w:t xml:space="preserve"> ze </w:t>
      </w:r>
      <w:r>
        <w:t>všech zemí EU. Právník přednesl poznatky</w:t>
      </w:r>
      <w:r w:rsidR="00A83AD9">
        <w:t xml:space="preserve"> o </w:t>
      </w:r>
      <w:r>
        <w:t>ochraně práv lidí</w:t>
      </w:r>
      <w:r w:rsidR="00A83AD9">
        <w:t xml:space="preserve"> s </w:t>
      </w:r>
      <w:r>
        <w:t>postižením dle Úmluvy</w:t>
      </w:r>
      <w:r w:rsidR="00A83AD9">
        <w:t xml:space="preserve"> o </w:t>
      </w:r>
      <w:r>
        <w:t>právech osob se zdravotním postižením</w:t>
      </w:r>
      <w:r w:rsidR="00A83AD9">
        <w:t xml:space="preserve"> a </w:t>
      </w:r>
      <w:r>
        <w:t>příslušných směrnic EU. Zaměřil se zejména</w:t>
      </w:r>
      <w:r w:rsidR="00A83AD9">
        <w:t xml:space="preserve"> na </w:t>
      </w:r>
      <w:r>
        <w:t>případy lidí</w:t>
      </w:r>
      <w:r w:rsidR="00A83AD9">
        <w:t xml:space="preserve"> s </w:t>
      </w:r>
      <w:r>
        <w:t>postižením, které</w:t>
      </w:r>
      <w:r w:rsidR="00A83AD9">
        <w:t xml:space="preserve"> v </w:t>
      </w:r>
      <w:r>
        <w:t>minulosti řešil Soudní dvůr Evropské unie</w:t>
      </w:r>
      <w:r w:rsidR="00A83AD9">
        <w:t xml:space="preserve"> v </w:t>
      </w:r>
      <w:r>
        <w:t>oblasti práce</w:t>
      </w:r>
      <w:r w:rsidR="00A83AD9">
        <w:t xml:space="preserve"> a </w:t>
      </w:r>
      <w:r>
        <w:t>zaměstnání (s důrazem</w:t>
      </w:r>
      <w:r w:rsidR="00A83AD9">
        <w:t xml:space="preserve"> na </w:t>
      </w:r>
      <w:r>
        <w:t>přijímání přiměřených opatření).</w:t>
      </w:r>
    </w:p>
    <w:p w14:paraId="672720A4" w14:textId="5E7A8D84" w:rsidR="006E0D71" w:rsidRDefault="006E0D71" w:rsidP="006E0D71">
      <w:pPr>
        <w:pStyle w:val="Zkladntext"/>
        <w:rPr>
          <w:b/>
        </w:rPr>
      </w:pPr>
      <w:r w:rsidRPr="00C57F87">
        <w:rPr>
          <w:b/>
        </w:rPr>
        <w:t>Přednáška</w:t>
      </w:r>
      <w:r w:rsidR="00A83AD9">
        <w:rPr>
          <w:b/>
        </w:rPr>
        <w:t xml:space="preserve"> s </w:t>
      </w:r>
      <w:r w:rsidRPr="00C57F87">
        <w:rPr>
          <w:b/>
        </w:rPr>
        <w:t>názvem „Aby byl náš hlas slyšet, abychom měli možnost volby“</w:t>
      </w:r>
    </w:p>
    <w:p w14:paraId="631C1595" w14:textId="76E5CFA4" w:rsidR="006E0D71" w:rsidRDefault="006E0D71" w:rsidP="006E0D71">
      <w:pPr>
        <w:pStyle w:val="Zkladntext"/>
      </w:pPr>
      <w:r>
        <w:t>Ochránce uspořádal 18. května</w:t>
      </w:r>
      <w:r w:rsidR="00A83AD9">
        <w:t xml:space="preserve"> ve </w:t>
      </w:r>
      <w:r>
        <w:t>spolupráci</w:t>
      </w:r>
      <w:r w:rsidR="00A83AD9">
        <w:t xml:space="preserve"> s </w:t>
      </w:r>
      <w:r>
        <w:t xml:space="preserve">Fakultou sociálních studií Masarykovy univerzity </w:t>
      </w:r>
      <w:r w:rsidRPr="009639B2">
        <w:t>přednášku</w:t>
      </w:r>
      <w:r w:rsidR="00A83AD9">
        <w:t xml:space="preserve"> s </w:t>
      </w:r>
      <w:r w:rsidRPr="009639B2">
        <w:t>australskou odbornicí</w:t>
      </w:r>
      <w:r w:rsidR="00A83AD9">
        <w:t xml:space="preserve"> na </w:t>
      </w:r>
      <w:r w:rsidRPr="009639B2">
        <w:t xml:space="preserve">sebeobhajování </w:t>
      </w:r>
      <w:r w:rsidRPr="00C57F87">
        <w:t>Cate Thomas</w:t>
      </w:r>
      <w:r>
        <w:t>.</w:t>
      </w:r>
      <w:r w:rsidR="00A83AD9">
        <w:t xml:space="preserve"> Ve </w:t>
      </w:r>
      <w:r w:rsidRPr="00C57F87">
        <w:t>své odborné praxi se zabývá problematikou sociální spravedlnosti</w:t>
      </w:r>
      <w:r w:rsidR="00A83AD9">
        <w:t xml:space="preserve"> a </w:t>
      </w:r>
      <w:r w:rsidRPr="00C57F87">
        <w:t>sociální politikou, rovností žen</w:t>
      </w:r>
      <w:r w:rsidR="00A83AD9">
        <w:t xml:space="preserve"> a </w:t>
      </w:r>
      <w:r w:rsidRPr="00C57F87">
        <w:t>mužů, právy lidí</w:t>
      </w:r>
      <w:r w:rsidR="00A83AD9">
        <w:t xml:space="preserve"> s </w:t>
      </w:r>
      <w:r w:rsidRPr="00C57F87">
        <w:t>postižením</w:t>
      </w:r>
      <w:r w:rsidR="00A83AD9">
        <w:t xml:space="preserve"> a </w:t>
      </w:r>
      <w:r w:rsidRPr="00C57F87">
        <w:t>sebeobhajováním, otázkami spojenými</w:t>
      </w:r>
      <w:r w:rsidR="00A83AD9">
        <w:t xml:space="preserve"> s </w:t>
      </w:r>
      <w:r w:rsidRPr="00C57F87">
        <w:t xml:space="preserve">intersexualitou. Cílem přednášky </w:t>
      </w:r>
      <w:r>
        <w:t>bylo</w:t>
      </w:r>
      <w:r w:rsidRPr="00C57F87">
        <w:t xml:space="preserve"> představit různé pohledy</w:t>
      </w:r>
      <w:r w:rsidR="00A83AD9">
        <w:t xml:space="preserve"> na </w:t>
      </w:r>
      <w:r w:rsidRPr="00C57F87">
        <w:t>sebeobhajování</w:t>
      </w:r>
      <w:r w:rsidR="00A83AD9">
        <w:t xml:space="preserve"> a </w:t>
      </w:r>
      <w:r w:rsidRPr="00C57F87">
        <w:t>podpo</w:t>
      </w:r>
      <w:r>
        <w:t>ru</w:t>
      </w:r>
      <w:r w:rsidRPr="00C57F87">
        <w:t xml:space="preserve"> lid</w:t>
      </w:r>
      <w:r>
        <w:t>í</w:t>
      </w:r>
      <w:r w:rsidR="00A83AD9">
        <w:t xml:space="preserve"> s </w:t>
      </w:r>
      <w:r w:rsidRPr="00C57F87">
        <w:t>mentálním postižením</w:t>
      </w:r>
      <w:r w:rsidR="00A83AD9">
        <w:t xml:space="preserve"> při </w:t>
      </w:r>
      <w:r w:rsidRPr="00C57F87">
        <w:t>získ</w:t>
      </w:r>
      <w:r>
        <w:t>ávání</w:t>
      </w:r>
      <w:r w:rsidRPr="00C57F87">
        <w:t xml:space="preserve"> vyšší mír</w:t>
      </w:r>
      <w:r>
        <w:t>y</w:t>
      </w:r>
      <w:r w:rsidRPr="00C57F87">
        <w:t xml:space="preserve"> samostatnosti</w:t>
      </w:r>
      <w:r w:rsidR="00A83AD9">
        <w:t xml:space="preserve"> a </w:t>
      </w:r>
      <w:r w:rsidRPr="00C57F87">
        <w:t xml:space="preserve">nezávislosti. Součástí přednášky </w:t>
      </w:r>
      <w:r>
        <w:t>bylo</w:t>
      </w:r>
      <w:r w:rsidRPr="00C57F87">
        <w:t xml:space="preserve"> také zamyšlení se</w:t>
      </w:r>
      <w:r w:rsidR="00A83AD9">
        <w:t xml:space="preserve"> nad </w:t>
      </w:r>
      <w:r w:rsidRPr="00C57F87">
        <w:t>možnostmi rozvoje sebeobhajování</w:t>
      </w:r>
      <w:r w:rsidR="00A83AD9">
        <w:t xml:space="preserve"> v </w:t>
      </w:r>
      <w:r>
        <w:t>ČR</w:t>
      </w:r>
      <w:r w:rsidRPr="00C57F87">
        <w:t>.</w:t>
      </w:r>
    </w:p>
    <w:p w14:paraId="4774E572" w14:textId="0C85B2D1" w:rsidR="006E0D71" w:rsidRDefault="006E0D71" w:rsidP="006E0D71">
      <w:pPr>
        <w:shd w:val="clear" w:color="auto" w:fill="FFFFFF"/>
        <w:jc w:val="both"/>
        <w:rPr>
          <w:b/>
        </w:rPr>
      </w:pPr>
      <w:r w:rsidRPr="00FF1970">
        <w:rPr>
          <w:b/>
        </w:rPr>
        <w:t>Panelová diskuze</w:t>
      </w:r>
      <w:r w:rsidR="00A83AD9">
        <w:rPr>
          <w:b/>
        </w:rPr>
        <w:t xml:space="preserve"> na </w:t>
      </w:r>
      <w:r>
        <w:rPr>
          <w:b/>
        </w:rPr>
        <w:t>téma</w:t>
      </w:r>
      <w:r w:rsidRPr="00FF1970">
        <w:rPr>
          <w:b/>
        </w:rPr>
        <w:t xml:space="preserve"> </w:t>
      </w:r>
      <w:r>
        <w:rPr>
          <w:b/>
        </w:rPr>
        <w:t>„L</w:t>
      </w:r>
      <w:r w:rsidRPr="00FF1970">
        <w:rPr>
          <w:b/>
        </w:rPr>
        <w:t xml:space="preserve">idé, kteří propadávají </w:t>
      </w:r>
      <w:r w:rsidR="001D676F">
        <w:rPr>
          <w:b/>
        </w:rPr>
        <w:t xml:space="preserve">systémem </w:t>
      </w:r>
      <w:r w:rsidRPr="00FF1970">
        <w:rPr>
          <w:b/>
        </w:rPr>
        <w:t>sociálních</w:t>
      </w:r>
      <w:r w:rsidR="00A83AD9">
        <w:rPr>
          <w:b/>
        </w:rPr>
        <w:t xml:space="preserve"> a </w:t>
      </w:r>
      <w:r w:rsidRPr="00FF1970">
        <w:rPr>
          <w:b/>
        </w:rPr>
        <w:t>zdravotních služeb</w:t>
      </w:r>
      <w:r>
        <w:rPr>
          <w:b/>
        </w:rPr>
        <w:t>“</w:t>
      </w:r>
    </w:p>
    <w:p w14:paraId="06B6C8C8" w14:textId="77777777" w:rsidR="001D676F" w:rsidRPr="00FF1970" w:rsidRDefault="001D676F" w:rsidP="006E0D71">
      <w:pPr>
        <w:shd w:val="clear" w:color="auto" w:fill="FFFFFF"/>
        <w:jc w:val="both"/>
        <w:rPr>
          <w:b/>
        </w:rPr>
      </w:pPr>
    </w:p>
    <w:p w14:paraId="6A932AF7" w14:textId="3F233DFB" w:rsidR="006E0D71" w:rsidRDefault="00297A80" w:rsidP="006E0D71">
      <w:pPr>
        <w:shd w:val="clear" w:color="auto" w:fill="FFFFFF"/>
        <w:jc w:val="both"/>
      </w:pPr>
      <w:r>
        <w:t>Ochránce</w:t>
      </w:r>
      <w:r w:rsidR="00A83AD9">
        <w:t xml:space="preserve"> ve </w:t>
      </w:r>
      <w:r w:rsidR="006E0D71">
        <w:t>spolupráci</w:t>
      </w:r>
      <w:r w:rsidR="00A83AD9">
        <w:t xml:space="preserve"> s </w:t>
      </w:r>
      <w:r w:rsidR="006E0D71">
        <w:t>organizací Práh Jižní Morava uspořádal</w:t>
      </w:r>
      <w:r w:rsidR="00A83AD9">
        <w:t xml:space="preserve"> v </w:t>
      </w:r>
      <w:r w:rsidR="006E0D71">
        <w:t>dubnu panelovou diskuzi věnovanou zmapování bariér, které brání některým lidem využívat existující systém sociální podpory</w:t>
      </w:r>
      <w:r w:rsidR="00A83AD9">
        <w:t xml:space="preserve"> a </w:t>
      </w:r>
      <w:r w:rsidR="006E0D71">
        <w:t>ochrany.</w:t>
      </w:r>
      <w:r w:rsidR="00A83AD9">
        <w:t xml:space="preserve"> V </w:t>
      </w:r>
      <w:r w:rsidR="006E0D71">
        <w:t>diskuzi vystoupili zástupci zdravotních</w:t>
      </w:r>
      <w:r w:rsidR="00A83AD9">
        <w:t xml:space="preserve"> a </w:t>
      </w:r>
      <w:r w:rsidR="006E0D71">
        <w:t>sociálních služeb, soudu, kraje, obci</w:t>
      </w:r>
      <w:r w:rsidR="00A83AD9">
        <w:t xml:space="preserve"> i </w:t>
      </w:r>
      <w:r w:rsidR="006E0D71">
        <w:t>veřejní opatrovníci, ale také člověk se zkušeností</w:t>
      </w:r>
      <w:r w:rsidR="00A83AD9">
        <w:t xml:space="preserve"> s </w:t>
      </w:r>
      <w:r w:rsidR="006E0D71">
        <w:t>duševním onemocněním</w:t>
      </w:r>
      <w:r w:rsidR="00A83AD9">
        <w:t xml:space="preserve"> a </w:t>
      </w:r>
      <w:r w:rsidR="006E0D71">
        <w:t xml:space="preserve">bývalý peer pracovník Práh jižní Morava. </w:t>
      </w:r>
      <w:r>
        <w:t>Debatující se d</w:t>
      </w:r>
      <w:r w:rsidR="006E0D71">
        <w:t>otkli různých témat, například stigmatizace lidí</w:t>
      </w:r>
      <w:r w:rsidR="00A83AD9">
        <w:t xml:space="preserve"> s </w:t>
      </w:r>
      <w:r w:rsidR="006E0D71">
        <w:t>duševním onemocněním uvnitř systému, nepřístupnost úředních postupů, nedostupnost vhodného</w:t>
      </w:r>
      <w:r w:rsidR="00A83AD9">
        <w:t xml:space="preserve"> a </w:t>
      </w:r>
      <w:r w:rsidR="006E0D71">
        <w:t>sociálního bydlení či nedostatečné využívání alternativ</w:t>
      </w:r>
      <w:r w:rsidR="00A83AD9">
        <w:t xml:space="preserve"> k </w:t>
      </w:r>
      <w:r w:rsidR="006E0D71">
        <w:t>omezení svéprávnosti.</w:t>
      </w:r>
    </w:p>
    <w:p w14:paraId="2AE43CCB" w14:textId="77777777" w:rsidR="006E0D71" w:rsidRDefault="006E0D71" w:rsidP="006E0D71">
      <w:pPr>
        <w:shd w:val="clear" w:color="auto" w:fill="FFFFFF"/>
        <w:jc w:val="both"/>
      </w:pPr>
    </w:p>
    <w:p w14:paraId="10FD0347" w14:textId="7932645B" w:rsidR="006E0D71" w:rsidRDefault="006E0D71" w:rsidP="006E0D71">
      <w:pPr>
        <w:shd w:val="clear" w:color="auto" w:fill="FFFFFF"/>
        <w:jc w:val="both"/>
        <w:rPr>
          <w:b/>
        </w:rPr>
      </w:pPr>
      <w:r w:rsidRPr="00835E5E">
        <w:rPr>
          <w:b/>
        </w:rPr>
        <w:t>Zkouška</w:t>
      </w:r>
      <w:r w:rsidR="00A83AD9">
        <w:rPr>
          <w:b/>
        </w:rPr>
        <w:t xml:space="preserve"> z </w:t>
      </w:r>
      <w:r w:rsidRPr="00835E5E">
        <w:rPr>
          <w:b/>
        </w:rPr>
        <w:t>českého znakového jazyka</w:t>
      </w:r>
    </w:p>
    <w:p w14:paraId="557371DD" w14:textId="77777777" w:rsidR="006E0D71" w:rsidRPr="00835E5E" w:rsidRDefault="006E0D71" w:rsidP="006E0D71">
      <w:pPr>
        <w:shd w:val="clear" w:color="auto" w:fill="FFFFFF"/>
        <w:jc w:val="both"/>
        <w:rPr>
          <w:b/>
        </w:rPr>
      </w:pPr>
    </w:p>
    <w:p w14:paraId="48E41888" w14:textId="2A633337" w:rsidR="006E0D71" w:rsidRDefault="006E0D71" w:rsidP="006E0D71">
      <w:pPr>
        <w:jc w:val="both"/>
        <w:rPr>
          <w:rFonts w:asciiTheme="minorHAnsi" w:hAnsiTheme="minorHAnsi" w:cstheme="minorHAnsi"/>
          <w:color w:val="000000"/>
        </w:rPr>
      </w:pPr>
      <w:r>
        <w:rPr>
          <w:rFonts w:asciiTheme="minorHAnsi" w:hAnsiTheme="minorHAnsi" w:cstheme="minorHAnsi"/>
          <w:color w:val="050505"/>
          <w:shd w:val="clear" w:color="auto" w:fill="FFFFFF"/>
        </w:rPr>
        <w:t>Zástupce ochránce</w:t>
      </w:r>
      <w:r w:rsidRPr="00835E5E">
        <w:rPr>
          <w:rFonts w:asciiTheme="minorHAnsi" w:hAnsiTheme="minorHAnsi" w:cstheme="minorHAnsi"/>
          <w:color w:val="050505"/>
          <w:shd w:val="clear" w:color="auto" w:fill="FFFFFF"/>
        </w:rPr>
        <w:t xml:space="preserve"> </w:t>
      </w:r>
      <w:r w:rsidRPr="00835E5E">
        <w:rPr>
          <w:rFonts w:cstheme="minorHAnsi"/>
          <w:color w:val="050505"/>
          <w:shd w:val="clear" w:color="auto" w:fill="FFFFFF"/>
        </w:rPr>
        <w:t>jednal</w:t>
      </w:r>
      <w:r w:rsidR="00A83AD9">
        <w:rPr>
          <w:rFonts w:cstheme="minorHAnsi"/>
          <w:color w:val="050505"/>
          <w:shd w:val="clear" w:color="auto" w:fill="FFFFFF"/>
        </w:rPr>
        <w:t xml:space="preserve"> v </w:t>
      </w:r>
      <w:r w:rsidRPr="00835E5E">
        <w:rPr>
          <w:rFonts w:asciiTheme="minorHAnsi" w:hAnsiTheme="minorHAnsi" w:cstheme="minorHAnsi"/>
          <w:color w:val="050505"/>
          <w:shd w:val="clear" w:color="auto" w:fill="FFFFFF"/>
        </w:rPr>
        <w:t>Poslanecké sněmovně ohledně vzniku zkoušky</w:t>
      </w:r>
      <w:r w:rsidR="00A83AD9">
        <w:rPr>
          <w:rFonts w:asciiTheme="minorHAnsi" w:hAnsiTheme="minorHAnsi" w:cstheme="minorHAnsi"/>
          <w:color w:val="050505"/>
          <w:shd w:val="clear" w:color="auto" w:fill="FFFFFF"/>
        </w:rPr>
        <w:t xml:space="preserve"> z </w:t>
      </w:r>
      <w:r w:rsidRPr="00835E5E">
        <w:rPr>
          <w:rFonts w:asciiTheme="minorHAnsi" w:hAnsiTheme="minorHAnsi" w:cstheme="minorHAnsi"/>
          <w:color w:val="050505"/>
          <w:shd w:val="clear" w:color="auto" w:fill="FFFFFF"/>
        </w:rPr>
        <w:t>českého znakového jazyka</w:t>
      </w:r>
      <w:r w:rsidRPr="00835E5E">
        <w:rPr>
          <w:rFonts w:cstheme="minorHAnsi"/>
          <w:color w:val="050505"/>
          <w:shd w:val="clear" w:color="auto" w:fill="FFFFFF"/>
        </w:rPr>
        <w:t xml:space="preserve">. </w:t>
      </w:r>
      <w:r w:rsidRPr="00835E5E">
        <w:rPr>
          <w:rFonts w:cstheme="minorHAnsi"/>
          <w:color w:val="050505"/>
        </w:rPr>
        <w:t>N</w:t>
      </w:r>
      <w:r w:rsidRPr="00835E5E">
        <w:rPr>
          <w:rFonts w:asciiTheme="minorHAnsi" w:hAnsiTheme="minorHAnsi" w:cstheme="minorHAnsi"/>
          <w:color w:val="050505"/>
        </w:rPr>
        <w:t xml:space="preserve">avázal </w:t>
      </w:r>
      <w:r w:rsidRPr="00835E5E">
        <w:rPr>
          <w:rFonts w:cstheme="minorHAnsi"/>
          <w:color w:val="050505"/>
        </w:rPr>
        <w:t>zde</w:t>
      </w:r>
      <w:r w:rsidR="00A83AD9">
        <w:rPr>
          <w:rFonts w:cstheme="minorHAnsi"/>
          <w:color w:val="050505"/>
        </w:rPr>
        <w:t xml:space="preserve"> na </w:t>
      </w:r>
      <w:r w:rsidRPr="00835E5E">
        <w:rPr>
          <w:rFonts w:asciiTheme="minorHAnsi" w:hAnsiTheme="minorHAnsi" w:cstheme="minorHAnsi"/>
          <w:color w:val="050505"/>
        </w:rPr>
        <w:t xml:space="preserve">doporučení </w:t>
      </w:r>
      <w:r w:rsidRPr="00EE6808">
        <w:rPr>
          <w:rFonts w:asciiTheme="minorHAnsi" w:hAnsiTheme="minorHAnsi" w:cstheme="minorHAnsi"/>
          <w:color w:val="050505"/>
        </w:rPr>
        <w:t>bývalé ochránkyně.</w:t>
      </w:r>
      <w:r w:rsidR="00A83AD9">
        <w:rPr>
          <w:rFonts w:asciiTheme="minorHAnsi" w:hAnsiTheme="minorHAnsi" w:cstheme="minorHAnsi"/>
          <w:color w:val="050505"/>
        </w:rPr>
        <w:t xml:space="preserve"> V </w:t>
      </w:r>
      <w:r w:rsidRPr="00835E5E">
        <w:rPr>
          <w:rFonts w:asciiTheme="minorHAnsi" w:hAnsiTheme="minorHAnsi" w:cstheme="minorHAnsi"/>
          <w:color w:val="050505"/>
        </w:rPr>
        <w:t>reakci</w:t>
      </w:r>
      <w:r w:rsidR="00A83AD9">
        <w:rPr>
          <w:rFonts w:asciiTheme="minorHAnsi" w:hAnsiTheme="minorHAnsi" w:cstheme="minorHAnsi"/>
          <w:color w:val="050505"/>
        </w:rPr>
        <w:t xml:space="preserve"> na </w:t>
      </w:r>
      <w:r w:rsidRPr="00835E5E">
        <w:rPr>
          <w:rFonts w:asciiTheme="minorHAnsi" w:hAnsiTheme="minorHAnsi" w:cstheme="minorHAnsi"/>
          <w:color w:val="050505"/>
        </w:rPr>
        <w:t>toto doporučení vznikl popis úrovní českého znakového jazyka, chybí ale jednotná zkouška</w:t>
      </w:r>
      <w:r w:rsidR="00A83AD9">
        <w:rPr>
          <w:rFonts w:asciiTheme="minorHAnsi" w:hAnsiTheme="minorHAnsi" w:cstheme="minorHAnsi"/>
          <w:color w:val="050505"/>
        </w:rPr>
        <w:t xml:space="preserve"> k </w:t>
      </w:r>
      <w:r w:rsidRPr="00835E5E">
        <w:rPr>
          <w:rFonts w:asciiTheme="minorHAnsi" w:hAnsiTheme="minorHAnsi" w:cstheme="minorHAnsi"/>
          <w:color w:val="050505"/>
        </w:rPr>
        <w:t>ověření dosažení tě</w:t>
      </w:r>
      <w:r>
        <w:rPr>
          <w:rFonts w:asciiTheme="minorHAnsi" w:hAnsiTheme="minorHAnsi" w:cstheme="minorHAnsi"/>
          <w:color w:val="050505"/>
        </w:rPr>
        <w:t>chto úrovní. Zástupce ochránce</w:t>
      </w:r>
      <w:r w:rsidRPr="00835E5E">
        <w:rPr>
          <w:rFonts w:asciiTheme="minorHAnsi" w:hAnsiTheme="minorHAnsi" w:cstheme="minorHAnsi"/>
          <w:color w:val="050505"/>
        </w:rPr>
        <w:t xml:space="preserve"> proto zdůraznil důležitost jejího vzniku. Český znakový jazyk by se pak testoval podobně jako cizí mluvené jazyky. Jednotná jazyková zkouška by tak umožnila prokázat minimální jazykovou způsobilost absolventů. Kvalitní tlumočení nebo používání českého znakového jazyka</w:t>
      </w:r>
      <w:r w:rsidR="00A83AD9">
        <w:rPr>
          <w:rFonts w:asciiTheme="minorHAnsi" w:hAnsiTheme="minorHAnsi" w:cstheme="minorHAnsi"/>
          <w:color w:val="050505"/>
        </w:rPr>
        <w:t xml:space="preserve"> v </w:t>
      </w:r>
      <w:r w:rsidRPr="00835E5E">
        <w:rPr>
          <w:rFonts w:asciiTheme="minorHAnsi" w:hAnsiTheme="minorHAnsi" w:cstheme="minorHAnsi"/>
          <w:color w:val="050505"/>
        </w:rPr>
        <w:t>praxi je nutné</w:t>
      </w:r>
      <w:r w:rsidR="00A83AD9">
        <w:rPr>
          <w:rFonts w:asciiTheme="minorHAnsi" w:hAnsiTheme="minorHAnsi" w:cstheme="minorHAnsi"/>
          <w:color w:val="050505"/>
        </w:rPr>
        <w:t xml:space="preserve"> ve </w:t>
      </w:r>
      <w:r w:rsidRPr="00835E5E">
        <w:rPr>
          <w:rFonts w:asciiTheme="minorHAnsi" w:hAnsiTheme="minorHAnsi" w:cstheme="minorHAnsi"/>
          <w:color w:val="050505"/>
        </w:rPr>
        <w:t xml:space="preserve">školách, ale </w:t>
      </w:r>
      <w:r w:rsidR="00C9568A">
        <w:rPr>
          <w:rFonts w:asciiTheme="minorHAnsi" w:hAnsiTheme="minorHAnsi" w:cstheme="minorHAnsi"/>
          <w:color w:val="050505"/>
        </w:rPr>
        <w:t xml:space="preserve">           </w:t>
      </w:r>
      <w:r w:rsidRPr="00835E5E">
        <w:rPr>
          <w:rFonts w:asciiTheme="minorHAnsi" w:hAnsiTheme="minorHAnsi" w:cstheme="minorHAnsi"/>
          <w:color w:val="050505"/>
        </w:rPr>
        <w:t>také</w:t>
      </w:r>
      <w:r w:rsidR="00A83AD9">
        <w:rPr>
          <w:rFonts w:asciiTheme="minorHAnsi" w:hAnsiTheme="minorHAnsi" w:cstheme="minorHAnsi"/>
          <w:color w:val="050505"/>
        </w:rPr>
        <w:t xml:space="preserve"> v </w:t>
      </w:r>
      <w:r w:rsidRPr="00835E5E">
        <w:rPr>
          <w:rFonts w:asciiTheme="minorHAnsi" w:hAnsiTheme="minorHAnsi" w:cstheme="minorHAnsi"/>
          <w:color w:val="050505"/>
        </w:rPr>
        <w:t>sociálních službách,</w:t>
      </w:r>
      <w:r w:rsidR="00A83AD9">
        <w:rPr>
          <w:rFonts w:asciiTheme="minorHAnsi" w:hAnsiTheme="minorHAnsi" w:cstheme="minorHAnsi"/>
          <w:color w:val="050505"/>
        </w:rPr>
        <w:t xml:space="preserve"> u </w:t>
      </w:r>
      <w:r w:rsidRPr="00835E5E">
        <w:rPr>
          <w:rFonts w:asciiTheme="minorHAnsi" w:hAnsiTheme="minorHAnsi" w:cstheme="minorHAnsi"/>
          <w:color w:val="050505"/>
        </w:rPr>
        <w:t>soudu nebo</w:t>
      </w:r>
      <w:r w:rsidR="00A83AD9">
        <w:rPr>
          <w:rFonts w:asciiTheme="minorHAnsi" w:hAnsiTheme="minorHAnsi" w:cstheme="minorHAnsi"/>
          <w:color w:val="050505"/>
        </w:rPr>
        <w:t xml:space="preserve"> u </w:t>
      </w:r>
      <w:r w:rsidRPr="00835E5E">
        <w:rPr>
          <w:rFonts w:asciiTheme="minorHAnsi" w:hAnsiTheme="minorHAnsi" w:cstheme="minorHAnsi"/>
          <w:color w:val="050505"/>
        </w:rPr>
        <w:t>policie.</w:t>
      </w:r>
      <w:r w:rsidRPr="00835E5E">
        <w:rPr>
          <w:rFonts w:cstheme="minorHAnsi"/>
          <w:color w:val="050505"/>
        </w:rPr>
        <w:t xml:space="preserve"> </w:t>
      </w:r>
      <w:r w:rsidRPr="00835E5E">
        <w:rPr>
          <w:rFonts w:asciiTheme="minorHAnsi" w:hAnsiTheme="minorHAnsi" w:cstheme="minorHAnsi"/>
          <w:color w:val="050505"/>
        </w:rPr>
        <w:t>Aktuální snahou je proto najít finanční prostředky</w:t>
      </w:r>
      <w:r w:rsidR="00A83AD9">
        <w:rPr>
          <w:rFonts w:asciiTheme="minorHAnsi" w:hAnsiTheme="minorHAnsi" w:cstheme="minorHAnsi"/>
          <w:color w:val="050505"/>
        </w:rPr>
        <w:t xml:space="preserve"> k </w:t>
      </w:r>
      <w:r w:rsidRPr="00835E5E">
        <w:rPr>
          <w:rFonts w:asciiTheme="minorHAnsi" w:hAnsiTheme="minorHAnsi" w:cstheme="minorHAnsi"/>
          <w:color w:val="050505"/>
        </w:rPr>
        <w:t>tvorbě této zkoušky</w:t>
      </w:r>
      <w:r>
        <w:rPr>
          <w:rFonts w:asciiTheme="minorHAnsi" w:hAnsiTheme="minorHAnsi" w:cstheme="minorHAnsi"/>
          <w:color w:val="050505"/>
        </w:rPr>
        <w:t>.</w:t>
      </w:r>
      <w:r w:rsidR="00A83AD9">
        <w:rPr>
          <w:rFonts w:asciiTheme="minorHAnsi" w:hAnsiTheme="minorHAnsi" w:cstheme="minorHAnsi"/>
          <w:color w:val="050505"/>
        </w:rPr>
        <w:t xml:space="preserve"> K </w:t>
      </w:r>
      <w:r>
        <w:rPr>
          <w:rFonts w:asciiTheme="minorHAnsi" w:hAnsiTheme="minorHAnsi" w:cstheme="minorHAnsi"/>
          <w:color w:val="000000"/>
        </w:rPr>
        <w:t xml:space="preserve">věci se </w:t>
      </w:r>
      <w:r w:rsidR="00A57946" w:rsidRPr="003E3E94">
        <w:rPr>
          <w:rFonts w:asciiTheme="minorHAnsi" w:hAnsiTheme="minorHAnsi" w:cstheme="minorHAnsi"/>
          <w:color w:val="000000"/>
        </w:rPr>
        <w:t>již</w:t>
      </w:r>
      <w:r w:rsidR="00A83AD9">
        <w:rPr>
          <w:rFonts w:asciiTheme="minorHAnsi" w:hAnsiTheme="minorHAnsi" w:cstheme="minorHAnsi"/>
          <w:color w:val="000000"/>
        </w:rPr>
        <w:t xml:space="preserve"> v </w:t>
      </w:r>
      <w:r w:rsidR="00A57946" w:rsidRPr="003E3E94">
        <w:rPr>
          <w:rFonts w:asciiTheme="minorHAnsi" w:hAnsiTheme="minorHAnsi" w:cstheme="minorHAnsi"/>
          <w:color w:val="000000"/>
        </w:rPr>
        <w:t>roce 2015</w:t>
      </w:r>
      <w:r w:rsidR="00A57946">
        <w:rPr>
          <w:rFonts w:asciiTheme="minorHAnsi" w:hAnsiTheme="minorHAnsi" w:cstheme="minorHAnsi"/>
          <w:color w:val="000000"/>
        </w:rPr>
        <w:t xml:space="preserve"> </w:t>
      </w:r>
      <w:r>
        <w:rPr>
          <w:rFonts w:asciiTheme="minorHAnsi" w:hAnsiTheme="minorHAnsi" w:cstheme="minorHAnsi"/>
          <w:color w:val="000000"/>
        </w:rPr>
        <w:t xml:space="preserve">vyjádřil </w:t>
      </w:r>
      <w:r w:rsidR="00A83AD9">
        <w:rPr>
          <w:rFonts w:asciiTheme="minorHAnsi" w:hAnsiTheme="minorHAnsi" w:cstheme="minorHAnsi"/>
          <w:color w:val="000000"/>
        </w:rPr>
        <w:t xml:space="preserve"> i </w:t>
      </w:r>
      <w:r>
        <w:rPr>
          <w:rFonts w:asciiTheme="minorHAnsi" w:hAnsiTheme="minorHAnsi" w:cstheme="minorHAnsi"/>
          <w:color w:val="000000"/>
        </w:rPr>
        <w:t>Výbor OSN</w:t>
      </w:r>
      <w:r w:rsidR="00A83AD9">
        <w:rPr>
          <w:rFonts w:asciiTheme="minorHAnsi" w:hAnsiTheme="minorHAnsi" w:cstheme="minorHAnsi"/>
          <w:color w:val="000000"/>
        </w:rPr>
        <w:t xml:space="preserve"> pro </w:t>
      </w:r>
      <w:r>
        <w:rPr>
          <w:rFonts w:asciiTheme="minorHAnsi" w:hAnsiTheme="minorHAnsi" w:cstheme="minorHAnsi"/>
          <w:color w:val="000000"/>
        </w:rPr>
        <w:t>práva osob se zdravotním postižením, který dohlíží</w:t>
      </w:r>
      <w:r w:rsidR="00A83AD9">
        <w:rPr>
          <w:rFonts w:asciiTheme="minorHAnsi" w:hAnsiTheme="minorHAnsi" w:cstheme="minorHAnsi"/>
          <w:color w:val="000000"/>
        </w:rPr>
        <w:t xml:space="preserve"> na </w:t>
      </w:r>
      <w:r>
        <w:rPr>
          <w:rFonts w:asciiTheme="minorHAnsi" w:hAnsiTheme="minorHAnsi" w:cstheme="minorHAnsi"/>
          <w:color w:val="000000"/>
        </w:rPr>
        <w:t>plnění závazků plynoucích</w:t>
      </w:r>
      <w:r w:rsidR="00A83AD9">
        <w:rPr>
          <w:rFonts w:asciiTheme="minorHAnsi" w:hAnsiTheme="minorHAnsi" w:cstheme="minorHAnsi"/>
          <w:color w:val="000000"/>
        </w:rPr>
        <w:t xml:space="preserve"> z </w:t>
      </w:r>
      <w:r>
        <w:rPr>
          <w:rFonts w:asciiTheme="minorHAnsi" w:hAnsiTheme="minorHAnsi" w:cstheme="minorHAnsi"/>
          <w:color w:val="000000"/>
        </w:rPr>
        <w:t>Úmluvy. Vyzval Českou republiku</w:t>
      </w:r>
      <w:r w:rsidR="00A83AD9">
        <w:rPr>
          <w:rFonts w:asciiTheme="minorHAnsi" w:hAnsiTheme="minorHAnsi" w:cstheme="minorHAnsi"/>
          <w:color w:val="000000"/>
        </w:rPr>
        <w:t xml:space="preserve"> k </w:t>
      </w:r>
      <w:r>
        <w:rPr>
          <w:rFonts w:asciiTheme="minorHAnsi" w:hAnsiTheme="minorHAnsi" w:cstheme="minorHAnsi"/>
          <w:color w:val="000000"/>
        </w:rPr>
        <w:t>alokaci dostatečných finančních prostředků</w:t>
      </w:r>
      <w:r w:rsidR="00A83AD9">
        <w:rPr>
          <w:rFonts w:asciiTheme="minorHAnsi" w:hAnsiTheme="minorHAnsi" w:cstheme="minorHAnsi"/>
          <w:color w:val="000000"/>
        </w:rPr>
        <w:t xml:space="preserve"> na </w:t>
      </w:r>
      <w:r>
        <w:rPr>
          <w:rFonts w:asciiTheme="minorHAnsi" w:hAnsiTheme="minorHAnsi" w:cstheme="minorHAnsi"/>
          <w:color w:val="000000"/>
        </w:rPr>
        <w:t>průpravu</w:t>
      </w:r>
      <w:r w:rsidR="00A83AD9">
        <w:rPr>
          <w:rFonts w:asciiTheme="minorHAnsi" w:hAnsiTheme="minorHAnsi" w:cstheme="minorHAnsi"/>
          <w:color w:val="000000"/>
        </w:rPr>
        <w:t xml:space="preserve"> a </w:t>
      </w:r>
      <w:r>
        <w:rPr>
          <w:rFonts w:asciiTheme="minorHAnsi" w:hAnsiTheme="minorHAnsi" w:cstheme="minorHAnsi"/>
          <w:color w:val="000000"/>
        </w:rPr>
        <w:t xml:space="preserve">nábor tlumočníků </w:t>
      </w:r>
      <w:r w:rsidR="00A57946" w:rsidRPr="00835E5E">
        <w:rPr>
          <w:rFonts w:asciiTheme="minorHAnsi" w:hAnsiTheme="minorHAnsi" w:cstheme="minorHAnsi"/>
          <w:color w:val="050505"/>
          <w:shd w:val="clear" w:color="auto" w:fill="FFFFFF"/>
        </w:rPr>
        <w:t>českého znakového jazyka</w:t>
      </w:r>
      <w:r>
        <w:rPr>
          <w:rFonts w:asciiTheme="minorHAnsi" w:hAnsiTheme="minorHAnsi" w:cstheme="minorHAnsi"/>
          <w:color w:val="000000"/>
        </w:rPr>
        <w:t>, kteří umožní lidem se sluchovým postižením efektivně využívat práva komunikovat</w:t>
      </w:r>
      <w:r w:rsidR="00A83AD9">
        <w:rPr>
          <w:rFonts w:asciiTheme="minorHAnsi" w:hAnsiTheme="minorHAnsi" w:cstheme="minorHAnsi"/>
          <w:color w:val="000000"/>
        </w:rPr>
        <w:t xml:space="preserve"> v </w:t>
      </w:r>
      <w:r w:rsidR="00A57946" w:rsidRPr="00835E5E">
        <w:rPr>
          <w:rFonts w:asciiTheme="minorHAnsi" w:hAnsiTheme="minorHAnsi" w:cstheme="minorHAnsi"/>
          <w:color w:val="050505"/>
          <w:shd w:val="clear" w:color="auto" w:fill="FFFFFF"/>
        </w:rPr>
        <w:t>české</w:t>
      </w:r>
      <w:r w:rsidR="00A57946">
        <w:rPr>
          <w:rFonts w:asciiTheme="minorHAnsi" w:hAnsiTheme="minorHAnsi" w:cstheme="minorHAnsi"/>
          <w:color w:val="050505"/>
          <w:shd w:val="clear" w:color="auto" w:fill="FFFFFF"/>
        </w:rPr>
        <w:t>m</w:t>
      </w:r>
      <w:r w:rsidR="00A57946" w:rsidRPr="00835E5E">
        <w:rPr>
          <w:rFonts w:asciiTheme="minorHAnsi" w:hAnsiTheme="minorHAnsi" w:cstheme="minorHAnsi"/>
          <w:color w:val="050505"/>
          <w:shd w:val="clear" w:color="auto" w:fill="FFFFFF"/>
        </w:rPr>
        <w:t xml:space="preserve"> znakové</w:t>
      </w:r>
      <w:r w:rsidR="00A57946">
        <w:rPr>
          <w:rFonts w:asciiTheme="minorHAnsi" w:hAnsiTheme="minorHAnsi" w:cstheme="minorHAnsi"/>
          <w:color w:val="050505"/>
          <w:shd w:val="clear" w:color="auto" w:fill="FFFFFF"/>
        </w:rPr>
        <w:t>m</w:t>
      </w:r>
      <w:r w:rsidR="00A57946" w:rsidRPr="00835E5E">
        <w:rPr>
          <w:rFonts w:asciiTheme="minorHAnsi" w:hAnsiTheme="minorHAnsi" w:cstheme="minorHAnsi"/>
          <w:color w:val="050505"/>
          <w:shd w:val="clear" w:color="auto" w:fill="FFFFFF"/>
        </w:rPr>
        <w:t xml:space="preserve"> jazy</w:t>
      </w:r>
      <w:r w:rsidR="00A57946">
        <w:rPr>
          <w:rFonts w:asciiTheme="minorHAnsi" w:hAnsiTheme="minorHAnsi" w:cstheme="minorHAnsi"/>
          <w:color w:val="050505"/>
          <w:shd w:val="clear" w:color="auto" w:fill="FFFFFF"/>
        </w:rPr>
        <w:t>ce,</w:t>
      </w:r>
      <w:r w:rsidR="00A83AD9">
        <w:rPr>
          <w:rFonts w:asciiTheme="minorHAnsi" w:hAnsiTheme="minorHAnsi" w:cstheme="minorHAnsi"/>
          <w:color w:val="000000"/>
        </w:rPr>
        <w:t xml:space="preserve"> a </w:t>
      </w:r>
      <w:r>
        <w:rPr>
          <w:rFonts w:asciiTheme="minorHAnsi" w:hAnsiTheme="minorHAnsi" w:cstheme="minorHAnsi"/>
          <w:color w:val="000000"/>
        </w:rPr>
        <w:t>to nejen</w:t>
      </w:r>
      <w:r w:rsidR="00A83AD9">
        <w:rPr>
          <w:rFonts w:asciiTheme="minorHAnsi" w:hAnsiTheme="minorHAnsi" w:cstheme="minorHAnsi"/>
          <w:color w:val="000000"/>
        </w:rPr>
        <w:t xml:space="preserve"> v </w:t>
      </w:r>
      <w:r>
        <w:rPr>
          <w:rFonts w:asciiTheme="minorHAnsi" w:hAnsiTheme="minorHAnsi" w:cstheme="minorHAnsi"/>
          <w:color w:val="000000"/>
        </w:rPr>
        <w:t xml:space="preserve">oblasti vzdělávání. </w:t>
      </w:r>
    </w:p>
    <w:p w14:paraId="718DECCC" w14:textId="77777777" w:rsidR="006E0D71" w:rsidRDefault="006E0D71" w:rsidP="006E0D71">
      <w:pPr>
        <w:jc w:val="both"/>
        <w:rPr>
          <w:rFonts w:asciiTheme="minorHAnsi" w:hAnsiTheme="minorHAnsi" w:cstheme="minorHAnsi"/>
          <w:color w:val="000000"/>
          <w:szCs w:val="23"/>
        </w:rPr>
      </w:pPr>
    </w:p>
    <w:p w14:paraId="6CC254AE" w14:textId="72E93661" w:rsidR="006E0D71" w:rsidRDefault="006E0D71" w:rsidP="006E0D71">
      <w:pPr>
        <w:shd w:val="clear" w:color="auto" w:fill="FFFFFF"/>
        <w:jc w:val="both"/>
        <w:rPr>
          <w:b/>
        </w:rPr>
      </w:pPr>
      <w:r w:rsidRPr="009D4790">
        <w:rPr>
          <w:b/>
        </w:rPr>
        <w:t>Způsobilost</w:t>
      </w:r>
      <w:r w:rsidR="00A83AD9">
        <w:rPr>
          <w:b/>
        </w:rPr>
        <w:t xml:space="preserve"> k </w:t>
      </w:r>
      <w:r w:rsidRPr="009D4790">
        <w:rPr>
          <w:b/>
        </w:rPr>
        <w:t>tělesné výchově</w:t>
      </w:r>
      <w:r w:rsidR="00A83AD9">
        <w:rPr>
          <w:b/>
        </w:rPr>
        <w:t xml:space="preserve"> a </w:t>
      </w:r>
      <w:r w:rsidRPr="009D4790">
        <w:rPr>
          <w:b/>
        </w:rPr>
        <w:t>sportu</w:t>
      </w:r>
    </w:p>
    <w:p w14:paraId="763779BD" w14:textId="77777777" w:rsidR="006E0D71" w:rsidRPr="009D4790" w:rsidRDefault="006E0D71" w:rsidP="006E0D71">
      <w:pPr>
        <w:shd w:val="clear" w:color="auto" w:fill="FFFFFF"/>
        <w:jc w:val="both"/>
        <w:rPr>
          <w:b/>
        </w:rPr>
      </w:pPr>
    </w:p>
    <w:p w14:paraId="49464278" w14:textId="2215127B" w:rsidR="006E0D71" w:rsidRDefault="00A57946" w:rsidP="006E0D71">
      <w:pPr>
        <w:shd w:val="clear" w:color="auto" w:fill="FFFFFF"/>
        <w:jc w:val="both"/>
      </w:pPr>
      <w:r>
        <w:t>Právníci odboru ochrany osob se zdravotním postižením se z</w:t>
      </w:r>
      <w:r w:rsidR="006E0D71">
        <w:t>účastnili</w:t>
      </w:r>
      <w:r>
        <w:t xml:space="preserve"> </w:t>
      </w:r>
      <w:r w:rsidR="006E0D71">
        <w:t>české národní konference aplikovaných pohybových aktivit</w:t>
      </w:r>
      <w:r w:rsidR="00A83AD9">
        <w:t xml:space="preserve"> v </w:t>
      </w:r>
      <w:r w:rsidR="006E0D71">
        <w:t>Olomouci, kde mimo jiné prezentovali téma nadužívání osvobozování žáků</w:t>
      </w:r>
      <w:r w:rsidR="00A83AD9">
        <w:t xml:space="preserve"> a </w:t>
      </w:r>
      <w:r w:rsidR="006E0D71">
        <w:t>studentů</w:t>
      </w:r>
      <w:r w:rsidR="00A83AD9">
        <w:t xml:space="preserve"> s </w:t>
      </w:r>
      <w:r w:rsidR="006E0D71">
        <w:t>postižením</w:t>
      </w:r>
      <w:r w:rsidR="00A83AD9">
        <w:t xml:space="preserve"> z </w:t>
      </w:r>
      <w:r w:rsidR="006E0D71">
        <w:t>tělesné výchovy. Rovněž se zde domluvili</w:t>
      </w:r>
      <w:r w:rsidR="00A83AD9">
        <w:t xml:space="preserve"> s </w:t>
      </w:r>
      <w:r w:rsidR="006E0D71">
        <w:t>Univerzitou Palackého</w:t>
      </w:r>
      <w:r w:rsidR="00A83AD9">
        <w:t xml:space="preserve"> v </w:t>
      </w:r>
      <w:r w:rsidR="006E0D71">
        <w:t>Olomouci</w:t>
      </w:r>
      <w:r w:rsidR="00A83AD9">
        <w:t xml:space="preserve"> a </w:t>
      </w:r>
      <w:r w:rsidR="006E0D71">
        <w:t>Ministerstvem školství, mládeže</w:t>
      </w:r>
      <w:r w:rsidR="00A83AD9">
        <w:t xml:space="preserve"> a </w:t>
      </w:r>
      <w:r w:rsidR="006E0D71">
        <w:t>tělovýchovy</w:t>
      </w:r>
      <w:r w:rsidR="00A83AD9">
        <w:t xml:space="preserve"> na </w:t>
      </w:r>
      <w:r w:rsidR="006E0D71">
        <w:t>další osvětové spolupráci</w:t>
      </w:r>
      <w:r w:rsidR="00A83AD9">
        <w:t xml:space="preserve"> v </w:t>
      </w:r>
      <w:r w:rsidR="006E0D71">
        <w:t>této oblasti.</w:t>
      </w:r>
      <w:r w:rsidR="00A83AD9">
        <w:t xml:space="preserve"> K </w:t>
      </w:r>
      <w:r w:rsidR="006E0D71">
        <w:t>jednání stran způsobilosti žáků</w:t>
      </w:r>
      <w:r w:rsidR="00A83AD9">
        <w:t xml:space="preserve"> a </w:t>
      </w:r>
      <w:r w:rsidR="006E0D71">
        <w:t>studentů</w:t>
      </w:r>
      <w:r w:rsidR="00A83AD9">
        <w:t xml:space="preserve"> k </w:t>
      </w:r>
      <w:r w:rsidR="006E0D71">
        <w:t>tělesné výchově vyzval ochránce také jeho poradní orgán</w:t>
      </w:r>
      <w:r w:rsidR="00A83AD9">
        <w:t xml:space="preserve"> pro </w:t>
      </w:r>
      <w:r w:rsidR="006E0D71">
        <w:t>oblast práv lidí</w:t>
      </w:r>
      <w:r w:rsidR="00A83AD9">
        <w:t xml:space="preserve"> s </w:t>
      </w:r>
      <w:r w:rsidR="006E0D71">
        <w:t>postižením prostřednictvím svého usnesení.</w:t>
      </w:r>
    </w:p>
    <w:p w14:paraId="2770C458" w14:textId="77777777" w:rsidR="006E0D71" w:rsidRPr="00C57F87" w:rsidRDefault="006E0D71" w:rsidP="006E0D71">
      <w:pPr>
        <w:shd w:val="clear" w:color="auto" w:fill="FFFFFF"/>
        <w:jc w:val="both"/>
      </w:pPr>
    </w:p>
    <w:p w14:paraId="1712A81B" w14:textId="77777777" w:rsidR="00754157" w:rsidRDefault="00754157" w:rsidP="006E0D71">
      <w:pPr>
        <w:pStyle w:val="Nadpis3"/>
      </w:pPr>
      <w:bookmarkStart w:id="55" w:name="_Toc141694122"/>
      <w:r>
        <w:t>Návštěvy zařízení</w:t>
      </w:r>
      <w:bookmarkEnd w:id="55"/>
    </w:p>
    <w:p w14:paraId="68EFCF87" w14:textId="18940736" w:rsidR="00754157" w:rsidRDefault="00754157" w:rsidP="00754157">
      <w:pPr>
        <w:pStyle w:val="Zkladntext"/>
      </w:pPr>
      <w:r w:rsidRPr="00754157">
        <w:rPr>
          <w:rStyle w:val="pokyny"/>
          <w:bCs/>
          <w:color w:val="000000" w:themeColor="text1"/>
        </w:rPr>
        <w:t>Ve druhém čtvrtletí 2023 proběhly</w:t>
      </w:r>
      <w:r w:rsidR="00A83AD9">
        <w:rPr>
          <w:rStyle w:val="pokyny"/>
          <w:bCs/>
          <w:color w:val="000000" w:themeColor="text1"/>
        </w:rPr>
        <w:t xml:space="preserve"> v </w:t>
      </w:r>
      <w:r w:rsidRPr="00754157">
        <w:rPr>
          <w:rStyle w:val="pokyny"/>
          <w:bCs/>
          <w:color w:val="000000" w:themeColor="text1"/>
        </w:rPr>
        <w:t xml:space="preserve">rámci </w:t>
      </w:r>
      <w:r w:rsidRPr="00754157">
        <w:rPr>
          <w:color w:val="000000" w:themeColor="text1"/>
        </w:rPr>
        <w:t>monitorování práv lidí</w:t>
      </w:r>
      <w:r w:rsidR="00A83AD9">
        <w:rPr>
          <w:color w:val="000000" w:themeColor="text1"/>
        </w:rPr>
        <w:t xml:space="preserve"> s </w:t>
      </w:r>
      <w:r w:rsidRPr="00754157">
        <w:rPr>
          <w:color w:val="000000" w:themeColor="text1"/>
        </w:rPr>
        <w:t>postižením žijících</w:t>
      </w:r>
      <w:r w:rsidR="00A83AD9">
        <w:rPr>
          <w:color w:val="000000" w:themeColor="text1"/>
        </w:rPr>
        <w:t xml:space="preserve"> v </w:t>
      </w:r>
      <w:r w:rsidRPr="00754157">
        <w:rPr>
          <w:color w:val="000000" w:themeColor="text1"/>
        </w:rPr>
        <w:t>pobytových sociálních službách dvě návštěvy domovů</w:t>
      </w:r>
      <w:r w:rsidR="00A83AD9">
        <w:rPr>
          <w:color w:val="000000" w:themeColor="text1"/>
        </w:rPr>
        <w:t xml:space="preserve"> pro </w:t>
      </w:r>
      <w:r w:rsidRPr="00754157">
        <w:rPr>
          <w:color w:val="000000" w:themeColor="text1"/>
        </w:rPr>
        <w:t>osoby se zdravotním postižením.</w:t>
      </w:r>
      <w:r w:rsidR="00A83AD9">
        <w:rPr>
          <w:color w:val="000000" w:themeColor="text1"/>
        </w:rPr>
        <w:t xml:space="preserve"> V </w:t>
      </w:r>
      <w:r>
        <w:t>obou případech se jednalo</w:t>
      </w:r>
      <w:r w:rsidR="00A83AD9">
        <w:t xml:space="preserve"> o </w:t>
      </w:r>
      <w:r>
        <w:t>služby komunitního typu, které prošly transformací.</w:t>
      </w:r>
    </w:p>
    <w:p w14:paraId="505A33DF" w14:textId="77777777" w:rsidR="006E0D71" w:rsidRPr="006E0D71" w:rsidRDefault="006E0D71" w:rsidP="006E0D71">
      <w:pPr>
        <w:pStyle w:val="Zkladntext"/>
      </w:pPr>
    </w:p>
    <w:p w14:paraId="18A8E18E" w14:textId="17FCCDE2" w:rsidR="000C502F" w:rsidRDefault="009B3279" w:rsidP="000C502F">
      <w:r>
        <w:t>Brno</w:t>
      </w:r>
      <w:r w:rsidR="00AA4831">
        <w:t xml:space="preserve"> </w:t>
      </w:r>
      <w:r w:rsidR="00E146D2">
        <w:t xml:space="preserve">31. července </w:t>
      </w:r>
      <w:r w:rsidR="00E84400">
        <w:t>2023</w:t>
      </w:r>
    </w:p>
    <w:p w14:paraId="21E1D583" w14:textId="77777777" w:rsidR="00BE4F03" w:rsidRDefault="0092166C" w:rsidP="000C502F">
      <w:pPr>
        <w:pStyle w:val="podpis"/>
      </w:pPr>
      <w:r>
        <w:t>JUDr. Stanislav Křeček</w:t>
      </w:r>
    </w:p>
    <w:p w14:paraId="6FC8BCA8" w14:textId="77777777" w:rsidR="000C502F" w:rsidRDefault="0092166C" w:rsidP="000C502F">
      <w:pPr>
        <w:pStyle w:val="podpis"/>
      </w:pPr>
      <w:r>
        <w:t>veřejný</w:t>
      </w:r>
      <w:r w:rsidR="000C502F">
        <w:t xml:space="preserve"> ochrán</w:t>
      </w:r>
      <w:r>
        <w:t>ce</w:t>
      </w:r>
      <w:r w:rsidR="000C502F">
        <w:t xml:space="preserve"> práv</w:t>
      </w:r>
    </w:p>
    <w:p w14:paraId="02FA7079" w14:textId="77777777" w:rsidR="007B5C84" w:rsidRDefault="007B5C84" w:rsidP="007B5C84">
      <w:pPr>
        <w:pStyle w:val="podpis"/>
      </w:pPr>
      <w:r>
        <w:t>(elektronicky podepsáno)</w:t>
      </w:r>
    </w:p>
    <w:sectPr w:rsidR="007B5C84" w:rsidSect="007A241A">
      <w:headerReference w:type="default" r:id="rId186"/>
      <w:footerReference w:type="default" r:id="rId187"/>
      <w:headerReference w:type="first" r:id="rId188"/>
      <w:type w:val="continuous"/>
      <w:pgSz w:w="11906" w:h="16838"/>
      <w:pgMar w:top="1418" w:right="1701" w:bottom="1418" w:left="1701"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DA877" w14:textId="77777777" w:rsidR="00180612" w:rsidRDefault="00180612">
      <w:r>
        <w:separator/>
      </w:r>
    </w:p>
  </w:endnote>
  <w:endnote w:type="continuationSeparator" w:id="0">
    <w:p w14:paraId="08575373" w14:textId="77777777" w:rsidR="00180612" w:rsidRDefault="00180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F3C17D" w14:textId="1DBDC392" w:rsidR="00180612" w:rsidRPr="00C62ED8" w:rsidRDefault="00180612" w:rsidP="00190FA8">
    <w:pPr>
      <w:pStyle w:val="kontakt"/>
      <w:tabs>
        <w:tab w:val="left" w:pos="7938"/>
      </w:tabs>
      <w:jc w:val="right"/>
      <w:rPr>
        <w:sz w:val="22"/>
        <w:szCs w:val="24"/>
      </w:rPr>
    </w:pPr>
    <w:r w:rsidRPr="00DD0A1A">
      <w:rPr>
        <w:color w:val="auto"/>
      </w:rPr>
      <w:fldChar w:fldCharType="begin"/>
    </w:r>
    <w:r w:rsidRPr="00DD0A1A">
      <w:rPr>
        <w:color w:val="auto"/>
      </w:rPr>
      <w:instrText>PAGE   \* MERGEFORMAT</w:instrText>
    </w:r>
    <w:r w:rsidRPr="00DD0A1A">
      <w:rPr>
        <w:color w:val="auto"/>
      </w:rPr>
      <w:fldChar w:fldCharType="separate"/>
    </w:r>
    <w:r w:rsidR="00A83AD9">
      <w:rPr>
        <w:noProof/>
        <w:color w:val="auto"/>
      </w:rPr>
      <w:t>29</w:t>
    </w:r>
    <w:r w:rsidRPr="00DD0A1A">
      <w:rPr>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0432EF" w14:textId="77777777" w:rsidR="00180612" w:rsidRDefault="00180612">
      <w:r>
        <w:separator/>
      </w:r>
    </w:p>
  </w:footnote>
  <w:footnote w:type="continuationSeparator" w:id="0">
    <w:p w14:paraId="171F4313" w14:textId="77777777" w:rsidR="00180612" w:rsidRDefault="00180612">
      <w:r>
        <w:continuationSeparator/>
      </w:r>
    </w:p>
  </w:footnote>
  <w:footnote w:id="1">
    <w:p w14:paraId="1F7015B4" w14:textId="2ADF7BD4"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Celá připomínka</w:t>
      </w:r>
      <w:r w:rsidRPr="006422AA">
        <w:t xml:space="preserve"> </w:t>
      </w:r>
      <w:r w:rsidRPr="006422AA">
        <w:rPr>
          <w:lang w:val="cs-CZ"/>
        </w:rPr>
        <w:t>č. j. KVOP-21311/2023/S  je dostupná v Evidenci stanovisek ochránc</w:t>
      </w:r>
      <w:r w:rsidRPr="002E2058">
        <w:rPr>
          <w:lang w:val="cs-CZ"/>
        </w:rPr>
        <w:t>e, viz</w:t>
      </w:r>
      <w:r w:rsidRPr="006422AA">
        <w:rPr>
          <w:lang w:val="cs-CZ"/>
        </w:rPr>
        <w:t xml:space="preserve"> </w:t>
      </w:r>
      <w:r>
        <w:rPr>
          <w:lang w:val="cs-CZ"/>
        </w:rPr>
        <w:t xml:space="preserve"> </w:t>
      </w:r>
      <w:hyperlink r:id="rId1" w:history="1">
        <w:r w:rsidRPr="00E24772">
          <w:rPr>
            <w:rStyle w:val="Hypertextovodkaz"/>
            <w:sz w:val="18"/>
            <w:lang w:val="cs-CZ"/>
          </w:rPr>
          <w:t>https://eso.ochrance.cz/Nalezene/Edit/11996</w:t>
        </w:r>
      </w:hyperlink>
      <w:r>
        <w:rPr>
          <w:lang w:val="cs-CZ"/>
        </w:rPr>
        <w:t xml:space="preserve">. </w:t>
      </w:r>
    </w:p>
  </w:footnote>
  <w:footnote w:id="2">
    <w:p w14:paraId="4F902075" w14:textId="77777777" w:rsidR="00180612" w:rsidRPr="006422AA" w:rsidRDefault="00180612" w:rsidP="00A91C5C">
      <w:pPr>
        <w:pStyle w:val="Textpoznpodarou"/>
        <w:jc w:val="left"/>
      </w:pPr>
      <w:r w:rsidRPr="006422AA">
        <w:rPr>
          <w:rStyle w:val="Znakapoznpodarou"/>
          <w:sz w:val="18"/>
        </w:rPr>
        <w:footnoteRef/>
      </w:r>
      <w:r w:rsidRPr="006422AA">
        <w:t xml:space="preserve"> Úmluva o právech osob se zdravotním postižením, vyhlášená pod č. 10/2010 Sb. m. s.</w:t>
      </w:r>
    </w:p>
  </w:footnote>
  <w:footnote w:id="3">
    <w:p w14:paraId="45DFCF49" w14:textId="524074A3"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Celá připomínka</w:t>
      </w:r>
      <w:r w:rsidRPr="006422AA">
        <w:t xml:space="preserve"> </w:t>
      </w:r>
      <w:r>
        <w:rPr>
          <w:lang w:val="cs-CZ"/>
        </w:rPr>
        <w:t>č</w:t>
      </w:r>
      <w:r w:rsidRPr="006422AA">
        <w:rPr>
          <w:lang w:val="cs-CZ"/>
        </w:rPr>
        <w:t xml:space="preserve">. j. KVOP-15893/2023/S je dostupná v Evidenci stanovisek </w:t>
      </w:r>
      <w:r w:rsidRPr="002E2058">
        <w:rPr>
          <w:lang w:val="cs-CZ"/>
        </w:rPr>
        <w:t xml:space="preserve">ochránce, viz </w:t>
      </w:r>
      <w:hyperlink r:id="rId2" w:history="1">
        <w:r w:rsidRPr="00E24772">
          <w:rPr>
            <w:rStyle w:val="Hypertextovodkaz"/>
            <w:sz w:val="18"/>
            <w:lang w:val="cs-CZ"/>
          </w:rPr>
          <w:t>https://eso.ochrance.cz/Nalezene/Edit/11984</w:t>
        </w:r>
      </w:hyperlink>
      <w:r>
        <w:rPr>
          <w:lang w:val="cs-CZ"/>
        </w:rPr>
        <w:t xml:space="preserve">. </w:t>
      </w:r>
    </w:p>
  </w:footnote>
  <w:footnote w:id="4">
    <w:p w14:paraId="53390F0D" w14:textId="428C4B88"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Pr>
          <w:lang w:val="cs-CZ"/>
        </w:rPr>
        <w:t xml:space="preserve">    </w:t>
      </w:r>
      <w:r w:rsidRPr="006422AA">
        <w:rPr>
          <w:lang w:val="cs-CZ"/>
        </w:rPr>
        <w:t>Celá připomínka</w:t>
      </w:r>
      <w:r w:rsidRPr="006422AA">
        <w:t xml:space="preserve"> </w:t>
      </w:r>
      <w:r w:rsidRPr="006422AA">
        <w:rPr>
          <w:lang w:val="cs-CZ"/>
        </w:rPr>
        <w:t>č. j. KVOP-17356/2023/S je dostupná v Evidenci stanovisek o</w:t>
      </w:r>
      <w:r>
        <w:rPr>
          <w:lang w:val="cs-CZ"/>
        </w:rPr>
        <w:t>mbudsmana</w:t>
      </w:r>
      <w:r w:rsidRPr="006422AA">
        <w:rPr>
          <w:lang w:val="cs-CZ"/>
        </w:rPr>
        <w:t>, viz</w:t>
      </w:r>
      <w:r w:rsidRPr="00A91C5C">
        <w:t xml:space="preserve"> </w:t>
      </w:r>
      <w:hyperlink r:id="rId3" w:history="1">
        <w:r w:rsidRPr="009D3ED1">
          <w:rPr>
            <w:rStyle w:val="Hypertextovodkaz"/>
            <w:sz w:val="18"/>
            <w:lang w:val="cs-CZ"/>
          </w:rPr>
          <w:t>https://eso.ochrance.cz/Nalezene/Edit/11968</w:t>
        </w:r>
      </w:hyperlink>
      <w:r>
        <w:rPr>
          <w:lang w:val="cs-CZ"/>
        </w:rPr>
        <w:t xml:space="preserve">. </w:t>
      </w:r>
      <w:r w:rsidRPr="006422AA">
        <w:rPr>
          <w:lang w:val="cs-CZ"/>
        </w:rPr>
        <w:t xml:space="preserve"> </w:t>
      </w:r>
    </w:p>
  </w:footnote>
  <w:footnote w:id="5">
    <w:p w14:paraId="19FCF0AD" w14:textId="03A49827" w:rsidR="00180612" w:rsidRPr="006422AA" w:rsidRDefault="00180612" w:rsidP="00A91C5C">
      <w:pPr>
        <w:pStyle w:val="Textpoznpodarou"/>
        <w:jc w:val="left"/>
      </w:pPr>
      <w:r w:rsidRPr="006422AA">
        <w:rPr>
          <w:rStyle w:val="Znakapoznpodarou"/>
          <w:sz w:val="18"/>
        </w:rPr>
        <w:footnoteRef/>
      </w:r>
      <w:r w:rsidRPr="006422AA">
        <w:t xml:space="preserve"> </w:t>
      </w:r>
      <w:r w:rsidRPr="006422AA">
        <w:tab/>
        <w:t>Doporučení ke změně právního předpisu sp. zn. 14/2022/SZD/MG  je dostupné v Evidenci stanovisek o</w:t>
      </w:r>
      <w:r>
        <w:rPr>
          <w:lang w:val="cs-CZ"/>
        </w:rPr>
        <w:t>mbudsmana</w:t>
      </w:r>
      <w:r w:rsidRPr="006422AA">
        <w:t xml:space="preserve">, viz </w:t>
      </w:r>
      <w:hyperlink r:id="rId4" w:history="1">
        <w:r w:rsidRPr="006422AA">
          <w:rPr>
            <w:rStyle w:val="Hypertextovodkaz"/>
            <w:sz w:val="18"/>
          </w:rPr>
          <w:t>https://eso.ochrance.cz/Nalezene/Edit/10640</w:t>
        </w:r>
      </w:hyperlink>
      <w:r w:rsidRPr="006422AA">
        <w:t xml:space="preserve">.  </w:t>
      </w:r>
    </w:p>
  </w:footnote>
  <w:footnote w:id="6">
    <w:p w14:paraId="17A9DB6A" w14:textId="77777777" w:rsidR="00180612" w:rsidRPr="006422AA" w:rsidRDefault="00180612" w:rsidP="00A91C5C">
      <w:pPr>
        <w:pStyle w:val="Textpoznpodarou"/>
        <w:jc w:val="left"/>
      </w:pPr>
      <w:r w:rsidRPr="006422AA">
        <w:rPr>
          <w:rStyle w:val="Znakapoznpodarou"/>
          <w:sz w:val="18"/>
        </w:rPr>
        <w:footnoteRef/>
      </w:r>
      <w:r w:rsidRPr="006422AA">
        <w:t xml:space="preserve"> </w:t>
      </w:r>
      <w:r w:rsidRPr="006422AA">
        <w:tab/>
        <w:t>Zákon č. 240/2000 Sb., o krizovém řízení a o změně některých zákonů (krizový zákon).</w:t>
      </w:r>
    </w:p>
  </w:footnote>
  <w:footnote w:id="7">
    <w:p w14:paraId="25CCEC02" w14:textId="77777777" w:rsidR="00180612" w:rsidRDefault="00180612" w:rsidP="00A91C5C">
      <w:pPr>
        <w:pStyle w:val="Textpoznpodarou"/>
        <w:jc w:val="left"/>
        <w:rPr>
          <w:lang w:val="cs-CZ"/>
        </w:rPr>
      </w:pPr>
      <w:r w:rsidRPr="006422AA">
        <w:rPr>
          <w:rStyle w:val="Znakapoznpodarou"/>
          <w:sz w:val="18"/>
        </w:rPr>
        <w:footnoteRef/>
      </w:r>
      <w:r w:rsidRPr="006422AA">
        <w:t xml:space="preserve"> </w:t>
      </w:r>
      <w:r w:rsidRPr="006422AA">
        <w:tab/>
        <w:t>Blíže v části Bezpečnost. Dostupné z:</w:t>
      </w:r>
      <w:r>
        <w:rPr>
          <w:lang w:val="cs-CZ"/>
        </w:rPr>
        <w:t xml:space="preserve"> </w:t>
      </w:r>
    </w:p>
    <w:p w14:paraId="6A533EAF" w14:textId="1D850389" w:rsidR="00180612" w:rsidRPr="006422AA" w:rsidRDefault="00180612" w:rsidP="00A91C5C">
      <w:pPr>
        <w:pStyle w:val="Textpoznpodarou"/>
        <w:jc w:val="left"/>
      </w:pPr>
      <w:r>
        <w:rPr>
          <w:lang w:val="cs-CZ"/>
        </w:rPr>
        <w:tab/>
      </w:r>
      <w:hyperlink r:id="rId5" w:anchor="vnitrni_bezpecnost_a_verejna_sprava" w:history="1">
        <w:r w:rsidRPr="006422AA">
          <w:rPr>
            <w:rStyle w:val="Hypertextovodkaz"/>
            <w:sz w:val="18"/>
          </w:rPr>
          <w:t>https://www.vlada.cz/cz/programove-prohlaseni-vlady-193547/#vnitrni_bezpecnost_a_verejna_sprava</w:t>
        </w:r>
      </w:hyperlink>
      <w:r w:rsidRPr="006422AA">
        <w:t xml:space="preserve">. </w:t>
      </w:r>
    </w:p>
  </w:footnote>
  <w:footnote w:id="8">
    <w:p w14:paraId="16989CDD" w14:textId="2E3F7AB8" w:rsidR="00180612" w:rsidRPr="006422AA" w:rsidRDefault="00180612" w:rsidP="00A91C5C">
      <w:pPr>
        <w:pStyle w:val="Textpoznpodarou"/>
        <w:jc w:val="left"/>
      </w:pPr>
      <w:r w:rsidRPr="006422AA">
        <w:rPr>
          <w:rStyle w:val="Znakapoznpodarou"/>
          <w:sz w:val="18"/>
        </w:rPr>
        <w:footnoteRef/>
      </w:r>
      <w:r>
        <w:rPr>
          <w:lang w:val="cs-CZ"/>
        </w:rPr>
        <w:t xml:space="preserve">  </w:t>
      </w:r>
      <w:r w:rsidRPr="006422AA">
        <w:t>Část 4. 4. hodnot</w:t>
      </w:r>
      <w:r>
        <w:rPr>
          <w:lang w:val="cs-CZ"/>
        </w:rPr>
        <w:t>i</w:t>
      </w:r>
      <w:r w:rsidRPr="006422AA">
        <w:t>cí</w:t>
      </w:r>
      <w:r>
        <w:rPr>
          <w:lang w:val="cs-CZ"/>
        </w:rPr>
        <w:t xml:space="preserve"> </w:t>
      </w:r>
      <w:r w:rsidRPr="006422AA">
        <w:t xml:space="preserve"> zprávy, s. 65.</w:t>
      </w:r>
    </w:p>
  </w:footnote>
  <w:footnote w:id="9">
    <w:p w14:paraId="77C6833A" w14:textId="396AFC42" w:rsidR="00180612" w:rsidRPr="006422AA" w:rsidRDefault="00180612" w:rsidP="00A91C5C">
      <w:pPr>
        <w:pStyle w:val="Textpoznpodarou"/>
        <w:jc w:val="left"/>
      </w:pPr>
      <w:r w:rsidRPr="006422AA">
        <w:rPr>
          <w:rStyle w:val="Znakapoznpodarou"/>
          <w:sz w:val="18"/>
        </w:rPr>
        <w:footnoteRef/>
      </w:r>
      <w:r w:rsidRPr="006422AA">
        <w:t xml:space="preserve"> </w:t>
      </w:r>
      <w:r>
        <w:rPr>
          <w:lang w:val="cs-CZ"/>
        </w:rPr>
        <w:t xml:space="preserve"> </w:t>
      </w:r>
      <w:r w:rsidRPr="006422AA">
        <w:t>Srov. zákon č. 99/2019 Sb., o přístupnosti internetových stránek a mobilních aplikací a o změně zákona č. 365/2000 Sb., o informačních systémech veřejné správy a o změně některých dalších zákonů.</w:t>
      </w:r>
    </w:p>
  </w:footnote>
  <w:footnote w:id="10">
    <w:p w14:paraId="15A54A13" w14:textId="17D407C4" w:rsidR="00180612" w:rsidRPr="006422AA" w:rsidRDefault="00180612" w:rsidP="00A91C5C">
      <w:pPr>
        <w:pStyle w:val="Textpoznpodarou"/>
        <w:jc w:val="left"/>
      </w:pPr>
      <w:r w:rsidRPr="006422AA">
        <w:rPr>
          <w:rStyle w:val="Znakapoznpodarou"/>
          <w:sz w:val="18"/>
        </w:rPr>
        <w:footnoteRef/>
      </w:r>
      <w:r>
        <w:rPr>
          <w:lang w:val="cs-CZ"/>
        </w:rPr>
        <w:t xml:space="preserve">  </w:t>
      </w:r>
      <w:r w:rsidRPr="006422AA">
        <w:t>Vyjádření a hodnocení výkonu státní správy Kanceláří VOP za léta 2020–2022, s. 68.</w:t>
      </w:r>
    </w:p>
  </w:footnote>
  <w:footnote w:id="11">
    <w:p w14:paraId="427C7A24" w14:textId="596ABCC2"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Pr>
          <w:lang w:val="cs-CZ"/>
        </w:rPr>
        <w:t xml:space="preserve"> </w:t>
      </w:r>
      <w:r w:rsidRPr="006422AA">
        <w:rPr>
          <w:lang w:val="cs-CZ"/>
        </w:rPr>
        <w:t>Celá připomínka</w:t>
      </w:r>
      <w:r w:rsidRPr="006422AA">
        <w:t xml:space="preserve"> </w:t>
      </w:r>
      <w:r w:rsidRPr="006422AA">
        <w:rPr>
          <w:lang w:val="cs-CZ"/>
        </w:rPr>
        <w:t xml:space="preserve">č. j. KVOP-20454/2023/S je dostupná v Evidenci stanovisek ochránce, viz </w:t>
      </w:r>
      <w:hyperlink r:id="rId6" w:history="1">
        <w:r w:rsidRPr="009D3ED1">
          <w:rPr>
            <w:rStyle w:val="Hypertextovodkaz"/>
            <w:sz w:val="18"/>
            <w:lang w:val="cs-CZ"/>
          </w:rPr>
          <w:t>https://eso.ochrance.cz/Nalezene/Edit/11882</w:t>
        </w:r>
      </w:hyperlink>
      <w:r>
        <w:rPr>
          <w:lang w:val="cs-CZ"/>
        </w:rPr>
        <w:t xml:space="preserve">. </w:t>
      </w:r>
    </w:p>
  </w:footnote>
  <w:footnote w:id="12">
    <w:p w14:paraId="72ADAA96" w14:textId="6DA874EE"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Pr>
          <w:lang w:val="cs-CZ"/>
        </w:rPr>
        <w:t xml:space="preserve"> </w:t>
      </w:r>
      <w:r w:rsidRPr="006422AA">
        <w:rPr>
          <w:lang w:val="cs-CZ"/>
        </w:rPr>
        <w:t>Celá připomínka</w:t>
      </w:r>
      <w:r w:rsidRPr="006422AA">
        <w:t xml:space="preserve"> </w:t>
      </w:r>
      <w:r w:rsidRPr="00684B42">
        <w:rPr>
          <w:lang w:val="cs-CZ"/>
        </w:rPr>
        <w:t>č. j. KVOP-21786/2023/S</w:t>
      </w:r>
      <w:r w:rsidRPr="006422AA">
        <w:rPr>
          <w:lang w:val="cs-CZ"/>
        </w:rPr>
        <w:t xml:space="preserve"> je dos</w:t>
      </w:r>
      <w:r w:rsidRPr="002E2058">
        <w:rPr>
          <w:lang w:val="cs-CZ"/>
        </w:rPr>
        <w:t>tupná v Evidenci stanovisek ochránce, viz</w:t>
      </w:r>
      <w:r w:rsidRPr="006422AA">
        <w:rPr>
          <w:lang w:val="cs-CZ"/>
        </w:rPr>
        <w:t xml:space="preserve"> </w:t>
      </w:r>
      <w:hyperlink r:id="rId7" w:history="1">
        <w:r w:rsidRPr="00E24772">
          <w:rPr>
            <w:rStyle w:val="Hypertextovodkaz"/>
            <w:sz w:val="18"/>
            <w:lang w:val="cs-CZ"/>
          </w:rPr>
          <w:t>https://eso.ochrance.cz/Nalezene/Edit/11988</w:t>
        </w:r>
      </w:hyperlink>
      <w:r>
        <w:rPr>
          <w:lang w:val="cs-CZ"/>
        </w:rPr>
        <w:t xml:space="preserve">. </w:t>
      </w:r>
    </w:p>
  </w:footnote>
  <w:footnote w:id="13">
    <w:p w14:paraId="7E473962" w14:textId="1C8F6E79"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 xml:space="preserve">Zpráva o šetření je dostupná v Evidenci stanovisek ombudsmana, viz </w:t>
      </w:r>
      <w:hyperlink r:id="rId8" w:history="1">
        <w:r w:rsidRPr="006422AA">
          <w:rPr>
            <w:rStyle w:val="Hypertextovodkaz"/>
            <w:sz w:val="18"/>
            <w:lang w:val="cs-CZ"/>
          </w:rPr>
          <w:t>https://eso.ochrance.cz/Nalezene/Edit/11868</w:t>
        </w:r>
      </w:hyperlink>
      <w:r w:rsidRPr="006422AA">
        <w:rPr>
          <w:lang w:val="cs-CZ"/>
        </w:rPr>
        <w:t xml:space="preserve">. </w:t>
      </w:r>
    </w:p>
  </w:footnote>
  <w:footnote w:id="14">
    <w:p w14:paraId="70EF3C13" w14:textId="18CA3CE5" w:rsidR="00180612" w:rsidRPr="006824E7" w:rsidRDefault="00180612">
      <w:pPr>
        <w:pStyle w:val="Textpoznpodarou"/>
        <w:rPr>
          <w:lang w:val="cs-CZ"/>
        </w:rPr>
      </w:pPr>
      <w:r>
        <w:rPr>
          <w:rStyle w:val="Znakapoznpodarou"/>
        </w:rPr>
        <w:footnoteRef/>
      </w:r>
      <w:r>
        <w:t xml:space="preserve"> </w:t>
      </w:r>
      <w:r>
        <w:rPr>
          <w:lang w:val="cs-CZ"/>
        </w:rPr>
        <w:t xml:space="preserve">Zpráva o šetření je dostupná v Evidenci stanovisek ombudsmana, viz </w:t>
      </w:r>
      <w:hyperlink r:id="rId9" w:history="1">
        <w:r w:rsidRPr="00E24772">
          <w:rPr>
            <w:rStyle w:val="Hypertextovodkaz"/>
            <w:sz w:val="18"/>
            <w:lang w:val="cs-CZ"/>
          </w:rPr>
          <w:t>https://eso.ochrance.cz/Nalezene/Edit/11728</w:t>
        </w:r>
      </w:hyperlink>
      <w:r>
        <w:rPr>
          <w:lang w:val="cs-CZ"/>
        </w:rPr>
        <w:t xml:space="preserve">.   </w:t>
      </w:r>
    </w:p>
  </w:footnote>
  <w:footnote w:id="15">
    <w:p w14:paraId="441F639A" w14:textId="6CDEA031" w:rsidR="00180612" w:rsidRDefault="00180612" w:rsidP="00A91C5C">
      <w:pPr>
        <w:pStyle w:val="Textpoznpodarou"/>
        <w:jc w:val="left"/>
        <w:rPr>
          <w:lang w:val="cs-CZ"/>
        </w:rPr>
      </w:pPr>
      <w:r>
        <w:rPr>
          <w:rStyle w:val="Znakapoznpodarou"/>
        </w:rPr>
        <w:footnoteRef/>
      </w:r>
      <w:r>
        <w:t xml:space="preserve"> </w:t>
      </w:r>
      <w:r>
        <w:rPr>
          <w:lang w:val="cs-CZ"/>
        </w:rPr>
        <w:t xml:space="preserve">Zpráva  o šetření je dostupná v Evidenci stanovisek ombudsmana, viz </w:t>
      </w:r>
      <w:hyperlink r:id="rId10" w:history="1">
        <w:r w:rsidRPr="009D3ED1">
          <w:rPr>
            <w:rStyle w:val="Hypertextovodkaz"/>
            <w:sz w:val="18"/>
            <w:lang w:val="cs-CZ"/>
          </w:rPr>
          <w:t>https://eso.ochrance.cz/Nalezene/Edit/11426</w:t>
        </w:r>
      </w:hyperlink>
      <w:r>
        <w:rPr>
          <w:lang w:val="cs-CZ"/>
        </w:rPr>
        <w:t xml:space="preserve">. </w:t>
      </w:r>
    </w:p>
    <w:p w14:paraId="42FAD56B" w14:textId="4AFB979F" w:rsidR="00180612" w:rsidRPr="00A91C5C" w:rsidRDefault="00180612" w:rsidP="00A91C5C">
      <w:pPr>
        <w:pStyle w:val="Textpoznpodarou"/>
        <w:jc w:val="left"/>
        <w:rPr>
          <w:lang w:val="cs-CZ"/>
        </w:rPr>
      </w:pPr>
      <w:r>
        <w:rPr>
          <w:lang w:val="cs-CZ"/>
        </w:rPr>
        <w:t xml:space="preserve">Závěrečné stanovisko je dostupné v Evidenci stanovisek ombudsmana tamtéž, viz </w:t>
      </w:r>
      <w:hyperlink r:id="rId11" w:history="1">
        <w:r w:rsidRPr="009D3ED1">
          <w:rPr>
            <w:rStyle w:val="Hypertextovodkaz"/>
            <w:sz w:val="18"/>
            <w:lang w:val="cs-CZ"/>
          </w:rPr>
          <w:t>https://eso.ochrance.cz/Nalezene/Edit/11582</w:t>
        </w:r>
      </w:hyperlink>
      <w:r>
        <w:rPr>
          <w:lang w:val="cs-CZ"/>
        </w:rPr>
        <w:t xml:space="preserve">. </w:t>
      </w:r>
    </w:p>
  </w:footnote>
  <w:footnote w:id="16">
    <w:p w14:paraId="5DA9EFB5" w14:textId="07CCE5CE"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 xml:space="preserve">Odpověď stěžovateli je dostupná v Evidenci stanovisek ombudsmana, viz </w:t>
      </w:r>
      <w:hyperlink r:id="rId12" w:history="1">
        <w:r w:rsidRPr="006422AA">
          <w:rPr>
            <w:rStyle w:val="Hypertextovodkaz"/>
            <w:sz w:val="18"/>
            <w:lang w:val="cs-CZ"/>
          </w:rPr>
          <w:t>https://eso.ochrance.cz/Nalezene/Edit/11580</w:t>
        </w:r>
      </w:hyperlink>
      <w:r w:rsidRPr="006422AA">
        <w:rPr>
          <w:lang w:val="cs-CZ"/>
        </w:rPr>
        <w:t xml:space="preserve">. </w:t>
      </w:r>
    </w:p>
  </w:footnote>
  <w:footnote w:id="17">
    <w:p w14:paraId="6CDD5393" w14:textId="44CB33DE" w:rsidR="00180612" w:rsidRPr="00A91C5C" w:rsidRDefault="00180612" w:rsidP="00A91C5C">
      <w:pPr>
        <w:pStyle w:val="Textpoznpodarou"/>
        <w:jc w:val="left"/>
        <w:rPr>
          <w:lang w:val="cs-CZ"/>
        </w:rPr>
      </w:pPr>
      <w:r>
        <w:rPr>
          <w:rStyle w:val="Znakapoznpodarou"/>
        </w:rPr>
        <w:footnoteRef/>
      </w:r>
      <w:r>
        <w:t xml:space="preserve"> </w:t>
      </w:r>
      <w:r>
        <w:rPr>
          <w:lang w:val="cs-CZ"/>
        </w:rPr>
        <w:t xml:space="preserve">Zpráva  o šetření je dostupná v Evidenci stanovisek ombudsmana, viz </w:t>
      </w:r>
      <w:hyperlink r:id="rId13" w:history="1">
        <w:r w:rsidRPr="009D3ED1">
          <w:rPr>
            <w:rStyle w:val="Hypertextovodkaz"/>
            <w:sz w:val="18"/>
            <w:lang w:val="cs-CZ"/>
          </w:rPr>
          <w:t>https://eso.ochrance.cz/Nalezene/Edit/11866</w:t>
        </w:r>
      </w:hyperlink>
      <w:r>
        <w:rPr>
          <w:lang w:val="cs-CZ"/>
        </w:rPr>
        <w:t xml:space="preserve">.  </w:t>
      </w:r>
    </w:p>
  </w:footnote>
  <w:footnote w:id="18">
    <w:p w14:paraId="24251D64" w14:textId="11D446A3"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Pr>
          <w:lang w:val="cs-CZ"/>
        </w:rPr>
        <w:t xml:space="preserve">Viz FB příspěvek: </w:t>
      </w:r>
      <w:hyperlink r:id="rId14" w:history="1">
        <w:r w:rsidRPr="006422AA">
          <w:rPr>
            <w:rStyle w:val="Hypertextovodkaz"/>
            <w:sz w:val="18"/>
          </w:rPr>
          <w:t>https://www.facebook.com/verejny.ochrance.prav/posts/pfbid02YhC6Pj4DHeRAZc92iJHe3EXFhXD793TnqvYjHTkHjzUuHBfLQcL5yXPBb98FDS2Sl</w:t>
        </w:r>
      </w:hyperlink>
      <w:r>
        <w:rPr>
          <w:rStyle w:val="Hypertextovodkaz"/>
          <w:sz w:val="18"/>
          <w:lang w:val="cs-CZ"/>
        </w:rPr>
        <w:t xml:space="preserve">. </w:t>
      </w:r>
      <w:r w:rsidRPr="006422AA">
        <w:rPr>
          <w:lang w:val="cs-CZ"/>
        </w:rPr>
        <w:t xml:space="preserve"> </w:t>
      </w:r>
    </w:p>
  </w:footnote>
  <w:footnote w:id="19">
    <w:p w14:paraId="3C623B53" w14:textId="268C359E"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 xml:space="preserve"> Zpráva  o šetření je dostupná v Evidenci stanovisek ombudsmana, viz </w:t>
      </w:r>
      <w:hyperlink r:id="rId15" w:history="1">
        <w:r w:rsidRPr="006422AA">
          <w:rPr>
            <w:rStyle w:val="Hypertextovodkaz"/>
            <w:sz w:val="18"/>
            <w:lang w:val="cs-CZ"/>
          </w:rPr>
          <w:t>https://eso.ochrance.cz/Nalezene/Edit/11818</w:t>
        </w:r>
      </w:hyperlink>
      <w:r w:rsidRPr="006422AA">
        <w:rPr>
          <w:lang w:val="cs-CZ"/>
        </w:rPr>
        <w:t xml:space="preserve">. </w:t>
      </w:r>
    </w:p>
  </w:footnote>
  <w:footnote w:id="20">
    <w:p w14:paraId="79A63AD8" w14:textId="292A8E86" w:rsidR="00180612" w:rsidRPr="006422AA" w:rsidRDefault="00180612" w:rsidP="00A91C5C">
      <w:pPr>
        <w:pStyle w:val="Textpoznpodarou"/>
        <w:jc w:val="left"/>
        <w:rPr>
          <w:lang w:val="cs-CZ"/>
        </w:rPr>
      </w:pPr>
      <w:r w:rsidRPr="006422AA">
        <w:rPr>
          <w:rStyle w:val="Znakapoznpodarou"/>
          <w:sz w:val="18"/>
        </w:rPr>
        <w:footnoteRef/>
      </w:r>
      <w:r w:rsidRPr="006422AA">
        <w:rPr>
          <w:lang w:val="cs-CZ"/>
        </w:rPr>
        <w:t xml:space="preserve"> Šetření vedené pod sp. zn. 4404/2021/VOP, dostupná v Evidenci stanovisek ombudsmana, viz </w:t>
      </w:r>
      <w:hyperlink r:id="rId16" w:history="1">
        <w:r w:rsidRPr="006422AA">
          <w:rPr>
            <w:rStyle w:val="Hypertextovodkaz"/>
            <w:sz w:val="18"/>
            <w:lang w:val="cs-CZ"/>
          </w:rPr>
          <w:t>https://eso.ochrance.cz/Nalezene/Edit/10612</w:t>
        </w:r>
      </w:hyperlink>
      <w:r w:rsidRPr="006422AA">
        <w:rPr>
          <w:lang w:val="cs-CZ"/>
        </w:rPr>
        <w:t xml:space="preserve">.   </w:t>
      </w:r>
    </w:p>
  </w:footnote>
  <w:footnote w:id="21">
    <w:p w14:paraId="1EAFB856" w14:textId="6CE3F335" w:rsidR="00180612" w:rsidRPr="006422AA" w:rsidRDefault="00180612" w:rsidP="00A91C5C">
      <w:pPr>
        <w:pStyle w:val="Textpoznpodarou"/>
        <w:jc w:val="left"/>
        <w:rPr>
          <w:lang w:val="cs-CZ"/>
        </w:rPr>
      </w:pPr>
      <w:r w:rsidRPr="006422AA">
        <w:rPr>
          <w:rStyle w:val="Znakapoznpodarou"/>
          <w:sz w:val="18"/>
        </w:rPr>
        <w:footnoteRef/>
      </w:r>
      <w:r>
        <w:rPr>
          <w:lang w:val="cs-CZ"/>
        </w:rPr>
        <w:t xml:space="preserve"> </w:t>
      </w:r>
      <w:r w:rsidRPr="006422AA">
        <w:t xml:space="preserve">Viz tiskovou zprávu ze dne 26. dubna 2023, dostupná z: </w:t>
      </w:r>
      <w:hyperlink r:id="rId17" w:history="1">
        <w:r w:rsidRPr="006422AA">
          <w:rPr>
            <w:rStyle w:val="Hypertextovodkaz"/>
            <w:sz w:val="18"/>
          </w:rPr>
          <w:t>https://www.ochrance.cz/aktualne/diskriminace_v_bydleni_vzdelavani_nebo_praci-_vyzkousejte_dalsi_casti_e-learningu_ombudsmana/</w:t>
        </w:r>
      </w:hyperlink>
      <w:r>
        <w:rPr>
          <w:rStyle w:val="Hypertextovodkaz"/>
          <w:sz w:val="18"/>
          <w:lang w:val="cs-CZ"/>
        </w:rPr>
        <w:t>.</w:t>
      </w:r>
      <w:r w:rsidRPr="006422AA">
        <w:rPr>
          <w:rStyle w:val="Hypertextovodkaz"/>
          <w:sz w:val="18"/>
          <w:lang w:val="cs-CZ"/>
        </w:rPr>
        <w:t xml:space="preserve"> </w:t>
      </w:r>
    </w:p>
  </w:footnote>
  <w:footnote w:id="22">
    <w:p w14:paraId="078C00C4" w14:textId="76C3A0FD" w:rsidR="00180612" w:rsidRPr="006422AA" w:rsidRDefault="00180612" w:rsidP="00A91C5C">
      <w:pPr>
        <w:pStyle w:val="Textpoznpodarou"/>
        <w:tabs>
          <w:tab w:val="clear" w:pos="284"/>
          <w:tab w:val="left" w:pos="426"/>
        </w:tabs>
        <w:jc w:val="left"/>
        <w:rPr>
          <w:lang w:val="cs-CZ"/>
        </w:rPr>
      </w:pPr>
      <w:r w:rsidRPr="006422AA">
        <w:rPr>
          <w:rStyle w:val="Znakapoznpodarou"/>
          <w:sz w:val="18"/>
        </w:rPr>
        <w:footnoteRef/>
      </w:r>
      <w:r w:rsidRPr="006422AA">
        <w:t xml:space="preserve"> Monitorovací zpráva 2022 k naplňování práva na rovné zacházení a ochrany před diskriminací sp. zn. 16/2023/DIS</w:t>
      </w:r>
      <w:r w:rsidRPr="006422AA">
        <w:rPr>
          <w:lang w:val="cs-CZ"/>
        </w:rPr>
        <w:t xml:space="preserve"> je dostupná </w:t>
      </w:r>
      <w:r w:rsidRPr="006422AA">
        <w:t xml:space="preserve"> z: </w:t>
      </w:r>
      <w:hyperlink r:id="rId18" w:history="1">
        <w:r w:rsidRPr="006422AA">
          <w:rPr>
            <w:rStyle w:val="Hypertextovodkaz"/>
            <w:sz w:val="18"/>
          </w:rPr>
          <w:t>https://www.ochrance.cz/uploads-import/ESO/16-2023-DIS-DJ-JKV_1-final.pdf</w:t>
        </w:r>
      </w:hyperlink>
      <w:r>
        <w:rPr>
          <w:rStyle w:val="Hypertextovodkaz"/>
          <w:sz w:val="18"/>
          <w:lang w:val="cs-CZ"/>
        </w:rPr>
        <w:t>.</w:t>
      </w:r>
      <w:r w:rsidRPr="006422AA">
        <w:rPr>
          <w:lang w:val="cs-CZ"/>
        </w:rPr>
        <w:t xml:space="preserve"> </w:t>
      </w:r>
    </w:p>
  </w:footnote>
  <w:footnote w:id="23">
    <w:p w14:paraId="5F6F6E7F" w14:textId="77777777" w:rsidR="00180612" w:rsidRPr="006422AA" w:rsidRDefault="00180612" w:rsidP="00A91C5C">
      <w:pPr>
        <w:pStyle w:val="Textpoznpodarou"/>
        <w:jc w:val="left"/>
      </w:pPr>
      <w:r w:rsidRPr="006422AA">
        <w:rPr>
          <w:rStyle w:val="Znakapoznpodarou"/>
          <w:sz w:val="18"/>
        </w:rPr>
        <w:footnoteRef/>
      </w:r>
      <w:r w:rsidRPr="006422AA">
        <w:rPr>
          <w:rStyle w:val="Znakapoznpodarou"/>
          <w:sz w:val="18"/>
        </w:rPr>
        <w:t xml:space="preserve"> </w:t>
      </w:r>
      <w:r w:rsidRPr="006422AA">
        <w:rPr>
          <w:rStyle w:val="Znakapoznpodarou"/>
          <w:sz w:val="18"/>
        </w:rPr>
        <w:tab/>
      </w:r>
      <w:r w:rsidRPr="006422AA">
        <w:t>Monitorovací proces je realizován v rámci projektu</w:t>
      </w:r>
      <w:r w:rsidRPr="006422AA">
        <w:rPr>
          <w:rStyle w:val="Zdraznn"/>
          <w:i w:val="0"/>
          <w:iCs w:val="0"/>
        </w:rPr>
        <w:t xml:space="preserve"> Posílení aktivit veřejného ochránce práv v ochraně lidských práv (směrem k ustavení Národní lidskoprávní instituce v ČR), číslo projektu: LP-PDP3-001. Tento projekt je financován z prostředků Fondů EHP a Norska 2014–2021 a státního rozpočtu ČR.</w:t>
      </w:r>
    </w:p>
  </w:footnote>
  <w:footnote w:id="24">
    <w:p w14:paraId="1525137B" w14:textId="7A89E76E"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 xml:space="preserve"> </w:t>
      </w:r>
      <w:r w:rsidRPr="006422AA">
        <w:t xml:space="preserve">Výzkumná zpráva je </w:t>
      </w:r>
      <w:r w:rsidRPr="006422AA">
        <w:rPr>
          <w:lang w:val="cs-CZ"/>
        </w:rPr>
        <w:t>d</w:t>
      </w:r>
      <w:r w:rsidRPr="006422AA">
        <w:t>ostupná z</w:t>
      </w:r>
      <w:r w:rsidRPr="006422AA">
        <w:rPr>
          <w:lang w:val="cs-CZ"/>
        </w:rPr>
        <w:t xml:space="preserve">: </w:t>
      </w:r>
      <w:hyperlink r:id="rId19" w:history="1">
        <w:r w:rsidRPr="006422AA">
          <w:rPr>
            <w:rStyle w:val="Hypertextovodkaz"/>
            <w:sz w:val="18"/>
            <w:lang w:val="cs-CZ"/>
          </w:rPr>
          <w:t>https://www.ochrance.cz/uploads-import/ESO/30-2023-DIS_M%C5%A0-final.pdf</w:t>
        </w:r>
      </w:hyperlink>
      <w:r w:rsidRPr="006422AA">
        <w:rPr>
          <w:lang w:val="cs-CZ"/>
        </w:rPr>
        <w:t xml:space="preserve">.  </w:t>
      </w:r>
    </w:p>
  </w:footnote>
  <w:footnote w:id="25">
    <w:p w14:paraId="4EA1A38F" w14:textId="761A6C36"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 xml:space="preserve">Zpráva o šetření je dostupná v Evidenci stanovisek ombudsmana, viz </w:t>
      </w:r>
      <w:hyperlink r:id="rId20" w:history="1">
        <w:r w:rsidRPr="006422AA">
          <w:rPr>
            <w:rStyle w:val="Hypertextovodkaz"/>
            <w:sz w:val="18"/>
            <w:lang w:val="cs-CZ"/>
          </w:rPr>
          <w:t>https://eso.ochrance.cz/Nalezene/Edit/10850</w:t>
        </w:r>
      </w:hyperlink>
      <w:r w:rsidRPr="006422AA">
        <w:rPr>
          <w:lang w:val="cs-CZ"/>
        </w:rPr>
        <w:t xml:space="preserve">. </w:t>
      </w:r>
    </w:p>
  </w:footnote>
  <w:footnote w:id="26">
    <w:p w14:paraId="32BB60C8" w14:textId="1A257337" w:rsidR="00180612" w:rsidRPr="006422AA" w:rsidRDefault="00180612" w:rsidP="00A91C5C">
      <w:pPr>
        <w:pStyle w:val="Textpoznpodarou"/>
        <w:jc w:val="left"/>
        <w:rPr>
          <w:lang w:val="cs-CZ"/>
        </w:rPr>
      </w:pPr>
      <w:r w:rsidRPr="006422AA">
        <w:rPr>
          <w:rStyle w:val="Znakapoznpodarou"/>
          <w:sz w:val="18"/>
        </w:rPr>
        <w:footnoteRef/>
      </w:r>
      <w:r w:rsidRPr="006422AA">
        <w:rPr>
          <w:lang w:val="cs-CZ"/>
        </w:rPr>
        <w:t xml:space="preserve"> Výroční zpráva veřejného ochránce práv za rok 2021, str. 11, je dostupné zde:   </w:t>
      </w:r>
      <w:hyperlink r:id="rId21" w:history="1">
        <w:r w:rsidRPr="006422AA">
          <w:rPr>
            <w:rStyle w:val="Hypertextovodkaz"/>
            <w:sz w:val="18"/>
            <w:lang w:val="cs-CZ"/>
          </w:rPr>
          <w:t>https://www.ochrance.cz/dokument/zpravy_pro_poslaneckou_snemovnu_2021/vyrocni-zprava-2021.pdf</w:t>
        </w:r>
      </w:hyperlink>
      <w:r w:rsidRPr="006422AA">
        <w:rPr>
          <w:lang w:val="cs-CZ"/>
        </w:rPr>
        <w:t xml:space="preserve">.  </w:t>
      </w:r>
    </w:p>
  </w:footnote>
  <w:footnote w:id="27">
    <w:p w14:paraId="3384507D" w14:textId="47031FB8"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 xml:space="preserve">Připomínka Č. j.: KVOP-8895/2023/S je dostupná v Evidenci stanovisek ochránce, viz </w:t>
      </w:r>
      <w:hyperlink r:id="rId22" w:history="1">
        <w:r w:rsidRPr="006422AA">
          <w:rPr>
            <w:rStyle w:val="Hypertextovodkaz"/>
            <w:sz w:val="18"/>
            <w:lang w:val="cs-CZ"/>
          </w:rPr>
          <w:t>https://eso.ochrance.cz/Nalezene/Edit/11556</w:t>
        </w:r>
      </w:hyperlink>
      <w:r w:rsidRPr="006422AA">
        <w:rPr>
          <w:lang w:val="cs-CZ"/>
        </w:rPr>
        <w:t xml:space="preserve">.  </w:t>
      </w:r>
    </w:p>
  </w:footnote>
  <w:footnote w:id="28">
    <w:p w14:paraId="54890E25" w14:textId="77777777" w:rsidR="00180612" w:rsidRPr="006422AA" w:rsidRDefault="00180612" w:rsidP="00A91C5C">
      <w:pPr>
        <w:pStyle w:val="Textpoznpodarou"/>
        <w:jc w:val="left"/>
        <w:rPr>
          <w:lang w:val="cs-CZ"/>
        </w:rPr>
      </w:pPr>
      <w:r w:rsidRPr="006422AA">
        <w:rPr>
          <w:rStyle w:val="Znakapoznpodarou"/>
          <w:sz w:val="18"/>
        </w:rPr>
        <w:footnoteRef/>
      </w:r>
      <w:r w:rsidRPr="006422AA">
        <w:t xml:space="preserve"> Úmluva o právech osob se zdravotním postižením, vyhlášená pod č. 10/2010 Sb. m. s.</w:t>
      </w:r>
    </w:p>
  </w:footnote>
  <w:footnote w:id="29">
    <w:p w14:paraId="28F074C3" w14:textId="77777777" w:rsidR="00180612" w:rsidRPr="006422AA" w:rsidRDefault="00180612" w:rsidP="00A91C5C">
      <w:pPr>
        <w:pStyle w:val="Textpoznpodarou"/>
        <w:jc w:val="left"/>
        <w:rPr>
          <w:lang w:val="cs-CZ"/>
        </w:rPr>
      </w:pPr>
      <w:r w:rsidRPr="006422AA">
        <w:rPr>
          <w:rStyle w:val="Znakapoznpodarou"/>
          <w:sz w:val="18"/>
        </w:rPr>
        <w:footnoteRef/>
      </w:r>
      <w:r w:rsidRPr="006422AA">
        <w:rPr>
          <w:lang w:val="cs-CZ"/>
        </w:rPr>
        <w:t xml:space="preserve"> Tisková zpráva vydaná po zasedání poradního orgánu i citované usnesení poradního orgánu jsou k dispozici zde </w:t>
      </w:r>
      <w:hyperlink r:id="rId23" w:history="1">
        <w:r w:rsidRPr="006422AA">
          <w:rPr>
            <w:rStyle w:val="Hypertextovodkaz"/>
            <w:sz w:val="18"/>
            <w:lang w:val="cs-CZ"/>
          </w:rPr>
          <w:t>https://www.ochrance.cz/aktualne/poradni_organ_ombudsmana_pro_oblast_prav_lidi_s_postizenim_je_znepokojeny_nedostatecnou_vysi_prispevku_na_peci-_vyzval_ochrance_aby_o_situaci_informoval_ministra_prace_a_socialnich_veci/</w:t>
        </w:r>
      </w:hyperlink>
      <w:r w:rsidRPr="006422AA">
        <w:rPr>
          <w:lang w:val="cs-CZ"/>
        </w:rPr>
        <w:t>.</w:t>
      </w:r>
    </w:p>
  </w:footnote>
  <w:footnote w:id="30">
    <w:p w14:paraId="2BBC3615" w14:textId="77777777" w:rsidR="00180612" w:rsidRPr="006422AA" w:rsidRDefault="00180612" w:rsidP="00A91C5C">
      <w:pPr>
        <w:pStyle w:val="Textpoznpodarou"/>
        <w:jc w:val="left"/>
        <w:rPr>
          <w:lang w:val="cs-CZ"/>
        </w:rPr>
      </w:pPr>
      <w:r w:rsidRPr="006422AA">
        <w:rPr>
          <w:rStyle w:val="Znakapoznpodarou"/>
          <w:sz w:val="18"/>
        </w:rPr>
        <w:footnoteRef/>
      </w:r>
      <w:r w:rsidRPr="006422AA">
        <w:rPr>
          <w:lang w:val="cs-CZ"/>
        </w:rPr>
        <w:t xml:space="preserve"> Tisková zpráva k plánované úpravě příspěvku na péči a  postupu ochránce v této věci je k dispozici zde </w:t>
      </w:r>
      <w:hyperlink r:id="rId24" w:history="1">
        <w:r w:rsidRPr="006422AA">
          <w:rPr>
            <w:rStyle w:val="Hypertextovodkaz"/>
            <w:sz w:val="18"/>
            <w:lang w:val="cs-CZ"/>
          </w:rPr>
          <w:t>https://www.ochrance.cz/aktualne/pro_lidi_s_postizenim_je_zvyseni_prispevku_na_peci_nezbytnou_podminkou_aby_mohli_vest_dustojny_a_plnohodnotny_zivot_upozornuje_zastupce_ombudsmana/</w:t>
        </w:r>
      </w:hyperlink>
      <w:r w:rsidRPr="006422AA">
        <w:rPr>
          <w:lang w:val="cs-CZ"/>
        </w:rPr>
        <w:t>.</w:t>
      </w:r>
    </w:p>
  </w:footnote>
  <w:footnote w:id="31">
    <w:p w14:paraId="6E7383EA" w14:textId="77777777"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 xml:space="preserve">Zápisy ze zasedání Vládního výboru pro osoby se zdravotním postižením jsou přístupné zde </w:t>
      </w:r>
      <w:hyperlink r:id="rId25" w:history="1">
        <w:r w:rsidRPr="006422AA">
          <w:rPr>
            <w:rStyle w:val="Hypertextovodkaz"/>
            <w:sz w:val="18"/>
            <w:lang w:val="cs-CZ"/>
          </w:rPr>
          <w:t>https://www.vlada.cz/scripts/detail.php?pgid=182</w:t>
        </w:r>
      </w:hyperlink>
      <w:r w:rsidRPr="006422AA">
        <w:rPr>
          <w:lang w:val="cs-CZ"/>
        </w:rPr>
        <w:t>.</w:t>
      </w:r>
    </w:p>
  </w:footnote>
  <w:footnote w:id="32">
    <w:p w14:paraId="6098A25D" w14:textId="77777777"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Tisková zpráva vydaná po zasedání poradního orgánu i citované usnesení poradního orgánu jsou k dispozici zde</w:t>
      </w:r>
      <w:r w:rsidRPr="006422AA">
        <w:t xml:space="preserve"> </w:t>
      </w:r>
      <w:hyperlink r:id="rId26" w:history="1">
        <w:r w:rsidRPr="006422AA">
          <w:rPr>
            <w:rStyle w:val="Hypertextovodkaz"/>
            <w:sz w:val="18"/>
          </w:rPr>
          <w:t>https://www.ochrance.cz/aktualne/tisice_lidi_se_zdravotnim_postizenim_jsou_v_cesku_omezeni_ve_svepravnosti_pritom_by_mnohym_stacila_jen_podpora_shoduji_se_clenove_poradniho_organu_ombudsmana/</w:t>
        </w:r>
      </w:hyperlink>
      <w:r w:rsidRPr="006422AA">
        <w:rPr>
          <w:lang w:val="cs-CZ"/>
        </w:rPr>
        <w:t xml:space="preserve">. </w:t>
      </w:r>
    </w:p>
  </w:footnote>
  <w:footnote w:id="33">
    <w:p w14:paraId="158497B5" w14:textId="77777777" w:rsidR="00180612" w:rsidRPr="006422AA" w:rsidRDefault="00180612" w:rsidP="00A91C5C">
      <w:pPr>
        <w:pStyle w:val="Textpoznpodarou"/>
        <w:jc w:val="left"/>
      </w:pPr>
      <w:r w:rsidRPr="006422AA">
        <w:rPr>
          <w:rStyle w:val="Znakapoznpodarou"/>
          <w:sz w:val="18"/>
        </w:rPr>
        <w:footnoteRef/>
      </w:r>
      <w:r w:rsidRPr="006422AA">
        <w:t xml:space="preserve"> Srov. komentář Výboru OSN pro práva osob se zdravotním postižením k čl. 27 Úmluvy o právech osob se zdravotním postižením, bod 70. Výbor pro práva osob se zdravotním postižením. Obecný komentář č. 8 (20) o právu osob se zdravotním postižením na práci a zaměstnání [online]. 2022 [cit. 12. 5. 2023]. Dostupné z: </w:t>
      </w:r>
      <w:hyperlink r:id="rId27" w:history="1">
        <w:r w:rsidRPr="006422AA">
          <w:rPr>
            <w:rStyle w:val="Hypertextovodkaz"/>
            <w:sz w:val="18"/>
          </w:rPr>
          <w:t>https://www.ochrance.cz/media/obecny_komentar_c._8.pdf</w:t>
        </w:r>
      </w:hyperlink>
      <w:r w:rsidRPr="006422AA">
        <w:t>.</w:t>
      </w:r>
    </w:p>
  </w:footnote>
  <w:footnote w:id="34">
    <w:p w14:paraId="31639ED2" w14:textId="7FE3E789"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 xml:space="preserve">Výroční zpráva veřejného ochránce práv za rok 2022, str. 14 – 15. Zpráva je dostupná zde: </w:t>
      </w:r>
      <w:hyperlink r:id="rId28" w:history="1">
        <w:r w:rsidRPr="006422AA">
          <w:rPr>
            <w:rStyle w:val="Hypertextovodkaz"/>
            <w:sz w:val="18"/>
            <w:lang w:val="cs-CZ"/>
          </w:rPr>
          <w:t>https://www.ochrance.cz/dokument/zpravy_pro_poslaneckou_snemovnu_2022/vyrocni-zprava-2022.pdf</w:t>
        </w:r>
      </w:hyperlink>
      <w:r w:rsidRPr="006422AA">
        <w:rPr>
          <w:lang w:val="cs-CZ"/>
        </w:rPr>
        <w:t xml:space="preserve">.  </w:t>
      </w:r>
    </w:p>
  </w:footnote>
  <w:footnote w:id="35">
    <w:p w14:paraId="01CEA2C3" w14:textId="77777777"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 xml:space="preserve">Záznam z on-line kulatého stolu je dostupný na tomto odkazu: </w:t>
      </w:r>
      <w:hyperlink r:id="rId29" w:history="1">
        <w:r w:rsidRPr="006422AA">
          <w:rPr>
            <w:rStyle w:val="Hypertextovodkaz"/>
            <w:sz w:val="18"/>
            <w:lang w:val="cs-CZ"/>
          </w:rPr>
          <w:t>https://www.youtube.com/watch?v=3JIqkb9td0k</w:t>
        </w:r>
      </w:hyperlink>
      <w:r w:rsidRPr="006422AA">
        <w:rPr>
          <w:lang w:val="cs-CZ"/>
        </w:rPr>
        <w:t xml:space="preserve">. </w:t>
      </w:r>
    </w:p>
  </w:footnote>
  <w:footnote w:id="36">
    <w:p w14:paraId="6F46CEB4" w14:textId="77777777"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 xml:space="preserve">Připomínky veřejného ochránce práv k návrhu novely školského zákona (č. j. předkladatele MŠMT-25161/2022-3) jdou zde </w:t>
      </w:r>
      <w:hyperlink r:id="rId30" w:history="1">
        <w:r w:rsidRPr="006422AA">
          <w:rPr>
            <w:rStyle w:val="Hypertextovodkaz"/>
            <w:sz w:val="18"/>
            <w:lang w:val="cs-CZ"/>
          </w:rPr>
          <w:t>https://eso.ochrance.cz/Nalezene/Edit/11024</w:t>
        </w:r>
      </w:hyperlink>
      <w:r w:rsidRPr="006422AA">
        <w:rPr>
          <w:lang w:val="cs-CZ"/>
        </w:rPr>
        <w:t xml:space="preserve">. </w:t>
      </w:r>
    </w:p>
  </w:footnote>
  <w:footnote w:id="37">
    <w:p w14:paraId="0A74D49E" w14:textId="7802F697"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O</w:t>
      </w:r>
      <w:r w:rsidRPr="006422AA">
        <w:t xml:space="preserve">becný komentář </w:t>
      </w:r>
      <w:r w:rsidRPr="006422AA">
        <w:rPr>
          <w:lang w:val="cs-CZ"/>
        </w:rPr>
        <w:t xml:space="preserve">Výboru OSN pro práva osob se zdravotním postižením </w:t>
      </w:r>
      <w:r w:rsidRPr="006422AA">
        <w:t>č. 4 (2016) o právu na inkluzivní vzdělání.</w:t>
      </w:r>
      <w:r w:rsidRPr="006422AA">
        <w:rPr>
          <w:lang w:val="cs-CZ"/>
        </w:rPr>
        <w:t xml:space="preserve"> Překlad komentáře do českého jazyka je dostupný zde </w:t>
      </w:r>
      <w:hyperlink r:id="rId31" w:history="1">
        <w:r w:rsidRPr="006422AA">
          <w:rPr>
            <w:rStyle w:val="Hypertextovodkaz"/>
            <w:sz w:val="18"/>
            <w:lang w:val="cs-CZ"/>
          </w:rPr>
          <w:t>https://www.ochrance.cz/media/obecny_komentar_c._4.pdf</w:t>
        </w:r>
      </w:hyperlink>
      <w:r w:rsidRPr="006422AA">
        <w:rPr>
          <w:lang w:val="cs-CZ"/>
        </w:rPr>
        <w:t xml:space="preserve">. </w:t>
      </w:r>
    </w:p>
  </w:footnote>
  <w:footnote w:id="38">
    <w:p w14:paraId="3F0D7A4E" w14:textId="77777777" w:rsidR="00180612" w:rsidRPr="006422AA" w:rsidRDefault="00180612" w:rsidP="00A91C5C">
      <w:pPr>
        <w:pStyle w:val="Textpoznpodarou"/>
        <w:jc w:val="left"/>
        <w:rPr>
          <w:lang w:val="cs-CZ"/>
        </w:rPr>
      </w:pPr>
      <w:r w:rsidRPr="006422AA">
        <w:rPr>
          <w:rStyle w:val="Znakapoznpodarou"/>
          <w:sz w:val="18"/>
        </w:rPr>
        <w:footnoteRef/>
      </w:r>
      <w:r w:rsidRPr="006422AA">
        <w:t xml:space="preserve"> </w:t>
      </w:r>
      <w:r w:rsidRPr="006422AA">
        <w:rPr>
          <w:lang w:val="cs-CZ"/>
        </w:rPr>
        <w:t xml:space="preserve">Zápis ze zasedání Vládního výboru pro osoby se zdravotním postižením je zde </w:t>
      </w:r>
      <w:hyperlink r:id="rId32" w:history="1">
        <w:r w:rsidRPr="006422AA">
          <w:rPr>
            <w:rStyle w:val="Hypertextovodkaz"/>
            <w:sz w:val="18"/>
            <w:lang w:val="cs-CZ"/>
          </w:rPr>
          <w:t>https://www.vlada.cz/scripts/detail.php?pgid=182</w:t>
        </w:r>
      </w:hyperlink>
      <w:r w:rsidRPr="006422AA">
        <w:rPr>
          <w:lang w:val="cs-CZ"/>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999C1" w14:textId="4B74BEFE" w:rsidR="00180612" w:rsidRDefault="00180612" w:rsidP="005F0FD7">
    <w:pPr>
      <w:pStyle w:val="Zhlav"/>
      <w:tabs>
        <w:tab w:val="clear" w:pos="9072"/>
      </w:tabs>
      <w:spacing w:after="840"/>
      <w:ind w:left="-709"/>
      <w:jc w:val="right"/>
      <w:rPr>
        <w:sz w:val="20"/>
        <w:szCs w:val="20"/>
      </w:rPr>
    </w:pPr>
    <w:r>
      <w:rPr>
        <w:noProof/>
        <w:sz w:val="20"/>
        <w:szCs w:val="20"/>
      </w:rPr>
      <w:drawing>
        <wp:anchor distT="0" distB="0" distL="114300" distR="114300" simplePos="0" relativeHeight="251665408" behindDoc="0" locked="0" layoutInCell="1" allowOverlap="1" wp14:anchorId="660D26D9" wp14:editId="21984613">
          <wp:simplePos x="0" y="0"/>
          <wp:positionH relativeFrom="page">
            <wp:posOffset>417830</wp:posOffset>
          </wp:positionH>
          <wp:positionV relativeFrom="page">
            <wp:posOffset>417830</wp:posOffset>
          </wp:positionV>
          <wp:extent cx="2088000" cy="522000"/>
          <wp:effectExtent l="0" t="0" r="7620" b="0"/>
          <wp:wrapNone/>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hrance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8000" cy="52200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t>2. čtvrtletí 2023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CC20E" w14:textId="5BE7FE96" w:rsidR="00180612" w:rsidRDefault="00180612" w:rsidP="002D2D09">
    <w:pPr>
      <w:pStyle w:val="Zhlav"/>
      <w:spacing w:after="840"/>
      <w:jc w:val="right"/>
      <w:rPr>
        <w:sz w:val="20"/>
        <w:szCs w:val="20"/>
      </w:rPr>
    </w:pPr>
    <w:r>
      <w:rPr>
        <w:noProof/>
        <w:sz w:val="20"/>
        <w:szCs w:val="20"/>
      </w:rPr>
      <w:drawing>
        <wp:anchor distT="0" distB="0" distL="114300" distR="114300" simplePos="0" relativeHeight="251663360" behindDoc="0" locked="0" layoutInCell="1" allowOverlap="1" wp14:anchorId="69C50850" wp14:editId="46DCD4DB">
          <wp:simplePos x="0" y="0"/>
          <wp:positionH relativeFrom="page">
            <wp:posOffset>417830</wp:posOffset>
          </wp:positionH>
          <wp:positionV relativeFrom="page">
            <wp:posOffset>417830</wp:posOffset>
          </wp:positionV>
          <wp:extent cx="2088000" cy="522000"/>
          <wp:effectExtent l="0" t="0" r="7620" b="0"/>
          <wp:wrapNone/>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hrance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88000" cy="522000"/>
                  </a:xfrm>
                  <a:prstGeom prst="rect">
                    <a:avLst/>
                  </a:prstGeom>
                </pic:spPr>
              </pic:pic>
            </a:graphicData>
          </a:graphic>
          <wp14:sizeRelH relativeFrom="page">
            <wp14:pctWidth>0</wp14:pctWidth>
          </wp14:sizeRelH>
          <wp14:sizeRelV relativeFrom="page">
            <wp14:pctHeight>0</wp14:pctHeight>
          </wp14:sizeRelV>
        </wp:anchor>
      </w:drawing>
    </w:r>
    <w:r w:rsidRPr="002D2D09">
      <w:rPr>
        <w:sz w:val="20"/>
        <w:szCs w:val="20"/>
      </w:rPr>
      <w:t>Č</w:t>
    </w:r>
    <w:r>
      <w:rPr>
        <w:sz w:val="20"/>
        <w:szCs w:val="20"/>
      </w:rPr>
      <w:t>. j.: KVOP-27633/2023</w:t>
    </w:r>
    <w:r w:rsidRPr="002D2D09">
      <w:rPr>
        <w:sz w:val="20"/>
        <w:szCs w:val="20"/>
      </w:rPr>
      <w: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FE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F6451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088C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02EDF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E6887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3E5E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90C47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912577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0811E6"/>
    <w:lvl w:ilvl="0">
      <w:start w:val="1"/>
      <w:numFmt w:val="decimal"/>
      <w:lvlText w:val="[%1]"/>
      <w:lvlJc w:val="left"/>
      <w:pPr>
        <w:ind w:left="360" w:hanging="360"/>
      </w:pPr>
      <w:rPr>
        <w:rFonts w:ascii="Arial" w:hAnsi="Arial" w:hint="default"/>
        <w:b w:val="0"/>
        <w:i w:val="0"/>
        <w:sz w:val="24"/>
      </w:rPr>
    </w:lvl>
  </w:abstractNum>
  <w:abstractNum w:abstractNumId="9" w15:restartNumberingAfterBreak="0">
    <w:nsid w:val="FFFFFF89"/>
    <w:multiLevelType w:val="singleLevel"/>
    <w:tmpl w:val="A9080F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26C5C"/>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9B33886"/>
    <w:multiLevelType w:val="hybridMultilevel"/>
    <w:tmpl w:val="5DD2DC14"/>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0BF61C20"/>
    <w:multiLevelType w:val="hybridMultilevel"/>
    <w:tmpl w:val="7C30D2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0F0E3B4C"/>
    <w:multiLevelType w:val="hybridMultilevel"/>
    <w:tmpl w:val="18B2D3F0"/>
    <w:lvl w:ilvl="0" w:tplc="15D2875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10FF497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C07D3"/>
    <w:multiLevelType w:val="hybridMultilevel"/>
    <w:tmpl w:val="0FA8DF8A"/>
    <w:lvl w:ilvl="0" w:tplc="4C548E3A">
      <w:start w:val="1"/>
      <w:numFmt w:val="upperLetter"/>
      <w:pStyle w:val="slovanseznam2"/>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9311AC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06742E8"/>
    <w:multiLevelType w:val="multilevel"/>
    <w:tmpl w:val="CB4482FA"/>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72459FA"/>
    <w:multiLevelType w:val="hybridMultilevel"/>
    <w:tmpl w:val="F32ECE60"/>
    <w:lvl w:ilvl="0" w:tplc="BA225C7C">
      <w:start w:val="1"/>
      <w:numFmt w:val="decimal"/>
      <w:pStyle w:val="slovanseznam"/>
      <w:lvlText w:val="(%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7940ED9"/>
    <w:multiLevelType w:val="hybridMultilevel"/>
    <w:tmpl w:val="72464DB8"/>
    <w:lvl w:ilvl="0" w:tplc="00808AFC">
      <w:start w:val="1"/>
      <w:numFmt w:val="upperRoman"/>
      <w:pStyle w:val="Prvnvta"/>
      <w:lvlText w:val="%1."/>
      <w:lvlJc w:val="left"/>
      <w:pPr>
        <w:ind w:left="861" w:hanging="720"/>
      </w:pPr>
      <w:rPr>
        <w:rFonts w:hint="default"/>
      </w:rPr>
    </w:lvl>
    <w:lvl w:ilvl="1" w:tplc="04050019" w:tentative="1">
      <w:start w:val="1"/>
      <w:numFmt w:val="lowerLetter"/>
      <w:lvlText w:val="%2."/>
      <w:lvlJc w:val="left"/>
      <w:pPr>
        <w:ind w:left="1221" w:hanging="360"/>
      </w:pPr>
    </w:lvl>
    <w:lvl w:ilvl="2" w:tplc="0405001B" w:tentative="1">
      <w:start w:val="1"/>
      <w:numFmt w:val="lowerRoman"/>
      <w:lvlText w:val="%3."/>
      <w:lvlJc w:val="right"/>
      <w:pPr>
        <w:ind w:left="1941" w:hanging="180"/>
      </w:pPr>
    </w:lvl>
    <w:lvl w:ilvl="3" w:tplc="0405000F" w:tentative="1">
      <w:start w:val="1"/>
      <w:numFmt w:val="decimal"/>
      <w:lvlText w:val="%4."/>
      <w:lvlJc w:val="left"/>
      <w:pPr>
        <w:ind w:left="2661" w:hanging="360"/>
      </w:pPr>
    </w:lvl>
    <w:lvl w:ilvl="4" w:tplc="04050019" w:tentative="1">
      <w:start w:val="1"/>
      <w:numFmt w:val="lowerLetter"/>
      <w:lvlText w:val="%5."/>
      <w:lvlJc w:val="left"/>
      <w:pPr>
        <w:ind w:left="3381" w:hanging="360"/>
      </w:pPr>
    </w:lvl>
    <w:lvl w:ilvl="5" w:tplc="0405001B" w:tentative="1">
      <w:start w:val="1"/>
      <w:numFmt w:val="lowerRoman"/>
      <w:lvlText w:val="%6."/>
      <w:lvlJc w:val="right"/>
      <w:pPr>
        <w:ind w:left="4101" w:hanging="180"/>
      </w:pPr>
    </w:lvl>
    <w:lvl w:ilvl="6" w:tplc="0405000F" w:tentative="1">
      <w:start w:val="1"/>
      <w:numFmt w:val="decimal"/>
      <w:lvlText w:val="%7."/>
      <w:lvlJc w:val="left"/>
      <w:pPr>
        <w:ind w:left="4821" w:hanging="360"/>
      </w:pPr>
    </w:lvl>
    <w:lvl w:ilvl="7" w:tplc="04050019" w:tentative="1">
      <w:start w:val="1"/>
      <w:numFmt w:val="lowerLetter"/>
      <w:lvlText w:val="%8."/>
      <w:lvlJc w:val="left"/>
      <w:pPr>
        <w:ind w:left="5541" w:hanging="360"/>
      </w:pPr>
    </w:lvl>
    <w:lvl w:ilvl="8" w:tplc="0405001B" w:tentative="1">
      <w:start w:val="1"/>
      <w:numFmt w:val="lowerRoman"/>
      <w:lvlText w:val="%9."/>
      <w:lvlJc w:val="right"/>
      <w:pPr>
        <w:ind w:left="6261" w:hanging="180"/>
      </w:pPr>
    </w:lvl>
  </w:abstractNum>
  <w:abstractNum w:abstractNumId="20" w15:restartNumberingAfterBreak="0">
    <w:nsid w:val="2C783CC9"/>
    <w:multiLevelType w:val="hybridMultilevel"/>
    <w:tmpl w:val="A1A01998"/>
    <w:lvl w:ilvl="0" w:tplc="65EEB428">
      <w:start w:val="1"/>
      <w:numFmt w:val="bullet"/>
      <w:pStyle w:val="Sezna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2D3635E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450BB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4666437"/>
    <w:multiLevelType w:val="multilevel"/>
    <w:tmpl w:val="AD7866F8"/>
    <w:lvl w:ilvl="0">
      <w:start w:val="1"/>
      <w:numFmt w:val="upperLetter"/>
      <w:pStyle w:val="Nadpis2"/>
      <w:lvlText w:val="%1."/>
      <w:lvlJc w:val="left"/>
      <w:pPr>
        <w:tabs>
          <w:tab w:val="num" w:pos="567"/>
        </w:tabs>
        <w:ind w:left="720" w:hanging="720"/>
      </w:pPr>
      <w:rPr>
        <w:rFonts w:hint="default"/>
      </w:rPr>
    </w:lvl>
    <w:lvl w:ilvl="1">
      <w:start w:val="1"/>
      <w:numFmt w:val="decimal"/>
      <w:pStyle w:val="Nadpis3"/>
      <w:lvlText w:val="%1.%2"/>
      <w:lvlJc w:val="left"/>
      <w:pPr>
        <w:tabs>
          <w:tab w:val="num" w:pos="709"/>
        </w:tabs>
        <w:ind w:left="862" w:hanging="720"/>
      </w:pPr>
      <w:rPr>
        <w:rFonts w:hint="default"/>
      </w:rPr>
    </w:lvl>
    <w:lvl w:ilvl="2">
      <w:start w:val="1"/>
      <w:numFmt w:val="decimal"/>
      <w:pStyle w:val="Nadpis4"/>
      <w:lvlText w:val="%1.%2.%3"/>
      <w:lvlJc w:val="left"/>
      <w:pPr>
        <w:tabs>
          <w:tab w:val="num" w:pos="567"/>
        </w:tabs>
        <w:ind w:left="1080" w:hanging="108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7E7519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116DE5"/>
    <w:multiLevelType w:val="hybridMultilevel"/>
    <w:tmpl w:val="5826448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55C6658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91177E"/>
    <w:multiLevelType w:val="hybridMultilevel"/>
    <w:tmpl w:val="CE785F4C"/>
    <w:lvl w:ilvl="0" w:tplc="04050011">
      <w:start w:val="1"/>
      <w:numFmt w:val="decimal"/>
      <w:lvlText w:val="%1)"/>
      <w:lvlJc w:val="left"/>
      <w:pPr>
        <w:ind w:left="862" w:hanging="360"/>
      </w:pPr>
    </w:lvl>
    <w:lvl w:ilvl="1" w:tplc="04050019" w:tentative="1">
      <w:start w:val="1"/>
      <w:numFmt w:val="lowerLetter"/>
      <w:lvlText w:val="%2."/>
      <w:lvlJc w:val="left"/>
      <w:pPr>
        <w:ind w:left="1582" w:hanging="360"/>
      </w:pPr>
    </w:lvl>
    <w:lvl w:ilvl="2" w:tplc="0405001B" w:tentative="1">
      <w:start w:val="1"/>
      <w:numFmt w:val="lowerRoman"/>
      <w:lvlText w:val="%3."/>
      <w:lvlJc w:val="right"/>
      <w:pPr>
        <w:ind w:left="2302" w:hanging="180"/>
      </w:pPr>
    </w:lvl>
    <w:lvl w:ilvl="3" w:tplc="0405000F" w:tentative="1">
      <w:start w:val="1"/>
      <w:numFmt w:val="decimal"/>
      <w:lvlText w:val="%4."/>
      <w:lvlJc w:val="left"/>
      <w:pPr>
        <w:ind w:left="3022" w:hanging="360"/>
      </w:pPr>
    </w:lvl>
    <w:lvl w:ilvl="4" w:tplc="04050019" w:tentative="1">
      <w:start w:val="1"/>
      <w:numFmt w:val="lowerLetter"/>
      <w:lvlText w:val="%5."/>
      <w:lvlJc w:val="left"/>
      <w:pPr>
        <w:ind w:left="3742" w:hanging="360"/>
      </w:pPr>
    </w:lvl>
    <w:lvl w:ilvl="5" w:tplc="0405001B" w:tentative="1">
      <w:start w:val="1"/>
      <w:numFmt w:val="lowerRoman"/>
      <w:lvlText w:val="%6."/>
      <w:lvlJc w:val="right"/>
      <w:pPr>
        <w:ind w:left="4462" w:hanging="180"/>
      </w:pPr>
    </w:lvl>
    <w:lvl w:ilvl="6" w:tplc="0405000F" w:tentative="1">
      <w:start w:val="1"/>
      <w:numFmt w:val="decimal"/>
      <w:lvlText w:val="%7."/>
      <w:lvlJc w:val="left"/>
      <w:pPr>
        <w:ind w:left="5182" w:hanging="360"/>
      </w:pPr>
    </w:lvl>
    <w:lvl w:ilvl="7" w:tplc="04050019" w:tentative="1">
      <w:start w:val="1"/>
      <w:numFmt w:val="lowerLetter"/>
      <w:lvlText w:val="%8."/>
      <w:lvlJc w:val="left"/>
      <w:pPr>
        <w:ind w:left="5902" w:hanging="360"/>
      </w:pPr>
    </w:lvl>
    <w:lvl w:ilvl="8" w:tplc="0405001B" w:tentative="1">
      <w:start w:val="1"/>
      <w:numFmt w:val="lowerRoman"/>
      <w:lvlText w:val="%9."/>
      <w:lvlJc w:val="right"/>
      <w:pPr>
        <w:ind w:left="6622" w:hanging="180"/>
      </w:pPr>
    </w:lvl>
  </w:abstractNum>
  <w:abstractNum w:abstractNumId="28" w15:restartNumberingAfterBreak="0">
    <w:nsid w:val="59BE090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AFA61B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B8A132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E62893"/>
    <w:multiLevelType w:val="hybridMultilevel"/>
    <w:tmpl w:val="90ACAC44"/>
    <w:lvl w:ilvl="0" w:tplc="025491B6">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6A25686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D4027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7C811F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BD04F9"/>
    <w:multiLevelType w:val="hybridMultilevel"/>
    <w:tmpl w:val="C9380EC4"/>
    <w:lvl w:ilvl="0" w:tplc="DEF4CC26">
      <w:start w:val="1"/>
      <w:numFmt w:val="decimal"/>
      <w:lvlText w:val="[%1]"/>
      <w:lvlJc w:val="left"/>
      <w:pPr>
        <w:ind w:left="720" w:hanging="360"/>
      </w:pPr>
      <w:rPr>
        <w:rFonts w:ascii="Arial" w:hAnsi="Arial" w:hint="default"/>
        <w:b w:val="0"/>
        <w:i w:val="0"/>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BED73C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2"/>
  </w:num>
  <w:num w:numId="4">
    <w:abstractNumId w:val="1"/>
  </w:num>
  <w:num w:numId="5">
    <w:abstractNumId w:val="0"/>
  </w:num>
  <w:num w:numId="6">
    <w:abstractNumId w:val="31"/>
  </w:num>
  <w:num w:numId="7">
    <w:abstractNumId w:val="9"/>
  </w:num>
  <w:num w:numId="8">
    <w:abstractNumId w:val="7"/>
  </w:num>
  <w:num w:numId="9">
    <w:abstractNumId w:val="6"/>
  </w:num>
  <w:num w:numId="10">
    <w:abstractNumId w:val="5"/>
  </w:num>
  <w:num w:numId="11">
    <w:abstractNumId w:val="4"/>
  </w:num>
  <w:num w:numId="12">
    <w:abstractNumId w:val="35"/>
  </w:num>
  <w:num w:numId="13">
    <w:abstractNumId w:val="17"/>
  </w:num>
  <w:num w:numId="14">
    <w:abstractNumId w:val="14"/>
  </w:num>
  <w:num w:numId="15">
    <w:abstractNumId w:val="29"/>
  </w:num>
  <w:num w:numId="16">
    <w:abstractNumId w:val="20"/>
  </w:num>
  <w:num w:numId="17">
    <w:abstractNumId w:val="36"/>
  </w:num>
  <w:num w:numId="18">
    <w:abstractNumId w:val="18"/>
  </w:num>
  <w:num w:numId="19">
    <w:abstractNumId w:val="33"/>
  </w:num>
  <w:num w:numId="20">
    <w:abstractNumId w:val="30"/>
  </w:num>
  <w:num w:numId="21">
    <w:abstractNumId w:val="26"/>
  </w:num>
  <w:num w:numId="22">
    <w:abstractNumId w:val="10"/>
  </w:num>
  <w:num w:numId="23">
    <w:abstractNumId w:val="28"/>
  </w:num>
  <w:num w:numId="24">
    <w:abstractNumId w:val="34"/>
  </w:num>
  <w:num w:numId="25">
    <w:abstractNumId w:val="22"/>
  </w:num>
  <w:num w:numId="26">
    <w:abstractNumId w:val="16"/>
  </w:num>
  <w:num w:numId="27">
    <w:abstractNumId w:val="24"/>
  </w:num>
  <w:num w:numId="28">
    <w:abstractNumId w:val="21"/>
  </w:num>
  <w:num w:numId="29">
    <w:abstractNumId w:val="32"/>
  </w:num>
  <w:num w:numId="30">
    <w:abstractNumId w:val="23"/>
  </w:num>
  <w:num w:numId="31">
    <w:abstractNumId w:val="13"/>
  </w:num>
  <w:num w:numId="32">
    <w:abstractNumId w:val="15"/>
  </w:num>
  <w:num w:numId="33">
    <w:abstractNumId w:val="19"/>
  </w:num>
  <w:num w:numId="34">
    <w:abstractNumId w:val="12"/>
  </w:num>
  <w:num w:numId="35">
    <w:abstractNumId w:val="11"/>
  </w:num>
  <w:num w:numId="36">
    <w:abstractNumId w:val="2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30721" style="mso-position-horizontal-relative:margin;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E6C"/>
    <w:rsid w:val="00003F61"/>
    <w:rsid w:val="00004FB4"/>
    <w:rsid w:val="00005478"/>
    <w:rsid w:val="00005D26"/>
    <w:rsid w:val="00011E14"/>
    <w:rsid w:val="0001457E"/>
    <w:rsid w:val="00014C0A"/>
    <w:rsid w:val="00015234"/>
    <w:rsid w:val="00015627"/>
    <w:rsid w:val="00017F18"/>
    <w:rsid w:val="00023C4B"/>
    <w:rsid w:val="00027856"/>
    <w:rsid w:val="00035D4C"/>
    <w:rsid w:val="000360CB"/>
    <w:rsid w:val="0003750B"/>
    <w:rsid w:val="000376CC"/>
    <w:rsid w:val="00040DDA"/>
    <w:rsid w:val="0004162B"/>
    <w:rsid w:val="00042F58"/>
    <w:rsid w:val="0005037C"/>
    <w:rsid w:val="00050B23"/>
    <w:rsid w:val="00053840"/>
    <w:rsid w:val="00053D2E"/>
    <w:rsid w:val="000550FC"/>
    <w:rsid w:val="0005522E"/>
    <w:rsid w:val="00055CC0"/>
    <w:rsid w:val="000603EA"/>
    <w:rsid w:val="00063835"/>
    <w:rsid w:val="00064178"/>
    <w:rsid w:val="000649CB"/>
    <w:rsid w:val="00064D4B"/>
    <w:rsid w:val="000670B9"/>
    <w:rsid w:val="0007071F"/>
    <w:rsid w:val="00070E77"/>
    <w:rsid w:val="000718E8"/>
    <w:rsid w:val="0007514E"/>
    <w:rsid w:val="000759C8"/>
    <w:rsid w:val="00075FCF"/>
    <w:rsid w:val="0008195A"/>
    <w:rsid w:val="000848A7"/>
    <w:rsid w:val="00086E6C"/>
    <w:rsid w:val="00087D77"/>
    <w:rsid w:val="000915A0"/>
    <w:rsid w:val="00095D5B"/>
    <w:rsid w:val="000978FF"/>
    <w:rsid w:val="000A0A8E"/>
    <w:rsid w:val="000B0074"/>
    <w:rsid w:val="000B18A3"/>
    <w:rsid w:val="000B227B"/>
    <w:rsid w:val="000B40CF"/>
    <w:rsid w:val="000B6DAD"/>
    <w:rsid w:val="000B7155"/>
    <w:rsid w:val="000B72E8"/>
    <w:rsid w:val="000C08A7"/>
    <w:rsid w:val="000C1680"/>
    <w:rsid w:val="000C502F"/>
    <w:rsid w:val="000D130B"/>
    <w:rsid w:val="000D75D7"/>
    <w:rsid w:val="000D789A"/>
    <w:rsid w:val="000E08D0"/>
    <w:rsid w:val="000E43BD"/>
    <w:rsid w:val="000E5D77"/>
    <w:rsid w:val="000E7542"/>
    <w:rsid w:val="000F1168"/>
    <w:rsid w:val="000F3338"/>
    <w:rsid w:val="000F39AB"/>
    <w:rsid w:val="000F41CE"/>
    <w:rsid w:val="000F54D2"/>
    <w:rsid w:val="001002AD"/>
    <w:rsid w:val="00100CF3"/>
    <w:rsid w:val="00101D00"/>
    <w:rsid w:val="00102206"/>
    <w:rsid w:val="00102A71"/>
    <w:rsid w:val="001035B5"/>
    <w:rsid w:val="001058FD"/>
    <w:rsid w:val="001114F3"/>
    <w:rsid w:val="00111B76"/>
    <w:rsid w:val="0011391B"/>
    <w:rsid w:val="0011578C"/>
    <w:rsid w:val="00115A8E"/>
    <w:rsid w:val="00117BAB"/>
    <w:rsid w:val="00122CE6"/>
    <w:rsid w:val="00124291"/>
    <w:rsid w:val="00125D4F"/>
    <w:rsid w:val="00125F58"/>
    <w:rsid w:val="001269BB"/>
    <w:rsid w:val="00126A3E"/>
    <w:rsid w:val="00127E6D"/>
    <w:rsid w:val="001336BD"/>
    <w:rsid w:val="001353D4"/>
    <w:rsid w:val="0013754E"/>
    <w:rsid w:val="00140D4A"/>
    <w:rsid w:val="00141F80"/>
    <w:rsid w:val="001438B9"/>
    <w:rsid w:val="0014423B"/>
    <w:rsid w:val="001448FE"/>
    <w:rsid w:val="00145F24"/>
    <w:rsid w:val="0015055F"/>
    <w:rsid w:val="00151F4E"/>
    <w:rsid w:val="00154C9A"/>
    <w:rsid w:val="00155B5D"/>
    <w:rsid w:val="00155DD9"/>
    <w:rsid w:val="001601D8"/>
    <w:rsid w:val="00161883"/>
    <w:rsid w:val="00162595"/>
    <w:rsid w:val="00164197"/>
    <w:rsid w:val="001656FD"/>
    <w:rsid w:val="001670F7"/>
    <w:rsid w:val="00171B96"/>
    <w:rsid w:val="001720BE"/>
    <w:rsid w:val="00173A1C"/>
    <w:rsid w:val="00174ED4"/>
    <w:rsid w:val="00180612"/>
    <w:rsid w:val="00182620"/>
    <w:rsid w:val="00185719"/>
    <w:rsid w:val="001864B7"/>
    <w:rsid w:val="00190836"/>
    <w:rsid w:val="00190FA8"/>
    <w:rsid w:val="00191790"/>
    <w:rsid w:val="00191BF4"/>
    <w:rsid w:val="00193E2E"/>
    <w:rsid w:val="001953AB"/>
    <w:rsid w:val="001966FF"/>
    <w:rsid w:val="00196D31"/>
    <w:rsid w:val="00197FD1"/>
    <w:rsid w:val="001A4C3D"/>
    <w:rsid w:val="001A5721"/>
    <w:rsid w:val="001B49CC"/>
    <w:rsid w:val="001B5440"/>
    <w:rsid w:val="001B5753"/>
    <w:rsid w:val="001B7B05"/>
    <w:rsid w:val="001C14E3"/>
    <w:rsid w:val="001C260E"/>
    <w:rsid w:val="001C41F4"/>
    <w:rsid w:val="001D676F"/>
    <w:rsid w:val="001D7D52"/>
    <w:rsid w:val="001E10E1"/>
    <w:rsid w:val="001E4135"/>
    <w:rsid w:val="001E4742"/>
    <w:rsid w:val="001E5489"/>
    <w:rsid w:val="001F1106"/>
    <w:rsid w:val="001F5E58"/>
    <w:rsid w:val="00200F24"/>
    <w:rsid w:val="00201623"/>
    <w:rsid w:val="00201AC2"/>
    <w:rsid w:val="00202E32"/>
    <w:rsid w:val="00204420"/>
    <w:rsid w:val="00204EE2"/>
    <w:rsid w:val="002057F3"/>
    <w:rsid w:val="0021070D"/>
    <w:rsid w:val="00212523"/>
    <w:rsid w:val="00212BAE"/>
    <w:rsid w:val="002138A0"/>
    <w:rsid w:val="00214429"/>
    <w:rsid w:val="002144D7"/>
    <w:rsid w:val="00214EA7"/>
    <w:rsid w:val="00215271"/>
    <w:rsid w:val="00216734"/>
    <w:rsid w:val="00225AE7"/>
    <w:rsid w:val="002264F4"/>
    <w:rsid w:val="002268B9"/>
    <w:rsid w:val="00232793"/>
    <w:rsid w:val="0023775A"/>
    <w:rsid w:val="002419BD"/>
    <w:rsid w:val="00245B80"/>
    <w:rsid w:val="002517B1"/>
    <w:rsid w:val="00251911"/>
    <w:rsid w:val="002547A9"/>
    <w:rsid w:val="002557E2"/>
    <w:rsid w:val="00256B7A"/>
    <w:rsid w:val="0025753B"/>
    <w:rsid w:val="002604E1"/>
    <w:rsid w:val="00261454"/>
    <w:rsid w:val="002620AE"/>
    <w:rsid w:val="00264D44"/>
    <w:rsid w:val="00266C7F"/>
    <w:rsid w:val="00270DF7"/>
    <w:rsid w:val="00272D2B"/>
    <w:rsid w:val="0027365B"/>
    <w:rsid w:val="00273E2D"/>
    <w:rsid w:val="00274AF3"/>
    <w:rsid w:val="00275A42"/>
    <w:rsid w:val="00282B22"/>
    <w:rsid w:val="00283038"/>
    <w:rsid w:val="002859D7"/>
    <w:rsid w:val="00286337"/>
    <w:rsid w:val="00286D6B"/>
    <w:rsid w:val="00291BFA"/>
    <w:rsid w:val="002925D5"/>
    <w:rsid w:val="0029313E"/>
    <w:rsid w:val="0029511B"/>
    <w:rsid w:val="00297A80"/>
    <w:rsid w:val="002A0D9D"/>
    <w:rsid w:val="002A1487"/>
    <w:rsid w:val="002A166A"/>
    <w:rsid w:val="002A2A50"/>
    <w:rsid w:val="002A33DD"/>
    <w:rsid w:val="002A45A3"/>
    <w:rsid w:val="002A5371"/>
    <w:rsid w:val="002A594E"/>
    <w:rsid w:val="002A5A1B"/>
    <w:rsid w:val="002A6827"/>
    <w:rsid w:val="002B02AD"/>
    <w:rsid w:val="002B07A7"/>
    <w:rsid w:val="002B0B0C"/>
    <w:rsid w:val="002B216F"/>
    <w:rsid w:val="002B3267"/>
    <w:rsid w:val="002B4218"/>
    <w:rsid w:val="002B5908"/>
    <w:rsid w:val="002B6B3A"/>
    <w:rsid w:val="002B7A27"/>
    <w:rsid w:val="002C0335"/>
    <w:rsid w:val="002C0C0F"/>
    <w:rsid w:val="002C0E02"/>
    <w:rsid w:val="002C15E2"/>
    <w:rsid w:val="002C3DC9"/>
    <w:rsid w:val="002C6204"/>
    <w:rsid w:val="002D2D09"/>
    <w:rsid w:val="002D4405"/>
    <w:rsid w:val="002E2058"/>
    <w:rsid w:val="002E425F"/>
    <w:rsid w:val="002E5D8E"/>
    <w:rsid w:val="002E6F54"/>
    <w:rsid w:val="002F07D5"/>
    <w:rsid w:val="002F28BC"/>
    <w:rsid w:val="002F4C16"/>
    <w:rsid w:val="002F4CEC"/>
    <w:rsid w:val="002F5FBA"/>
    <w:rsid w:val="00300C33"/>
    <w:rsid w:val="00301010"/>
    <w:rsid w:val="00302C62"/>
    <w:rsid w:val="0030528E"/>
    <w:rsid w:val="003110A7"/>
    <w:rsid w:val="00313768"/>
    <w:rsid w:val="0031694F"/>
    <w:rsid w:val="00327015"/>
    <w:rsid w:val="0033043B"/>
    <w:rsid w:val="00330CA2"/>
    <w:rsid w:val="0033107E"/>
    <w:rsid w:val="00332729"/>
    <w:rsid w:val="0033367D"/>
    <w:rsid w:val="003345C5"/>
    <w:rsid w:val="0033508E"/>
    <w:rsid w:val="00335CCC"/>
    <w:rsid w:val="00335F44"/>
    <w:rsid w:val="00340508"/>
    <w:rsid w:val="00346087"/>
    <w:rsid w:val="003464E2"/>
    <w:rsid w:val="00351387"/>
    <w:rsid w:val="003514A1"/>
    <w:rsid w:val="003568D0"/>
    <w:rsid w:val="003576FE"/>
    <w:rsid w:val="0036167B"/>
    <w:rsid w:val="00364684"/>
    <w:rsid w:val="00366FB4"/>
    <w:rsid w:val="003671B4"/>
    <w:rsid w:val="00367394"/>
    <w:rsid w:val="00367C45"/>
    <w:rsid w:val="00370C07"/>
    <w:rsid w:val="00371893"/>
    <w:rsid w:val="00372812"/>
    <w:rsid w:val="00372D0B"/>
    <w:rsid w:val="00375C5C"/>
    <w:rsid w:val="00383ED2"/>
    <w:rsid w:val="003843E4"/>
    <w:rsid w:val="003847E2"/>
    <w:rsid w:val="00390EC2"/>
    <w:rsid w:val="00392201"/>
    <w:rsid w:val="0039224B"/>
    <w:rsid w:val="003943FA"/>
    <w:rsid w:val="003A0CB6"/>
    <w:rsid w:val="003A4446"/>
    <w:rsid w:val="003A4CEF"/>
    <w:rsid w:val="003A4F25"/>
    <w:rsid w:val="003A668C"/>
    <w:rsid w:val="003A735F"/>
    <w:rsid w:val="003B015F"/>
    <w:rsid w:val="003B2A63"/>
    <w:rsid w:val="003B58E1"/>
    <w:rsid w:val="003B779D"/>
    <w:rsid w:val="003C101C"/>
    <w:rsid w:val="003C3398"/>
    <w:rsid w:val="003C424C"/>
    <w:rsid w:val="003C4C2B"/>
    <w:rsid w:val="003C698F"/>
    <w:rsid w:val="003C6D68"/>
    <w:rsid w:val="003C7F6B"/>
    <w:rsid w:val="003D1A10"/>
    <w:rsid w:val="003D226C"/>
    <w:rsid w:val="003D4835"/>
    <w:rsid w:val="003D615C"/>
    <w:rsid w:val="003E012F"/>
    <w:rsid w:val="003E15D5"/>
    <w:rsid w:val="003E23D9"/>
    <w:rsid w:val="003E2756"/>
    <w:rsid w:val="003E4430"/>
    <w:rsid w:val="003F0780"/>
    <w:rsid w:val="003F183A"/>
    <w:rsid w:val="003F1DCB"/>
    <w:rsid w:val="003F276D"/>
    <w:rsid w:val="003F3E4A"/>
    <w:rsid w:val="003F4AAA"/>
    <w:rsid w:val="00400CC6"/>
    <w:rsid w:val="00403408"/>
    <w:rsid w:val="004058B1"/>
    <w:rsid w:val="004070AA"/>
    <w:rsid w:val="004123DA"/>
    <w:rsid w:val="004244B1"/>
    <w:rsid w:val="00424E13"/>
    <w:rsid w:val="00425B62"/>
    <w:rsid w:val="00427851"/>
    <w:rsid w:val="00430552"/>
    <w:rsid w:val="004311EA"/>
    <w:rsid w:val="00433113"/>
    <w:rsid w:val="00434B8F"/>
    <w:rsid w:val="0043537F"/>
    <w:rsid w:val="0044414E"/>
    <w:rsid w:val="0044495B"/>
    <w:rsid w:val="00446630"/>
    <w:rsid w:val="00447E5A"/>
    <w:rsid w:val="0045106B"/>
    <w:rsid w:val="0045195A"/>
    <w:rsid w:val="004528F5"/>
    <w:rsid w:val="00454540"/>
    <w:rsid w:val="00454E4C"/>
    <w:rsid w:val="0045521A"/>
    <w:rsid w:val="00455309"/>
    <w:rsid w:val="00455E42"/>
    <w:rsid w:val="00456224"/>
    <w:rsid w:val="00462488"/>
    <w:rsid w:val="0046696F"/>
    <w:rsid w:val="00467AC8"/>
    <w:rsid w:val="00470CB6"/>
    <w:rsid w:val="0047290D"/>
    <w:rsid w:val="00473384"/>
    <w:rsid w:val="00473E38"/>
    <w:rsid w:val="0047468C"/>
    <w:rsid w:val="00474FD0"/>
    <w:rsid w:val="004753F3"/>
    <w:rsid w:val="0047618F"/>
    <w:rsid w:val="004761EB"/>
    <w:rsid w:val="00476410"/>
    <w:rsid w:val="004772E6"/>
    <w:rsid w:val="00481147"/>
    <w:rsid w:val="00481580"/>
    <w:rsid w:val="0048267B"/>
    <w:rsid w:val="00485A60"/>
    <w:rsid w:val="00485F38"/>
    <w:rsid w:val="004862DD"/>
    <w:rsid w:val="00490B76"/>
    <w:rsid w:val="00493D68"/>
    <w:rsid w:val="00496579"/>
    <w:rsid w:val="00496D45"/>
    <w:rsid w:val="00496D6A"/>
    <w:rsid w:val="004A238A"/>
    <w:rsid w:val="004A6DF8"/>
    <w:rsid w:val="004A7000"/>
    <w:rsid w:val="004B31A9"/>
    <w:rsid w:val="004B5403"/>
    <w:rsid w:val="004B70F6"/>
    <w:rsid w:val="004B75DD"/>
    <w:rsid w:val="004B7C1C"/>
    <w:rsid w:val="004B7E10"/>
    <w:rsid w:val="004C019F"/>
    <w:rsid w:val="004C1814"/>
    <w:rsid w:val="004C2350"/>
    <w:rsid w:val="004C36E4"/>
    <w:rsid w:val="004C3933"/>
    <w:rsid w:val="004C52FA"/>
    <w:rsid w:val="004C5CB4"/>
    <w:rsid w:val="004C7388"/>
    <w:rsid w:val="004D02A1"/>
    <w:rsid w:val="004D0B18"/>
    <w:rsid w:val="004D301A"/>
    <w:rsid w:val="004D3C72"/>
    <w:rsid w:val="004D4219"/>
    <w:rsid w:val="004D5E84"/>
    <w:rsid w:val="004D745E"/>
    <w:rsid w:val="004D7FA4"/>
    <w:rsid w:val="004E019B"/>
    <w:rsid w:val="004E119C"/>
    <w:rsid w:val="004E323D"/>
    <w:rsid w:val="004E4D68"/>
    <w:rsid w:val="004E591A"/>
    <w:rsid w:val="004E60EC"/>
    <w:rsid w:val="004F0794"/>
    <w:rsid w:val="004F1866"/>
    <w:rsid w:val="004F236D"/>
    <w:rsid w:val="004F58FD"/>
    <w:rsid w:val="004F767A"/>
    <w:rsid w:val="004F7993"/>
    <w:rsid w:val="004F79F3"/>
    <w:rsid w:val="00501C78"/>
    <w:rsid w:val="005020BF"/>
    <w:rsid w:val="00504EA3"/>
    <w:rsid w:val="00504F1E"/>
    <w:rsid w:val="00511637"/>
    <w:rsid w:val="005121E2"/>
    <w:rsid w:val="00513D4A"/>
    <w:rsid w:val="0051470E"/>
    <w:rsid w:val="00514995"/>
    <w:rsid w:val="005218EE"/>
    <w:rsid w:val="005232FF"/>
    <w:rsid w:val="005233D9"/>
    <w:rsid w:val="0052507B"/>
    <w:rsid w:val="005259CE"/>
    <w:rsid w:val="0052641E"/>
    <w:rsid w:val="005266ED"/>
    <w:rsid w:val="0053018E"/>
    <w:rsid w:val="00532395"/>
    <w:rsid w:val="00535921"/>
    <w:rsid w:val="00540FF8"/>
    <w:rsid w:val="00542BE2"/>
    <w:rsid w:val="0054546F"/>
    <w:rsid w:val="00545EB4"/>
    <w:rsid w:val="0054759E"/>
    <w:rsid w:val="0055087C"/>
    <w:rsid w:val="00553872"/>
    <w:rsid w:val="0056124E"/>
    <w:rsid w:val="005662CE"/>
    <w:rsid w:val="00570A80"/>
    <w:rsid w:val="00570EA1"/>
    <w:rsid w:val="00571410"/>
    <w:rsid w:val="00571547"/>
    <w:rsid w:val="0057323F"/>
    <w:rsid w:val="00573D31"/>
    <w:rsid w:val="0057606F"/>
    <w:rsid w:val="005761AD"/>
    <w:rsid w:val="0057640B"/>
    <w:rsid w:val="005766A1"/>
    <w:rsid w:val="005858F5"/>
    <w:rsid w:val="00586C9E"/>
    <w:rsid w:val="005903C3"/>
    <w:rsid w:val="0059445D"/>
    <w:rsid w:val="005A1D25"/>
    <w:rsid w:val="005A2583"/>
    <w:rsid w:val="005A55A9"/>
    <w:rsid w:val="005A5C98"/>
    <w:rsid w:val="005A6C64"/>
    <w:rsid w:val="005A6FFF"/>
    <w:rsid w:val="005B5385"/>
    <w:rsid w:val="005B7738"/>
    <w:rsid w:val="005C280C"/>
    <w:rsid w:val="005C4A6E"/>
    <w:rsid w:val="005C4DE4"/>
    <w:rsid w:val="005C5201"/>
    <w:rsid w:val="005C602F"/>
    <w:rsid w:val="005D00A2"/>
    <w:rsid w:val="005D04B5"/>
    <w:rsid w:val="005D058D"/>
    <w:rsid w:val="005D157A"/>
    <w:rsid w:val="005D1EA3"/>
    <w:rsid w:val="005D7AF2"/>
    <w:rsid w:val="005E10BF"/>
    <w:rsid w:val="005E4D03"/>
    <w:rsid w:val="005E58B0"/>
    <w:rsid w:val="005E5ADB"/>
    <w:rsid w:val="005E72D7"/>
    <w:rsid w:val="005F0FD7"/>
    <w:rsid w:val="005F2C14"/>
    <w:rsid w:val="005F373A"/>
    <w:rsid w:val="005F49BC"/>
    <w:rsid w:val="005F7A86"/>
    <w:rsid w:val="00600291"/>
    <w:rsid w:val="00600B65"/>
    <w:rsid w:val="00602222"/>
    <w:rsid w:val="0060261D"/>
    <w:rsid w:val="006033C2"/>
    <w:rsid w:val="006039A2"/>
    <w:rsid w:val="00605740"/>
    <w:rsid w:val="0061205F"/>
    <w:rsid w:val="006121C8"/>
    <w:rsid w:val="006125C2"/>
    <w:rsid w:val="00616645"/>
    <w:rsid w:val="006200D5"/>
    <w:rsid w:val="00621514"/>
    <w:rsid w:val="00621ADF"/>
    <w:rsid w:val="00624186"/>
    <w:rsid w:val="00625D9D"/>
    <w:rsid w:val="0062635B"/>
    <w:rsid w:val="00627BE3"/>
    <w:rsid w:val="00630434"/>
    <w:rsid w:val="006321AC"/>
    <w:rsid w:val="00632450"/>
    <w:rsid w:val="00633D53"/>
    <w:rsid w:val="00634FCE"/>
    <w:rsid w:val="00635D86"/>
    <w:rsid w:val="00641FFE"/>
    <w:rsid w:val="006422AA"/>
    <w:rsid w:val="00643609"/>
    <w:rsid w:val="00647187"/>
    <w:rsid w:val="006513E6"/>
    <w:rsid w:val="00651AA3"/>
    <w:rsid w:val="006534E8"/>
    <w:rsid w:val="00655FCA"/>
    <w:rsid w:val="00656659"/>
    <w:rsid w:val="00660DA6"/>
    <w:rsid w:val="006613E4"/>
    <w:rsid w:val="006625DF"/>
    <w:rsid w:val="0066482B"/>
    <w:rsid w:val="00665D07"/>
    <w:rsid w:val="0066781F"/>
    <w:rsid w:val="00675741"/>
    <w:rsid w:val="00676E5B"/>
    <w:rsid w:val="00677B41"/>
    <w:rsid w:val="00681493"/>
    <w:rsid w:val="006824E7"/>
    <w:rsid w:val="00684B42"/>
    <w:rsid w:val="00685EC4"/>
    <w:rsid w:val="0069008E"/>
    <w:rsid w:val="00692C23"/>
    <w:rsid w:val="00696531"/>
    <w:rsid w:val="006A0B48"/>
    <w:rsid w:val="006A0C48"/>
    <w:rsid w:val="006A4EE9"/>
    <w:rsid w:val="006A5D4A"/>
    <w:rsid w:val="006A700D"/>
    <w:rsid w:val="006A78BC"/>
    <w:rsid w:val="006B0CE0"/>
    <w:rsid w:val="006B2220"/>
    <w:rsid w:val="006B2DAA"/>
    <w:rsid w:val="006C2431"/>
    <w:rsid w:val="006C4257"/>
    <w:rsid w:val="006C4DC3"/>
    <w:rsid w:val="006C584A"/>
    <w:rsid w:val="006C5E91"/>
    <w:rsid w:val="006C6612"/>
    <w:rsid w:val="006D00EF"/>
    <w:rsid w:val="006D2AB3"/>
    <w:rsid w:val="006D3061"/>
    <w:rsid w:val="006D3E55"/>
    <w:rsid w:val="006D635B"/>
    <w:rsid w:val="006D7FD7"/>
    <w:rsid w:val="006E0D71"/>
    <w:rsid w:val="006E28FE"/>
    <w:rsid w:val="006E3FAE"/>
    <w:rsid w:val="006E5209"/>
    <w:rsid w:val="006E64BA"/>
    <w:rsid w:val="006F180A"/>
    <w:rsid w:val="006F1D5D"/>
    <w:rsid w:val="006F2BB8"/>
    <w:rsid w:val="006F4B2C"/>
    <w:rsid w:val="006F6569"/>
    <w:rsid w:val="006F709B"/>
    <w:rsid w:val="007009E0"/>
    <w:rsid w:val="00703396"/>
    <w:rsid w:val="0070594F"/>
    <w:rsid w:val="00705AEB"/>
    <w:rsid w:val="0070660B"/>
    <w:rsid w:val="00706B41"/>
    <w:rsid w:val="00707962"/>
    <w:rsid w:val="00707FB5"/>
    <w:rsid w:val="00711608"/>
    <w:rsid w:val="00712EF5"/>
    <w:rsid w:val="00714466"/>
    <w:rsid w:val="00715402"/>
    <w:rsid w:val="007156EE"/>
    <w:rsid w:val="00715E92"/>
    <w:rsid w:val="007170C4"/>
    <w:rsid w:val="0072480C"/>
    <w:rsid w:val="00725C06"/>
    <w:rsid w:val="00725E8E"/>
    <w:rsid w:val="0072661C"/>
    <w:rsid w:val="00732F13"/>
    <w:rsid w:val="0073549B"/>
    <w:rsid w:val="00735588"/>
    <w:rsid w:val="00740815"/>
    <w:rsid w:val="0074172F"/>
    <w:rsid w:val="007422A5"/>
    <w:rsid w:val="007468AB"/>
    <w:rsid w:val="007474B9"/>
    <w:rsid w:val="007505CC"/>
    <w:rsid w:val="00750C44"/>
    <w:rsid w:val="00753C2F"/>
    <w:rsid w:val="00754157"/>
    <w:rsid w:val="007545A9"/>
    <w:rsid w:val="0075480E"/>
    <w:rsid w:val="00755331"/>
    <w:rsid w:val="00755DAC"/>
    <w:rsid w:val="00756FDA"/>
    <w:rsid w:val="0076051C"/>
    <w:rsid w:val="00766054"/>
    <w:rsid w:val="00766212"/>
    <w:rsid w:val="007715AF"/>
    <w:rsid w:val="00772C8A"/>
    <w:rsid w:val="00772D7D"/>
    <w:rsid w:val="0077362A"/>
    <w:rsid w:val="00774838"/>
    <w:rsid w:val="00781671"/>
    <w:rsid w:val="007824C5"/>
    <w:rsid w:val="00782B2B"/>
    <w:rsid w:val="0078584F"/>
    <w:rsid w:val="007911F8"/>
    <w:rsid w:val="007914FF"/>
    <w:rsid w:val="0079305B"/>
    <w:rsid w:val="00794860"/>
    <w:rsid w:val="00795AA1"/>
    <w:rsid w:val="007A01EB"/>
    <w:rsid w:val="007A241A"/>
    <w:rsid w:val="007A435D"/>
    <w:rsid w:val="007B05C4"/>
    <w:rsid w:val="007B27C9"/>
    <w:rsid w:val="007B3D41"/>
    <w:rsid w:val="007B5028"/>
    <w:rsid w:val="007B5C84"/>
    <w:rsid w:val="007C43FE"/>
    <w:rsid w:val="007C53F6"/>
    <w:rsid w:val="007C5F18"/>
    <w:rsid w:val="007C667A"/>
    <w:rsid w:val="007D0DCE"/>
    <w:rsid w:val="007F4753"/>
    <w:rsid w:val="007F7048"/>
    <w:rsid w:val="00800BD1"/>
    <w:rsid w:val="0080154D"/>
    <w:rsid w:val="00801CAC"/>
    <w:rsid w:val="00802029"/>
    <w:rsid w:val="008026BC"/>
    <w:rsid w:val="0080395F"/>
    <w:rsid w:val="00803E38"/>
    <w:rsid w:val="008045F1"/>
    <w:rsid w:val="00804CD9"/>
    <w:rsid w:val="008054D6"/>
    <w:rsid w:val="00806BCD"/>
    <w:rsid w:val="00812B5C"/>
    <w:rsid w:val="00813773"/>
    <w:rsid w:val="00814F67"/>
    <w:rsid w:val="0081518D"/>
    <w:rsid w:val="00815400"/>
    <w:rsid w:val="00820985"/>
    <w:rsid w:val="00827989"/>
    <w:rsid w:val="00833D9B"/>
    <w:rsid w:val="00833E0E"/>
    <w:rsid w:val="00834953"/>
    <w:rsid w:val="008365F6"/>
    <w:rsid w:val="008369A6"/>
    <w:rsid w:val="00840811"/>
    <w:rsid w:val="00841D9C"/>
    <w:rsid w:val="00842CD9"/>
    <w:rsid w:val="00845135"/>
    <w:rsid w:val="0084683C"/>
    <w:rsid w:val="00854927"/>
    <w:rsid w:val="00856F93"/>
    <w:rsid w:val="0086332B"/>
    <w:rsid w:val="00867468"/>
    <w:rsid w:val="00870076"/>
    <w:rsid w:val="008703C8"/>
    <w:rsid w:val="00872237"/>
    <w:rsid w:val="00872AC3"/>
    <w:rsid w:val="0087661D"/>
    <w:rsid w:val="00880622"/>
    <w:rsid w:val="0088169F"/>
    <w:rsid w:val="008842B3"/>
    <w:rsid w:val="008843C5"/>
    <w:rsid w:val="0088703D"/>
    <w:rsid w:val="0089111A"/>
    <w:rsid w:val="00896EC0"/>
    <w:rsid w:val="00897179"/>
    <w:rsid w:val="008973E2"/>
    <w:rsid w:val="0089792E"/>
    <w:rsid w:val="008A0BC8"/>
    <w:rsid w:val="008A1027"/>
    <w:rsid w:val="008B351D"/>
    <w:rsid w:val="008B3C0F"/>
    <w:rsid w:val="008C5946"/>
    <w:rsid w:val="008C5BE2"/>
    <w:rsid w:val="008C6F4A"/>
    <w:rsid w:val="008D13EB"/>
    <w:rsid w:val="008D4F1F"/>
    <w:rsid w:val="008D75A3"/>
    <w:rsid w:val="008E594E"/>
    <w:rsid w:val="008F50EF"/>
    <w:rsid w:val="008F55A5"/>
    <w:rsid w:val="008F68AB"/>
    <w:rsid w:val="0090475C"/>
    <w:rsid w:val="00912D35"/>
    <w:rsid w:val="00915A84"/>
    <w:rsid w:val="009165F6"/>
    <w:rsid w:val="00917113"/>
    <w:rsid w:val="009173E9"/>
    <w:rsid w:val="00917BD4"/>
    <w:rsid w:val="0092166C"/>
    <w:rsid w:val="00923857"/>
    <w:rsid w:val="009239FE"/>
    <w:rsid w:val="009245CE"/>
    <w:rsid w:val="00926A2A"/>
    <w:rsid w:val="00927C5F"/>
    <w:rsid w:val="009307F0"/>
    <w:rsid w:val="00933ACC"/>
    <w:rsid w:val="00935DBA"/>
    <w:rsid w:val="009361DD"/>
    <w:rsid w:val="0093703C"/>
    <w:rsid w:val="0094030F"/>
    <w:rsid w:val="00940BA8"/>
    <w:rsid w:val="00941637"/>
    <w:rsid w:val="0094307C"/>
    <w:rsid w:val="009432B1"/>
    <w:rsid w:val="0094520C"/>
    <w:rsid w:val="0094580D"/>
    <w:rsid w:val="00946E37"/>
    <w:rsid w:val="00947148"/>
    <w:rsid w:val="0095192E"/>
    <w:rsid w:val="00952389"/>
    <w:rsid w:val="009557D5"/>
    <w:rsid w:val="009560D7"/>
    <w:rsid w:val="00957119"/>
    <w:rsid w:val="00964042"/>
    <w:rsid w:val="00964717"/>
    <w:rsid w:val="0096482D"/>
    <w:rsid w:val="00966891"/>
    <w:rsid w:val="009670FC"/>
    <w:rsid w:val="00970118"/>
    <w:rsid w:val="0097289D"/>
    <w:rsid w:val="00973A9C"/>
    <w:rsid w:val="00974CB7"/>
    <w:rsid w:val="00980DE4"/>
    <w:rsid w:val="00982EDF"/>
    <w:rsid w:val="00983589"/>
    <w:rsid w:val="00983689"/>
    <w:rsid w:val="00985173"/>
    <w:rsid w:val="00985950"/>
    <w:rsid w:val="0099134E"/>
    <w:rsid w:val="00991B0D"/>
    <w:rsid w:val="009937EC"/>
    <w:rsid w:val="00995B4F"/>
    <w:rsid w:val="0099732D"/>
    <w:rsid w:val="009A13D1"/>
    <w:rsid w:val="009A18F4"/>
    <w:rsid w:val="009A2294"/>
    <w:rsid w:val="009A49E6"/>
    <w:rsid w:val="009A5697"/>
    <w:rsid w:val="009A6F57"/>
    <w:rsid w:val="009B1681"/>
    <w:rsid w:val="009B219A"/>
    <w:rsid w:val="009B27E8"/>
    <w:rsid w:val="009B3279"/>
    <w:rsid w:val="009B37D8"/>
    <w:rsid w:val="009B6431"/>
    <w:rsid w:val="009B64BA"/>
    <w:rsid w:val="009C1970"/>
    <w:rsid w:val="009C263B"/>
    <w:rsid w:val="009C41E5"/>
    <w:rsid w:val="009C49A5"/>
    <w:rsid w:val="009C7BD0"/>
    <w:rsid w:val="009D33D4"/>
    <w:rsid w:val="009D6B39"/>
    <w:rsid w:val="009D7B19"/>
    <w:rsid w:val="009E0174"/>
    <w:rsid w:val="009E4664"/>
    <w:rsid w:val="009E6E93"/>
    <w:rsid w:val="009E711A"/>
    <w:rsid w:val="009E7D0E"/>
    <w:rsid w:val="009F0D55"/>
    <w:rsid w:val="009F1071"/>
    <w:rsid w:val="009F1E61"/>
    <w:rsid w:val="009F2391"/>
    <w:rsid w:val="009F3FDB"/>
    <w:rsid w:val="009F480D"/>
    <w:rsid w:val="009F7B4E"/>
    <w:rsid w:val="00A000A4"/>
    <w:rsid w:val="00A059C6"/>
    <w:rsid w:val="00A0616F"/>
    <w:rsid w:val="00A120AD"/>
    <w:rsid w:val="00A15D8C"/>
    <w:rsid w:val="00A1797E"/>
    <w:rsid w:val="00A20166"/>
    <w:rsid w:val="00A22613"/>
    <w:rsid w:val="00A24F7B"/>
    <w:rsid w:val="00A25CED"/>
    <w:rsid w:val="00A3041A"/>
    <w:rsid w:val="00A349A2"/>
    <w:rsid w:val="00A36474"/>
    <w:rsid w:val="00A40D60"/>
    <w:rsid w:val="00A42921"/>
    <w:rsid w:val="00A466AB"/>
    <w:rsid w:val="00A54D6F"/>
    <w:rsid w:val="00A574B9"/>
    <w:rsid w:val="00A57946"/>
    <w:rsid w:val="00A63AB4"/>
    <w:rsid w:val="00A63B57"/>
    <w:rsid w:val="00A660E6"/>
    <w:rsid w:val="00A72297"/>
    <w:rsid w:val="00A75FA7"/>
    <w:rsid w:val="00A7655D"/>
    <w:rsid w:val="00A76F12"/>
    <w:rsid w:val="00A80EF4"/>
    <w:rsid w:val="00A814E0"/>
    <w:rsid w:val="00A82F78"/>
    <w:rsid w:val="00A83AD9"/>
    <w:rsid w:val="00A87286"/>
    <w:rsid w:val="00A91C5C"/>
    <w:rsid w:val="00A9652E"/>
    <w:rsid w:val="00AA0EAC"/>
    <w:rsid w:val="00AA157F"/>
    <w:rsid w:val="00AA1C29"/>
    <w:rsid w:val="00AA344A"/>
    <w:rsid w:val="00AA4831"/>
    <w:rsid w:val="00AA5F7C"/>
    <w:rsid w:val="00AA6655"/>
    <w:rsid w:val="00AA7663"/>
    <w:rsid w:val="00AB120C"/>
    <w:rsid w:val="00AB18B5"/>
    <w:rsid w:val="00AB2418"/>
    <w:rsid w:val="00AB2440"/>
    <w:rsid w:val="00AB2891"/>
    <w:rsid w:val="00AB33F9"/>
    <w:rsid w:val="00AB3899"/>
    <w:rsid w:val="00AB7C82"/>
    <w:rsid w:val="00AC20AF"/>
    <w:rsid w:val="00AC27DB"/>
    <w:rsid w:val="00AC4AF0"/>
    <w:rsid w:val="00AC50BE"/>
    <w:rsid w:val="00AD3EC1"/>
    <w:rsid w:val="00AD508C"/>
    <w:rsid w:val="00AD5C66"/>
    <w:rsid w:val="00AD5FEA"/>
    <w:rsid w:val="00AD6139"/>
    <w:rsid w:val="00AD63E7"/>
    <w:rsid w:val="00AD7AD2"/>
    <w:rsid w:val="00AE42B6"/>
    <w:rsid w:val="00AE61EB"/>
    <w:rsid w:val="00AE77CF"/>
    <w:rsid w:val="00AF0554"/>
    <w:rsid w:val="00AF23F2"/>
    <w:rsid w:val="00AF2D71"/>
    <w:rsid w:val="00AF42F2"/>
    <w:rsid w:val="00AF47CF"/>
    <w:rsid w:val="00AF5C22"/>
    <w:rsid w:val="00AF6114"/>
    <w:rsid w:val="00AF7B5F"/>
    <w:rsid w:val="00B01A85"/>
    <w:rsid w:val="00B03910"/>
    <w:rsid w:val="00B04238"/>
    <w:rsid w:val="00B049E0"/>
    <w:rsid w:val="00B04AAA"/>
    <w:rsid w:val="00B11419"/>
    <w:rsid w:val="00B13992"/>
    <w:rsid w:val="00B16A0E"/>
    <w:rsid w:val="00B16B72"/>
    <w:rsid w:val="00B1794B"/>
    <w:rsid w:val="00B256DB"/>
    <w:rsid w:val="00B2625B"/>
    <w:rsid w:val="00B31701"/>
    <w:rsid w:val="00B35943"/>
    <w:rsid w:val="00B379BB"/>
    <w:rsid w:val="00B37C5C"/>
    <w:rsid w:val="00B425C4"/>
    <w:rsid w:val="00B429DB"/>
    <w:rsid w:val="00B4464E"/>
    <w:rsid w:val="00B446DA"/>
    <w:rsid w:val="00B44C17"/>
    <w:rsid w:val="00B4597A"/>
    <w:rsid w:val="00B45B80"/>
    <w:rsid w:val="00B45C06"/>
    <w:rsid w:val="00B47E20"/>
    <w:rsid w:val="00B50A5B"/>
    <w:rsid w:val="00B50C29"/>
    <w:rsid w:val="00B5226D"/>
    <w:rsid w:val="00B5240E"/>
    <w:rsid w:val="00B53AB3"/>
    <w:rsid w:val="00B578C5"/>
    <w:rsid w:val="00B6654F"/>
    <w:rsid w:val="00B666C8"/>
    <w:rsid w:val="00B821B3"/>
    <w:rsid w:val="00B87A18"/>
    <w:rsid w:val="00B93A6C"/>
    <w:rsid w:val="00B97B6A"/>
    <w:rsid w:val="00BA0E18"/>
    <w:rsid w:val="00BA197A"/>
    <w:rsid w:val="00BA47B0"/>
    <w:rsid w:val="00BB0E95"/>
    <w:rsid w:val="00BB190C"/>
    <w:rsid w:val="00BB4841"/>
    <w:rsid w:val="00BC2B42"/>
    <w:rsid w:val="00BC2F7B"/>
    <w:rsid w:val="00BD0592"/>
    <w:rsid w:val="00BD65D2"/>
    <w:rsid w:val="00BD79A3"/>
    <w:rsid w:val="00BE0165"/>
    <w:rsid w:val="00BE04A3"/>
    <w:rsid w:val="00BE4F03"/>
    <w:rsid w:val="00BE6256"/>
    <w:rsid w:val="00BE6F50"/>
    <w:rsid w:val="00BF0B6B"/>
    <w:rsid w:val="00BF1C58"/>
    <w:rsid w:val="00BF41BB"/>
    <w:rsid w:val="00BF4626"/>
    <w:rsid w:val="00BF5F98"/>
    <w:rsid w:val="00BF717A"/>
    <w:rsid w:val="00C00C07"/>
    <w:rsid w:val="00C01D93"/>
    <w:rsid w:val="00C02E31"/>
    <w:rsid w:val="00C0575F"/>
    <w:rsid w:val="00C114C5"/>
    <w:rsid w:val="00C11F1F"/>
    <w:rsid w:val="00C16284"/>
    <w:rsid w:val="00C173B3"/>
    <w:rsid w:val="00C227F6"/>
    <w:rsid w:val="00C304F8"/>
    <w:rsid w:val="00C33BCA"/>
    <w:rsid w:val="00C33EAC"/>
    <w:rsid w:val="00C36558"/>
    <w:rsid w:val="00C41CD3"/>
    <w:rsid w:val="00C42575"/>
    <w:rsid w:val="00C44B85"/>
    <w:rsid w:val="00C4538A"/>
    <w:rsid w:val="00C51E8F"/>
    <w:rsid w:val="00C51EB3"/>
    <w:rsid w:val="00C525DB"/>
    <w:rsid w:val="00C53A87"/>
    <w:rsid w:val="00C6073D"/>
    <w:rsid w:val="00C61F35"/>
    <w:rsid w:val="00C6260F"/>
    <w:rsid w:val="00C62ED8"/>
    <w:rsid w:val="00C65716"/>
    <w:rsid w:val="00C673C1"/>
    <w:rsid w:val="00C702E3"/>
    <w:rsid w:val="00C7614D"/>
    <w:rsid w:val="00C802FA"/>
    <w:rsid w:val="00C80F45"/>
    <w:rsid w:val="00C82CD7"/>
    <w:rsid w:val="00C830C0"/>
    <w:rsid w:val="00C90490"/>
    <w:rsid w:val="00C9480F"/>
    <w:rsid w:val="00C9568A"/>
    <w:rsid w:val="00C979B0"/>
    <w:rsid w:val="00C97E93"/>
    <w:rsid w:val="00CA0FF7"/>
    <w:rsid w:val="00CA31B8"/>
    <w:rsid w:val="00CA51A0"/>
    <w:rsid w:val="00CA526D"/>
    <w:rsid w:val="00CA5DE5"/>
    <w:rsid w:val="00CA72CF"/>
    <w:rsid w:val="00CA7B6D"/>
    <w:rsid w:val="00CB0822"/>
    <w:rsid w:val="00CB221B"/>
    <w:rsid w:val="00CB2A8A"/>
    <w:rsid w:val="00CB2ED9"/>
    <w:rsid w:val="00CB4426"/>
    <w:rsid w:val="00CB47CE"/>
    <w:rsid w:val="00CB6573"/>
    <w:rsid w:val="00CB6715"/>
    <w:rsid w:val="00CB6C7A"/>
    <w:rsid w:val="00CC2272"/>
    <w:rsid w:val="00CC23F4"/>
    <w:rsid w:val="00CC2E35"/>
    <w:rsid w:val="00CC3C79"/>
    <w:rsid w:val="00CC599E"/>
    <w:rsid w:val="00CC731A"/>
    <w:rsid w:val="00CD01B1"/>
    <w:rsid w:val="00CD3276"/>
    <w:rsid w:val="00CD41FD"/>
    <w:rsid w:val="00CE33D8"/>
    <w:rsid w:val="00CE3DA2"/>
    <w:rsid w:val="00CE3F99"/>
    <w:rsid w:val="00CE48E6"/>
    <w:rsid w:val="00CE65F9"/>
    <w:rsid w:val="00CE65FD"/>
    <w:rsid w:val="00CE734B"/>
    <w:rsid w:val="00CE74AB"/>
    <w:rsid w:val="00CF492B"/>
    <w:rsid w:val="00CF49A9"/>
    <w:rsid w:val="00CF4CA1"/>
    <w:rsid w:val="00CF7959"/>
    <w:rsid w:val="00D0309F"/>
    <w:rsid w:val="00D11078"/>
    <w:rsid w:val="00D152AF"/>
    <w:rsid w:val="00D15714"/>
    <w:rsid w:val="00D16080"/>
    <w:rsid w:val="00D16801"/>
    <w:rsid w:val="00D223AC"/>
    <w:rsid w:val="00D2315F"/>
    <w:rsid w:val="00D237F0"/>
    <w:rsid w:val="00D24B28"/>
    <w:rsid w:val="00D25066"/>
    <w:rsid w:val="00D2662F"/>
    <w:rsid w:val="00D30D8B"/>
    <w:rsid w:val="00D322E6"/>
    <w:rsid w:val="00D3510B"/>
    <w:rsid w:val="00D355C7"/>
    <w:rsid w:val="00D37319"/>
    <w:rsid w:val="00D37596"/>
    <w:rsid w:val="00D42C0C"/>
    <w:rsid w:val="00D45B60"/>
    <w:rsid w:val="00D46746"/>
    <w:rsid w:val="00D46A2D"/>
    <w:rsid w:val="00D56B55"/>
    <w:rsid w:val="00D6173A"/>
    <w:rsid w:val="00D61FE1"/>
    <w:rsid w:val="00D62CF2"/>
    <w:rsid w:val="00D66255"/>
    <w:rsid w:val="00D71D0F"/>
    <w:rsid w:val="00D7226A"/>
    <w:rsid w:val="00D81B72"/>
    <w:rsid w:val="00D861C0"/>
    <w:rsid w:val="00D87FA6"/>
    <w:rsid w:val="00D90709"/>
    <w:rsid w:val="00D912C8"/>
    <w:rsid w:val="00DA2FAD"/>
    <w:rsid w:val="00DA4DA9"/>
    <w:rsid w:val="00DA699A"/>
    <w:rsid w:val="00DA6AB4"/>
    <w:rsid w:val="00DB081A"/>
    <w:rsid w:val="00DB11B4"/>
    <w:rsid w:val="00DB27F5"/>
    <w:rsid w:val="00DB2E84"/>
    <w:rsid w:val="00DC4BA2"/>
    <w:rsid w:val="00DC566B"/>
    <w:rsid w:val="00DC56B1"/>
    <w:rsid w:val="00DC5D9E"/>
    <w:rsid w:val="00DC7425"/>
    <w:rsid w:val="00DC7440"/>
    <w:rsid w:val="00DD063F"/>
    <w:rsid w:val="00DD0A1A"/>
    <w:rsid w:val="00DD2D7D"/>
    <w:rsid w:val="00DD7BC0"/>
    <w:rsid w:val="00DE03DB"/>
    <w:rsid w:val="00DE19CE"/>
    <w:rsid w:val="00DE2960"/>
    <w:rsid w:val="00DE3CEF"/>
    <w:rsid w:val="00DE3F2B"/>
    <w:rsid w:val="00DE739E"/>
    <w:rsid w:val="00DF0211"/>
    <w:rsid w:val="00DF04E2"/>
    <w:rsid w:val="00DF4D29"/>
    <w:rsid w:val="00E01181"/>
    <w:rsid w:val="00E02349"/>
    <w:rsid w:val="00E05B50"/>
    <w:rsid w:val="00E05E17"/>
    <w:rsid w:val="00E12730"/>
    <w:rsid w:val="00E130CA"/>
    <w:rsid w:val="00E133BD"/>
    <w:rsid w:val="00E13C91"/>
    <w:rsid w:val="00E146D2"/>
    <w:rsid w:val="00E16F20"/>
    <w:rsid w:val="00E202F8"/>
    <w:rsid w:val="00E2285E"/>
    <w:rsid w:val="00E315B6"/>
    <w:rsid w:val="00E323A7"/>
    <w:rsid w:val="00E32400"/>
    <w:rsid w:val="00E33140"/>
    <w:rsid w:val="00E35618"/>
    <w:rsid w:val="00E60571"/>
    <w:rsid w:val="00E64374"/>
    <w:rsid w:val="00E662C4"/>
    <w:rsid w:val="00E705A5"/>
    <w:rsid w:val="00E70F62"/>
    <w:rsid w:val="00E71693"/>
    <w:rsid w:val="00E76E2B"/>
    <w:rsid w:val="00E76EC6"/>
    <w:rsid w:val="00E810A9"/>
    <w:rsid w:val="00E81120"/>
    <w:rsid w:val="00E8351E"/>
    <w:rsid w:val="00E84400"/>
    <w:rsid w:val="00E84933"/>
    <w:rsid w:val="00E864E3"/>
    <w:rsid w:val="00E86653"/>
    <w:rsid w:val="00E87144"/>
    <w:rsid w:val="00E908D8"/>
    <w:rsid w:val="00E91720"/>
    <w:rsid w:val="00E93F2E"/>
    <w:rsid w:val="00EA030A"/>
    <w:rsid w:val="00EA71AA"/>
    <w:rsid w:val="00EB3C01"/>
    <w:rsid w:val="00EB66A8"/>
    <w:rsid w:val="00EC11E1"/>
    <w:rsid w:val="00EC1BEC"/>
    <w:rsid w:val="00EC1CA1"/>
    <w:rsid w:val="00EC5FF3"/>
    <w:rsid w:val="00EC6193"/>
    <w:rsid w:val="00ED0C31"/>
    <w:rsid w:val="00ED19CB"/>
    <w:rsid w:val="00ED4F91"/>
    <w:rsid w:val="00ED6368"/>
    <w:rsid w:val="00EE077C"/>
    <w:rsid w:val="00EE17DD"/>
    <w:rsid w:val="00EE2FEA"/>
    <w:rsid w:val="00EE380C"/>
    <w:rsid w:val="00EE455E"/>
    <w:rsid w:val="00EE6E01"/>
    <w:rsid w:val="00EF59DD"/>
    <w:rsid w:val="00EF7F56"/>
    <w:rsid w:val="00F00B56"/>
    <w:rsid w:val="00F055E5"/>
    <w:rsid w:val="00F10583"/>
    <w:rsid w:val="00F12C50"/>
    <w:rsid w:val="00F1535B"/>
    <w:rsid w:val="00F161CE"/>
    <w:rsid w:val="00F219B4"/>
    <w:rsid w:val="00F2365D"/>
    <w:rsid w:val="00F259C9"/>
    <w:rsid w:val="00F302F7"/>
    <w:rsid w:val="00F31075"/>
    <w:rsid w:val="00F313D3"/>
    <w:rsid w:val="00F33896"/>
    <w:rsid w:val="00F338EB"/>
    <w:rsid w:val="00F370FE"/>
    <w:rsid w:val="00F40AA7"/>
    <w:rsid w:val="00F42853"/>
    <w:rsid w:val="00F44740"/>
    <w:rsid w:val="00F44DD3"/>
    <w:rsid w:val="00F44DD7"/>
    <w:rsid w:val="00F56DEB"/>
    <w:rsid w:val="00F60EE5"/>
    <w:rsid w:val="00F741B3"/>
    <w:rsid w:val="00F75141"/>
    <w:rsid w:val="00F75D13"/>
    <w:rsid w:val="00F77352"/>
    <w:rsid w:val="00F77CC1"/>
    <w:rsid w:val="00F82BA1"/>
    <w:rsid w:val="00F82DF7"/>
    <w:rsid w:val="00F87735"/>
    <w:rsid w:val="00F91822"/>
    <w:rsid w:val="00F91A20"/>
    <w:rsid w:val="00F93578"/>
    <w:rsid w:val="00F9728F"/>
    <w:rsid w:val="00FA12E9"/>
    <w:rsid w:val="00FA5DDC"/>
    <w:rsid w:val="00FB0CA1"/>
    <w:rsid w:val="00FB4690"/>
    <w:rsid w:val="00FB6ED3"/>
    <w:rsid w:val="00FB73B6"/>
    <w:rsid w:val="00FC2873"/>
    <w:rsid w:val="00FC3EB6"/>
    <w:rsid w:val="00FC6241"/>
    <w:rsid w:val="00FD04A3"/>
    <w:rsid w:val="00FD4347"/>
    <w:rsid w:val="00FD5306"/>
    <w:rsid w:val="00FD5D45"/>
    <w:rsid w:val="00FE2627"/>
    <w:rsid w:val="00FE2B60"/>
    <w:rsid w:val="00FE444B"/>
    <w:rsid w:val="00FE6D77"/>
    <w:rsid w:val="00FE7284"/>
    <w:rsid w:val="00FF1B12"/>
    <w:rsid w:val="00FF34DF"/>
    <w:rsid w:val="00FF58C4"/>
    <w:rsid w:val="00FF5F2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style="mso-position-horizontal-relative:margin;mso-position-vertical-relative:margin" fill="f" fillcolor="white" stroke="f">
      <v:fill color="white" on="f"/>
      <v:stroke on="f"/>
    </o:shapedefaults>
    <o:shapelayout v:ext="edit">
      <o:idmap v:ext="edit" data="1"/>
    </o:shapelayout>
  </w:shapeDefaults>
  <w:decimalSymbol w:val=","/>
  <w:listSeparator w:val=";"/>
  <w14:docId w14:val="1A072D36"/>
  <w15:docId w15:val="{85E9AE8A-1C49-4BFD-8EE0-C06A5182A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cs-CZ" w:eastAsia="cs-CZ" w:bidi="ar-SA"/>
      </w:rPr>
    </w:rPrDefault>
    <w:pPrDefault/>
  </w:docDefaults>
  <w:latentStyles w:defLockedState="0" w:defUIPriority="0" w:defSemiHidden="0" w:defUnhideWhenUsed="0" w:defQFormat="0" w:count="371">
    <w:lsdException w:name="heading 1" w:uiPriority="2" w:qFormat="1"/>
    <w:lsdException w:name="heading 2" w:uiPriority="2" w:qFormat="1"/>
    <w:lsdException w:name="heading 3" w:uiPriority="2" w:qFormat="1"/>
    <w:lsdException w:name="heading 4" w:uiPriority="2" w:qFormat="1"/>
    <w:lsdException w:name="heading 5" w:semiHidden="1" w:uiPriority="99"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99" w:unhideWhenUsed="1"/>
    <w:lsdException w:name="List" w:semiHidden="1" w:uiPriority="3"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3"/>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qFormat="1"/>
    <w:lsdException w:name="FollowedHyperlink" w:semiHidden="1" w:unhideWhenUsed="1"/>
    <w:lsdException w:name="Strong" w:uiPriority="2" w:qFormat="1"/>
    <w:lsdException w:name="Emphasis" w:uiPriority="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semiHidden/>
    <w:rsid w:val="009165F6"/>
    <w:rPr>
      <w:rFonts w:ascii="Calibri" w:hAnsi="Calibri"/>
      <w:sz w:val="23"/>
      <w:szCs w:val="24"/>
    </w:rPr>
  </w:style>
  <w:style w:type="paragraph" w:styleId="Nadpis1">
    <w:name w:val="heading 1"/>
    <w:basedOn w:val="Normln"/>
    <w:next w:val="Normln"/>
    <w:link w:val="Nadpis1Char"/>
    <w:uiPriority w:val="2"/>
    <w:qFormat/>
    <w:rsid w:val="00E864E3"/>
    <w:pPr>
      <w:keepNext/>
      <w:spacing w:before="200" w:after="200" w:line="252" w:lineRule="auto"/>
      <w:jc w:val="both"/>
      <w:outlineLvl w:val="0"/>
    </w:pPr>
    <w:rPr>
      <w:b/>
      <w:color w:val="008576"/>
      <w:sz w:val="28"/>
      <w:szCs w:val="26"/>
    </w:rPr>
  </w:style>
  <w:style w:type="paragraph" w:styleId="Nadpis2">
    <w:name w:val="heading 2"/>
    <w:basedOn w:val="Nadpis1"/>
    <w:next w:val="Zkladntext"/>
    <w:link w:val="Nadpis2Char"/>
    <w:uiPriority w:val="2"/>
    <w:qFormat/>
    <w:rsid w:val="00C304F8"/>
    <w:pPr>
      <w:pageBreakBefore/>
      <w:numPr>
        <w:numId w:val="30"/>
      </w:numPr>
      <w:spacing w:before="480"/>
      <w:ind w:left="567" w:hanging="567"/>
      <w:jc w:val="left"/>
      <w:outlineLvl w:val="1"/>
    </w:pPr>
    <w:rPr>
      <w:b w:val="0"/>
      <w:sz w:val="32"/>
    </w:rPr>
  </w:style>
  <w:style w:type="paragraph" w:styleId="Nadpis3">
    <w:name w:val="heading 3"/>
    <w:basedOn w:val="Nadpis2"/>
    <w:next w:val="Zkladntext"/>
    <w:link w:val="Nadpis3Char"/>
    <w:uiPriority w:val="2"/>
    <w:qFormat/>
    <w:rsid w:val="00232793"/>
    <w:pPr>
      <w:pageBreakBefore w:val="0"/>
      <w:numPr>
        <w:ilvl w:val="1"/>
      </w:numPr>
      <w:tabs>
        <w:tab w:val="clear" w:pos="709"/>
      </w:tabs>
      <w:spacing w:before="240"/>
      <w:ind w:left="567" w:hanging="567"/>
      <w:outlineLvl w:val="2"/>
    </w:pPr>
    <w:rPr>
      <w:b/>
      <w:color w:val="auto"/>
      <w:sz w:val="24"/>
    </w:rPr>
  </w:style>
  <w:style w:type="paragraph" w:styleId="Nadpis4">
    <w:name w:val="heading 4"/>
    <w:basedOn w:val="Nadpis2"/>
    <w:next w:val="Zkladntext"/>
    <w:link w:val="Nadpis4Char"/>
    <w:uiPriority w:val="2"/>
    <w:qFormat/>
    <w:rsid w:val="0001457E"/>
    <w:pPr>
      <w:numPr>
        <w:ilvl w:val="2"/>
      </w:numPr>
      <w:tabs>
        <w:tab w:val="clear" w:pos="567"/>
      </w:tabs>
      <w:ind w:left="567" w:hanging="567"/>
      <w:outlineLvl w:val="3"/>
    </w:pPr>
    <w:rPr>
      <w:rFonts w:asciiTheme="minorHAnsi" w:eastAsiaTheme="minorEastAsia" w:hAnsiTheme="minorHAnsi" w:cstheme="minorBidi"/>
      <w:bCs/>
      <w:color w:val="auto"/>
      <w:szCs w:val="28"/>
    </w:rPr>
  </w:style>
  <w:style w:type="paragraph" w:styleId="Nadpis5">
    <w:name w:val="heading 5"/>
    <w:basedOn w:val="Zkladntext"/>
    <w:next w:val="Normln"/>
    <w:link w:val="Nadpis5Char"/>
    <w:uiPriority w:val="99"/>
    <w:rsid w:val="009165F6"/>
    <w:pPr>
      <w:outlineLvl w:val="4"/>
    </w:pPr>
    <w:rPr>
      <w: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kladntext">
    <w:name w:val="Body Text"/>
    <w:basedOn w:val="Normln"/>
    <w:link w:val="ZkladntextChar"/>
    <w:qFormat/>
    <w:rsid w:val="00E864E3"/>
    <w:pPr>
      <w:spacing w:after="200" w:line="252" w:lineRule="auto"/>
      <w:jc w:val="both"/>
    </w:pPr>
  </w:style>
  <w:style w:type="paragraph" w:customStyle="1" w:styleId="podpis">
    <w:name w:val="podpis"/>
    <w:basedOn w:val="Normln"/>
    <w:uiPriority w:val="5"/>
    <w:rsid w:val="00A349A2"/>
    <w:pPr>
      <w:ind w:left="3119"/>
      <w:jc w:val="center"/>
    </w:pPr>
    <w:rPr>
      <w:rFonts w:cs="Arial"/>
    </w:rPr>
  </w:style>
  <w:style w:type="paragraph" w:styleId="Textpoznpodarou">
    <w:name w:val="footnote text"/>
    <w:aliases w:val="Char, Char,Char Char Char, Char Char Char,Footnote Text Char,Schriftart: 9 pt,Schriftart: 10 pt,Schriftart: 8 pt,Char Char Char Char Char,Char1,Text pozn. pod čarou Char1 Char,5_G,Ch,Text pozn. pod čarou Char1"/>
    <w:basedOn w:val="Normln"/>
    <w:link w:val="TextpoznpodarouChar"/>
    <w:uiPriority w:val="99"/>
    <w:qFormat/>
    <w:rsid w:val="00BC2B42"/>
    <w:pPr>
      <w:tabs>
        <w:tab w:val="left" w:pos="284"/>
      </w:tabs>
      <w:spacing w:before="120" w:after="120"/>
      <w:ind w:left="284" w:hanging="284"/>
      <w:jc w:val="both"/>
    </w:pPr>
    <w:rPr>
      <w:sz w:val="18"/>
      <w:szCs w:val="18"/>
      <w:lang w:val="x-none" w:eastAsia="x-none"/>
    </w:rPr>
  </w:style>
  <w:style w:type="character" w:styleId="Znakapoznpodarou">
    <w:name w:val="footnote reference"/>
    <w:aliases w:val="Footnote Reference Superscript,BVI fnr,16 Point,Superscript 6 Point,Footnote Reference Number,Footnote Reference_LVL6,Footnote Reference_LVL61,Footnote Reference_LVL62,Footnote Reference_LVL63,Footnote Reference_LVL64,callout,4_G"/>
    <w:link w:val="BVIfnrCharCharCharChar"/>
    <w:uiPriority w:val="15"/>
    <w:qFormat/>
    <w:rsid w:val="00E864E3"/>
    <w:rPr>
      <w:rFonts w:ascii="Calibri" w:hAnsi="Calibri"/>
      <w:b/>
      <w:i w:val="0"/>
      <w:strike w:val="0"/>
      <w:dstrike w:val="0"/>
      <w:color w:val="008576"/>
      <w:sz w:val="23"/>
      <w:vertAlign w:val="superscript"/>
    </w:rPr>
  </w:style>
  <w:style w:type="character" w:styleId="Hypertextovodkaz">
    <w:name w:val="Hyperlink"/>
    <w:uiPriority w:val="4"/>
    <w:qFormat/>
    <w:rsid w:val="00E864E3"/>
    <w:rPr>
      <w:rFonts w:ascii="Calibri" w:hAnsi="Calibri"/>
      <w:color w:val="008576"/>
      <w:sz w:val="23"/>
      <w:u w:val="single"/>
    </w:rPr>
  </w:style>
  <w:style w:type="character" w:customStyle="1" w:styleId="kubikova">
    <w:name w:val="kubikova"/>
    <w:semiHidden/>
    <w:rsid w:val="00B87A18"/>
    <w:rPr>
      <w:rFonts w:ascii="Trebuchet MS" w:hAnsi="Trebuchet MS"/>
      <w:b w:val="0"/>
      <w:bCs w:val="0"/>
      <w:i w:val="0"/>
      <w:iCs w:val="0"/>
      <w:strike w:val="0"/>
      <w:color w:val="808000"/>
      <w:sz w:val="22"/>
      <w:szCs w:val="22"/>
      <w:u w:val="none"/>
    </w:rPr>
  </w:style>
  <w:style w:type="character" w:styleId="Siln">
    <w:name w:val="Strong"/>
    <w:aliases w:val="Tučné"/>
    <w:uiPriority w:val="2"/>
    <w:qFormat/>
    <w:rsid w:val="00926A2A"/>
    <w:rPr>
      <w:b/>
      <w:bCs/>
    </w:rPr>
  </w:style>
  <w:style w:type="paragraph" w:styleId="Textbubliny">
    <w:name w:val="Balloon Text"/>
    <w:basedOn w:val="Normln"/>
    <w:semiHidden/>
    <w:rsid w:val="00E70F62"/>
    <w:rPr>
      <w:rFonts w:ascii="Tahoma" w:hAnsi="Tahoma" w:cs="Tahoma"/>
      <w:sz w:val="16"/>
      <w:szCs w:val="16"/>
    </w:rPr>
  </w:style>
  <w:style w:type="character" w:customStyle="1" w:styleId="Nadpis5Char">
    <w:name w:val="Nadpis 5 Char"/>
    <w:link w:val="Nadpis5"/>
    <w:uiPriority w:val="99"/>
    <w:rsid w:val="009165F6"/>
    <w:rPr>
      <w:rFonts w:ascii="Calibri" w:hAnsi="Calibri"/>
      <w:b/>
      <w:sz w:val="23"/>
      <w:szCs w:val="24"/>
    </w:rPr>
  </w:style>
  <w:style w:type="character" w:styleId="Zdraznn">
    <w:name w:val="Emphasis"/>
    <w:aliases w:val="Kurzíva"/>
    <w:uiPriority w:val="2"/>
    <w:qFormat/>
    <w:rsid w:val="00CD3276"/>
    <w:rPr>
      <w:i/>
      <w:iCs/>
    </w:rPr>
  </w:style>
  <w:style w:type="character" w:customStyle="1" w:styleId="ZkladntextChar">
    <w:name w:val="Základní text Char"/>
    <w:basedOn w:val="Standardnpsmoodstavce"/>
    <w:link w:val="Zkladntext"/>
    <w:rsid w:val="00E864E3"/>
    <w:rPr>
      <w:rFonts w:ascii="Calibri" w:hAnsi="Calibri"/>
      <w:sz w:val="23"/>
      <w:szCs w:val="24"/>
    </w:rPr>
  </w:style>
  <w:style w:type="character" w:customStyle="1" w:styleId="TextpoznpodarouChar">
    <w:name w:val="Text pozn. pod čarou Char"/>
    <w:aliases w:val="Char Char, Char Char,Char Char Char Char, Char Char Char Char,Footnote Text Char Char,Schriftart: 9 pt Char,Schriftart: 10 pt Char,Schriftart: 8 pt Char,Char Char Char Char Char Char,Char1 Char,5_G Char,Ch Char"/>
    <w:link w:val="Textpoznpodarou"/>
    <w:uiPriority w:val="8"/>
    <w:qFormat/>
    <w:rsid w:val="00BC2B42"/>
    <w:rPr>
      <w:rFonts w:ascii="Calibri" w:hAnsi="Calibri"/>
      <w:sz w:val="18"/>
      <w:szCs w:val="18"/>
      <w:lang w:val="x-none" w:eastAsia="x-none"/>
    </w:rPr>
  </w:style>
  <w:style w:type="table" w:styleId="Mkatabulky">
    <w:name w:val="Table Grid"/>
    <w:basedOn w:val="Normlntabulka"/>
    <w:rsid w:val="004528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semiHidden/>
    <w:rsid w:val="00AF2D71"/>
    <w:pPr>
      <w:tabs>
        <w:tab w:val="center" w:pos="4536"/>
        <w:tab w:val="right" w:pos="9072"/>
      </w:tabs>
    </w:pPr>
  </w:style>
  <w:style w:type="paragraph" w:customStyle="1" w:styleId="zhlav-VOP">
    <w:name w:val="záhlaví-VOP"/>
    <w:basedOn w:val="Normln"/>
    <w:uiPriority w:val="1"/>
    <w:semiHidden/>
    <w:rsid w:val="005766A1"/>
    <w:pPr>
      <w:jc w:val="center"/>
    </w:pPr>
    <w:rPr>
      <w:b/>
      <w:i/>
      <w:sz w:val="32"/>
      <w:szCs w:val="32"/>
    </w:rPr>
  </w:style>
  <w:style w:type="paragraph" w:customStyle="1" w:styleId="zhlav-kontakt">
    <w:name w:val="záhlaví-kontakt"/>
    <w:basedOn w:val="Normln"/>
    <w:uiPriority w:val="1"/>
    <w:semiHidden/>
    <w:rsid w:val="005766A1"/>
    <w:pPr>
      <w:jc w:val="center"/>
      <w:outlineLvl w:val="0"/>
    </w:pPr>
    <w:rPr>
      <w:rFonts w:cs="Arial"/>
      <w:bCs/>
      <w:i/>
      <w:iCs/>
      <w:sz w:val="20"/>
    </w:rPr>
  </w:style>
  <w:style w:type="character" w:customStyle="1" w:styleId="Nadpis1Char">
    <w:name w:val="Nadpis 1 Char"/>
    <w:link w:val="Nadpis1"/>
    <w:uiPriority w:val="2"/>
    <w:rsid w:val="00E864E3"/>
    <w:rPr>
      <w:rFonts w:ascii="Calibri" w:hAnsi="Calibri"/>
      <w:b/>
      <w:color w:val="008576"/>
      <w:sz w:val="28"/>
      <w:szCs w:val="26"/>
    </w:rPr>
  </w:style>
  <w:style w:type="paragraph" w:styleId="Seznam">
    <w:name w:val="List"/>
    <w:basedOn w:val="Zkladntext"/>
    <w:uiPriority w:val="3"/>
    <w:qFormat/>
    <w:rsid w:val="00CA526D"/>
    <w:pPr>
      <w:numPr>
        <w:numId w:val="16"/>
      </w:numPr>
      <w:spacing w:before="60" w:after="60"/>
      <w:ind w:left="567" w:hanging="567"/>
    </w:pPr>
  </w:style>
  <w:style w:type="character" w:customStyle="1" w:styleId="ZhlavChar">
    <w:name w:val="Záhlaví Char"/>
    <w:link w:val="Zhlav"/>
    <w:uiPriority w:val="99"/>
    <w:semiHidden/>
    <w:rsid w:val="001953AB"/>
    <w:rPr>
      <w:rFonts w:ascii="Calibri" w:hAnsi="Calibri"/>
      <w:sz w:val="22"/>
      <w:szCs w:val="24"/>
    </w:rPr>
  </w:style>
  <w:style w:type="paragraph" w:styleId="Zpat">
    <w:name w:val="footer"/>
    <w:basedOn w:val="Normln"/>
    <w:link w:val="ZpatChar"/>
    <w:uiPriority w:val="99"/>
    <w:semiHidden/>
    <w:rsid w:val="00F00B56"/>
    <w:pPr>
      <w:tabs>
        <w:tab w:val="center" w:pos="4536"/>
        <w:tab w:val="right" w:pos="9072"/>
      </w:tabs>
    </w:pPr>
  </w:style>
  <w:style w:type="character" w:customStyle="1" w:styleId="ZpatChar">
    <w:name w:val="Zápatí Char"/>
    <w:link w:val="Zpat"/>
    <w:uiPriority w:val="99"/>
    <w:semiHidden/>
    <w:rsid w:val="00F00B56"/>
    <w:rPr>
      <w:sz w:val="24"/>
      <w:szCs w:val="24"/>
    </w:rPr>
  </w:style>
  <w:style w:type="paragraph" w:styleId="slovanseznam">
    <w:name w:val="List Number"/>
    <w:basedOn w:val="Zkladntext"/>
    <w:uiPriority w:val="3"/>
    <w:rsid w:val="00812B5C"/>
    <w:pPr>
      <w:numPr>
        <w:numId w:val="18"/>
      </w:numPr>
      <w:spacing w:before="120" w:after="120"/>
      <w:ind w:left="567" w:hanging="567"/>
    </w:pPr>
  </w:style>
  <w:style w:type="paragraph" w:customStyle="1" w:styleId="kontakt">
    <w:name w:val="kontakt"/>
    <w:basedOn w:val="Normln"/>
    <w:uiPriority w:val="99"/>
    <w:rsid w:val="002B216F"/>
    <w:rPr>
      <w:rFonts w:cs="Tahoma"/>
      <w:color w:val="008576"/>
      <w:sz w:val="18"/>
      <w:szCs w:val="18"/>
    </w:rPr>
  </w:style>
  <w:style w:type="paragraph" w:customStyle="1" w:styleId="zkoncitace">
    <w:name w:val="zákon (citace)"/>
    <w:basedOn w:val="Zkladntext"/>
    <w:uiPriority w:val="7"/>
    <w:qFormat/>
    <w:rsid w:val="00E864E3"/>
    <w:rPr>
      <w:i/>
      <w:sz w:val="21"/>
    </w:rPr>
  </w:style>
  <w:style w:type="paragraph" w:customStyle="1" w:styleId="zkon-nadpis">
    <w:name w:val="zákon - nadpis"/>
    <w:basedOn w:val="Zkladntext"/>
    <w:next w:val="zkoncitace"/>
    <w:uiPriority w:val="7"/>
    <w:rsid w:val="00E864E3"/>
    <w:pPr>
      <w:spacing w:before="120" w:after="120"/>
    </w:pPr>
    <w:rPr>
      <w:b/>
      <w:sz w:val="21"/>
    </w:rPr>
  </w:style>
  <w:style w:type="character" w:styleId="Odkaznakoment">
    <w:name w:val="annotation reference"/>
    <w:semiHidden/>
    <w:unhideWhenUsed/>
    <w:rsid w:val="0027365B"/>
    <w:rPr>
      <w:sz w:val="16"/>
      <w:szCs w:val="16"/>
    </w:rPr>
  </w:style>
  <w:style w:type="paragraph" w:styleId="Textkomente">
    <w:name w:val="annotation text"/>
    <w:basedOn w:val="Normln"/>
    <w:link w:val="TextkomenteChar"/>
    <w:semiHidden/>
    <w:unhideWhenUsed/>
    <w:rsid w:val="0027365B"/>
    <w:rPr>
      <w:sz w:val="20"/>
      <w:szCs w:val="20"/>
    </w:rPr>
  </w:style>
  <w:style w:type="character" w:customStyle="1" w:styleId="TextkomenteChar">
    <w:name w:val="Text komentáře Char"/>
    <w:basedOn w:val="Standardnpsmoodstavce"/>
    <w:link w:val="Textkomente"/>
    <w:semiHidden/>
    <w:rsid w:val="0027365B"/>
  </w:style>
  <w:style w:type="paragraph" w:styleId="Pedmtkomente">
    <w:name w:val="annotation subject"/>
    <w:basedOn w:val="Textkomente"/>
    <w:next w:val="Textkomente"/>
    <w:link w:val="PedmtkomenteChar"/>
    <w:semiHidden/>
    <w:unhideWhenUsed/>
    <w:rsid w:val="0027365B"/>
    <w:rPr>
      <w:b/>
      <w:bCs/>
    </w:rPr>
  </w:style>
  <w:style w:type="character" w:customStyle="1" w:styleId="PedmtkomenteChar">
    <w:name w:val="Předmět komentáře Char"/>
    <w:link w:val="Pedmtkomente"/>
    <w:semiHidden/>
    <w:rsid w:val="0027365B"/>
    <w:rPr>
      <w:b/>
      <w:bCs/>
    </w:rPr>
  </w:style>
  <w:style w:type="paragraph" w:customStyle="1" w:styleId="Ploha">
    <w:name w:val="Příloha"/>
    <w:basedOn w:val="Normln"/>
    <w:uiPriority w:val="5"/>
    <w:rsid w:val="009E6E93"/>
    <w:rPr>
      <w:b/>
      <w:color w:val="008576"/>
    </w:rPr>
  </w:style>
  <w:style w:type="character" w:customStyle="1" w:styleId="Nadpis4Char">
    <w:name w:val="Nadpis 4 Char"/>
    <w:basedOn w:val="Standardnpsmoodstavce"/>
    <w:link w:val="Nadpis4"/>
    <w:uiPriority w:val="2"/>
    <w:rsid w:val="0001457E"/>
    <w:rPr>
      <w:rFonts w:asciiTheme="minorHAnsi" w:eastAsiaTheme="minorEastAsia" w:hAnsiTheme="minorHAnsi" w:cstheme="minorBidi"/>
      <w:b/>
      <w:bCs/>
      <w:sz w:val="23"/>
      <w:szCs w:val="28"/>
    </w:rPr>
  </w:style>
  <w:style w:type="character" w:customStyle="1" w:styleId="Nadpis2Char">
    <w:name w:val="Nadpis 2 Char"/>
    <w:link w:val="Nadpis2"/>
    <w:uiPriority w:val="2"/>
    <w:rsid w:val="00C304F8"/>
    <w:rPr>
      <w:rFonts w:ascii="Calibri" w:hAnsi="Calibri"/>
      <w:color w:val="008576"/>
      <w:sz w:val="32"/>
      <w:szCs w:val="26"/>
    </w:rPr>
  </w:style>
  <w:style w:type="paragraph" w:styleId="slovanseznam2">
    <w:name w:val="List Number 2"/>
    <w:basedOn w:val="Zkladntext"/>
    <w:uiPriority w:val="3"/>
    <w:rsid w:val="00E864E3"/>
    <w:pPr>
      <w:numPr>
        <w:numId w:val="32"/>
      </w:numPr>
      <w:ind w:left="567" w:hanging="567"/>
    </w:pPr>
  </w:style>
  <w:style w:type="paragraph" w:styleId="Obsah1">
    <w:name w:val="toc 1"/>
    <w:basedOn w:val="Normln"/>
    <w:next w:val="Normln"/>
    <w:autoRedefine/>
    <w:uiPriority w:val="39"/>
    <w:unhideWhenUsed/>
    <w:rsid w:val="009E0174"/>
    <w:pPr>
      <w:tabs>
        <w:tab w:val="left" w:pos="284"/>
        <w:tab w:val="right" w:leader="dot" w:pos="8494"/>
      </w:tabs>
      <w:spacing w:before="200" w:after="200"/>
    </w:pPr>
  </w:style>
  <w:style w:type="paragraph" w:styleId="Obsah2">
    <w:name w:val="toc 2"/>
    <w:basedOn w:val="Normln"/>
    <w:next w:val="Normln"/>
    <w:autoRedefine/>
    <w:uiPriority w:val="39"/>
    <w:unhideWhenUsed/>
    <w:rsid w:val="006A0C48"/>
    <w:pPr>
      <w:tabs>
        <w:tab w:val="left" w:pos="851"/>
        <w:tab w:val="right" w:leader="dot" w:pos="8494"/>
      </w:tabs>
      <w:spacing w:after="100"/>
      <w:ind w:left="851" w:hanging="567"/>
    </w:pPr>
    <w:rPr>
      <w:noProof/>
    </w:rPr>
  </w:style>
  <w:style w:type="paragraph" w:styleId="Obsah3">
    <w:name w:val="toc 3"/>
    <w:basedOn w:val="Normln"/>
    <w:next w:val="Normln"/>
    <w:autoRedefine/>
    <w:uiPriority w:val="39"/>
    <w:unhideWhenUsed/>
    <w:rsid w:val="009E0174"/>
    <w:pPr>
      <w:tabs>
        <w:tab w:val="left" w:pos="1418"/>
        <w:tab w:val="right" w:leader="dot" w:pos="8494"/>
      </w:tabs>
      <w:spacing w:after="100"/>
      <w:ind w:left="1276" w:hanging="567"/>
    </w:pPr>
    <w:rPr>
      <w:noProof/>
    </w:rPr>
  </w:style>
  <w:style w:type="character" w:styleId="Sledovanodkaz">
    <w:name w:val="FollowedHyperlink"/>
    <w:basedOn w:val="Standardnpsmoodstavce"/>
    <w:semiHidden/>
    <w:unhideWhenUsed/>
    <w:rsid w:val="004D745E"/>
    <w:rPr>
      <w:color w:val="800080" w:themeColor="followedHyperlink"/>
      <w:u w:val="single"/>
    </w:rPr>
  </w:style>
  <w:style w:type="paragraph" w:styleId="Obsah4">
    <w:name w:val="toc 4"/>
    <w:basedOn w:val="Normln"/>
    <w:next w:val="Normln"/>
    <w:autoRedefine/>
    <w:uiPriority w:val="39"/>
    <w:unhideWhenUsed/>
    <w:rsid w:val="005121E2"/>
    <w:pPr>
      <w:spacing w:after="100"/>
      <w:ind w:left="690"/>
    </w:pPr>
  </w:style>
  <w:style w:type="paragraph" w:customStyle="1" w:styleId="Prvnvta">
    <w:name w:val="Právní věta"/>
    <w:basedOn w:val="Odstavecseseznamem"/>
    <w:qFormat/>
    <w:rsid w:val="00806BCD"/>
    <w:pPr>
      <w:numPr>
        <w:numId w:val="33"/>
      </w:numPr>
      <w:tabs>
        <w:tab w:val="num" w:pos="567"/>
      </w:tabs>
      <w:spacing w:after="160" w:line="259" w:lineRule="auto"/>
      <w:ind w:left="720"/>
      <w:jc w:val="both"/>
    </w:pPr>
    <w:rPr>
      <w:rFonts w:ascii="Arial" w:hAnsi="Arial"/>
      <w:b/>
      <w:sz w:val="24"/>
      <w:lang w:val="x-none" w:eastAsia="en-US"/>
    </w:rPr>
  </w:style>
  <w:style w:type="paragraph" w:styleId="Odstavecseseznamem">
    <w:name w:val="List Paragraph"/>
    <w:basedOn w:val="Normln"/>
    <w:uiPriority w:val="34"/>
    <w:rsid w:val="00806BCD"/>
    <w:pPr>
      <w:ind w:left="720"/>
      <w:contextualSpacing/>
    </w:pPr>
  </w:style>
  <w:style w:type="paragraph" w:customStyle="1" w:styleId="tvrtletka">
    <w:name w:val="čtvrtletka"/>
    <w:basedOn w:val="Nadpis1"/>
    <w:rsid w:val="00BE6F50"/>
    <w:pPr>
      <w:pBdr>
        <w:bottom w:val="single" w:sz="4" w:space="1" w:color="auto"/>
      </w:pBdr>
      <w:spacing w:before="0" w:after="0" w:line="240" w:lineRule="auto"/>
    </w:pPr>
    <w:rPr>
      <w:b w:val="0"/>
      <w:sz w:val="52"/>
      <w:szCs w:val="52"/>
    </w:rPr>
  </w:style>
  <w:style w:type="paragraph" w:styleId="Datum">
    <w:name w:val="Date"/>
    <w:basedOn w:val="Normln"/>
    <w:next w:val="Normln"/>
    <w:link w:val="DatumChar"/>
    <w:unhideWhenUsed/>
    <w:qFormat/>
    <w:rsid w:val="007B5C84"/>
    <w:pPr>
      <w:ind w:left="5245"/>
    </w:pPr>
  </w:style>
  <w:style w:type="character" w:customStyle="1" w:styleId="DatumChar">
    <w:name w:val="Datum Char"/>
    <w:basedOn w:val="Standardnpsmoodstavce"/>
    <w:link w:val="Datum"/>
    <w:rsid w:val="007B5C84"/>
    <w:rPr>
      <w:rFonts w:ascii="Calibri" w:hAnsi="Calibri"/>
      <w:sz w:val="23"/>
      <w:szCs w:val="24"/>
    </w:rPr>
  </w:style>
  <w:style w:type="character" w:customStyle="1" w:styleId="Nadpis3Char">
    <w:name w:val="Nadpis 3 Char"/>
    <w:basedOn w:val="Standardnpsmoodstavce"/>
    <w:link w:val="Nadpis3"/>
    <w:uiPriority w:val="2"/>
    <w:rsid w:val="008E594E"/>
    <w:rPr>
      <w:rFonts w:ascii="Calibri" w:hAnsi="Calibri"/>
      <w:b/>
      <w:sz w:val="24"/>
      <w:szCs w:val="26"/>
    </w:rPr>
  </w:style>
  <w:style w:type="character" w:customStyle="1" w:styleId="zelen">
    <w:name w:val="zelená"/>
    <w:basedOn w:val="Siln"/>
    <w:rsid w:val="003A4CEF"/>
    <w:rPr>
      <w:b/>
      <w:bCs/>
      <w:color w:val="008576"/>
    </w:rPr>
  </w:style>
  <w:style w:type="character" w:customStyle="1" w:styleId="Tunkurzva">
    <w:name w:val="Tučná kurzíva"/>
    <w:basedOn w:val="Standardnpsmoodstavce"/>
    <w:uiPriority w:val="3"/>
    <w:qFormat/>
    <w:rsid w:val="004C52FA"/>
    <w:rPr>
      <w:b/>
      <w:i/>
    </w:rPr>
  </w:style>
  <w:style w:type="character" w:customStyle="1" w:styleId="pokyny">
    <w:name w:val="pokyny"/>
    <w:basedOn w:val="Standardnpsmoodstavce"/>
    <w:rsid w:val="006E0D71"/>
    <w:rPr>
      <w:color w:val="FF0000"/>
    </w:rPr>
  </w:style>
  <w:style w:type="paragraph" w:customStyle="1" w:styleId="BVIfnrCharCharCharChar">
    <w:name w:val="BVI fnr Char Char Char Char"/>
    <w:aliases w:val="BVI fnr Char Char1 Char Char,BVI fnr Car Car Char Char Char Char,BVI fnr Car Char Char Char Char,BVI fnr Car Car Car Car Char Char Char1 Char,BVI fnr Car Car Car Car Char Char Char Char Char Char"/>
    <w:basedOn w:val="Normln"/>
    <w:link w:val="Znakapoznpodarou"/>
    <w:uiPriority w:val="15"/>
    <w:rsid w:val="003C424C"/>
    <w:pPr>
      <w:spacing w:after="160" w:line="240" w:lineRule="exact"/>
    </w:pPr>
    <w:rPr>
      <w:b/>
      <w:color w:val="008576"/>
      <w:szCs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502186">
      <w:bodyDiv w:val="1"/>
      <w:marLeft w:val="0"/>
      <w:marRight w:val="0"/>
      <w:marTop w:val="0"/>
      <w:marBottom w:val="0"/>
      <w:divBdr>
        <w:top w:val="none" w:sz="0" w:space="0" w:color="auto"/>
        <w:left w:val="none" w:sz="0" w:space="0" w:color="auto"/>
        <w:bottom w:val="none" w:sz="0" w:space="0" w:color="auto"/>
        <w:right w:val="none" w:sz="0" w:space="0" w:color="auto"/>
      </w:divBdr>
    </w:div>
    <w:div w:id="368725009">
      <w:bodyDiv w:val="1"/>
      <w:marLeft w:val="0"/>
      <w:marRight w:val="0"/>
      <w:marTop w:val="0"/>
      <w:marBottom w:val="0"/>
      <w:divBdr>
        <w:top w:val="none" w:sz="0" w:space="0" w:color="auto"/>
        <w:left w:val="none" w:sz="0" w:space="0" w:color="auto"/>
        <w:bottom w:val="none" w:sz="0" w:space="0" w:color="auto"/>
        <w:right w:val="none" w:sz="0" w:space="0" w:color="auto"/>
      </w:divBdr>
    </w:div>
    <w:div w:id="375200847">
      <w:bodyDiv w:val="1"/>
      <w:marLeft w:val="0"/>
      <w:marRight w:val="0"/>
      <w:marTop w:val="0"/>
      <w:marBottom w:val="0"/>
      <w:divBdr>
        <w:top w:val="none" w:sz="0" w:space="0" w:color="auto"/>
        <w:left w:val="none" w:sz="0" w:space="0" w:color="auto"/>
        <w:bottom w:val="none" w:sz="0" w:space="0" w:color="auto"/>
        <w:right w:val="none" w:sz="0" w:space="0" w:color="auto"/>
      </w:divBdr>
    </w:div>
    <w:div w:id="470170346">
      <w:bodyDiv w:val="1"/>
      <w:marLeft w:val="0"/>
      <w:marRight w:val="0"/>
      <w:marTop w:val="0"/>
      <w:marBottom w:val="0"/>
      <w:divBdr>
        <w:top w:val="none" w:sz="0" w:space="0" w:color="auto"/>
        <w:left w:val="none" w:sz="0" w:space="0" w:color="auto"/>
        <w:bottom w:val="none" w:sz="0" w:space="0" w:color="auto"/>
        <w:right w:val="none" w:sz="0" w:space="0" w:color="auto"/>
      </w:divBdr>
    </w:div>
    <w:div w:id="472909333">
      <w:bodyDiv w:val="1"/>
      <w:marLeft w:val="0"/>
      <w:marRight w:val="0"/>
      <w:marTop w:val="0"/>
      <w:marBottom w:val="0"/>
      <w:divBdr>
        <w:top w:val="none" w:sz="0" w:space="0" w:color="auto"/>
        <w:left w:val="none" w:sz="0" w:space="0" w:color="auto"/>
        <w:bottom w:val="none" w:sz="0" w:space="0" w:color="auto"/>
        <w:right w:val="none" w:sz="0" w:space="0" w:color="auto"/>
      </w:divBdr>
    </w:div>
    <w:div w:id="506947755">
      <w:bodyDiv w:val="1"/>
      <w:marLeft w:val="0"/>
      <w:marRight w:val="0"/>
      <w:marTop w:val="0"/>
      <w:marBottom w:val="0"/>
      <w:divBdr>
        <w:top w:val="none" w:sz="0" w:space="0" w:color="auto"/>
        <w:left w:val="none" w:sz="0" w:space="0" w:color="auto"/>
        <w:bottom w:val="none" w:sz="0" w:space="0" w:color="auto"/>
        <w:right w:val="none" w:sz="0" w:space="0" w:color="auto"/>
      </w:divBdr>
    </w:div>
    <w:div w:id="569267068">
      <w:bodyDiv w:val="1"/>
      <w:marLeft w:val="0"/>
      <w:marRight w:val="0"/>
      <w:marTop w:val="0"/>
      <w:marBottom w:val="0"/>
      <w:divBdr>
        <w:top w:val="none" w:sz="0" w:space="0" w:color="auto"/>
        <w:left w:val="none" w:sz="0" w:space="0" w:color="auto"/>
        <w:bottom w:val="none" w:sz="0" w:space="0" w:color="auto"/>
        <w:right w:val="none" w:sz="0" w:space="0" w:color="auto"/>
      </w:divBdr>
    </w:div>
    <w:div w:id="637609828">
      <w:bodyDiv w:val="1"/>
      <w:marLeft w:val="0"/>
      <w:marRight w:val="0"/>
      <w:marTop w:val="0"/>
      <w:marBottom w:val="0"/>
      <w:divBdr>
        <w:top w:val="none" w:sz="0" w:space="0" w:color="auto"/>
        <w:left w:val="none" w:sz="0" w:space="0" w:color="auto"/>
        <w:bottom w:val="none" w:sz="0" w:space="0" w:color="auto"/>
        <w:right w:val="none" w:sz="0" w:space="0" w:color="auto"/>
      </w:divBdr>
    </w:div>
    <w:div w:id="674303759">
      <w:bodyDiv w:val="1"/>
      <w:marLeft w:val="0"/>
      <w:marRight w:val="0"/>
      <w:marTop w:val="0"/>
      <w:marBottom w:val="0"/>
      <w:divBdr>
        <w:top w:val="none" w:sz="0" w:space="0" w:color="auto"/>
        <w:left w:val="none" w:sz="0" w:space="0" w:color="auto"/>
        <w:bottom w:val="none" w:sz="0" w:space="0" w:color="auto"/>
        <w:right w:val="none" w:sz="0" w:space="0" w:color="auto"/>
      </w:divBdr>
    </w:div>
    <w:div w:id="822429830">
      <w:bodyDiv w:val="1"/>
      <w:marLeft w:val="0"/>
      <w:marRight w:val="0"/>
      <w:marTop w:val="0"/>
      <w:marBottom w:val="0"/>
      <w:divBdr>
        <w:top w:val="none" w:sz="0" w:space="0" w:color="auto"/>
        <w:left w:val="none" w:sz="0" w:space="0" w:color="auto"/>
        <w:bottom w:val="none" w:sz="0" w:space="0" w:color="auto"/>
        <w:right w:val="none" w:sz="0" w:space="0" w:color="auto"/>
      </w:divBdr>
    </w:div>
    <w:div w:id="832716296">
      <w:bodyDiv w:val="1"/>
      <w:marLeft w:val="0"/>
      <w:marRight w:val="0"/>
      <w:marTop w:val="0"/>
      <w:marBottom w:val="0"/>
      <w:divBdr>
        <w:top w:val="none" w:sz="0" w:space="0" w:color="auto"/>
        <w:left w:val="none" w:sz="0" w:space="0" w:color="auto"/>
        <w:bottom w:val="none" w:sz="0" w:space="0" w:color="auto"/>
        <w:right w:val="none" w:sz="0" w:space="0" w:color="auto"/>
      </w:divBdr>
    </w:div>
    <w:div w:id="1066337079">
      <w:bodyDiv w:val="1"/>
      <w:marLeft w:val="0"/>
      <w:marRight w:val="0"/>
      <w:marTop w:val="0"/>
      <w:marBottom w:val="0"/>
      <w:divBdr>
        <w:top w:val="none" w:sz="0" w:space="0" w:color="auto"/>
        <w:left w:val="none" w:sz="0" w:space="0" w:color="auto"/>
        <w:bottom w:val="none" w:sz="0" w:space="0" w:color="auto"/>
        <w:right w:val="none" w:sz="0" w:space="0" w:color="auto"/>
      </w:divBdr>
    </w:div>
    <w:div w:id="1068111883">
      <w:bodyDiv w:val="1"/>
      <w:marLeft w:val="0"/>
      <w:marRight w:val="0"/>
      <w:marTop w:val="0"/>
      <w:marBottom w:val="0"/>
      <w:divBdr>
        <w:top w:val="none" w:sz="0" w:space="0" w:color="auto"/>
        <w:left w:val="none" w:sz="0" w:space="0" w:color="auto"/>
        <w:bottom w:val="none" w:sz="0" w:space="0" w:color="auto"/>
        <w:right w:val="none" w:sz="0" w:space="0" w:color="auto"/>
      </w:divBdr>
    </w:div>
    <w:div w:id="1237591111">
      <w:bodyDiv w:val="1"/>
      <w:marLeft w:val="0"/>
      <w:marRight w:val="0"/>
      <w:marTop w:val="0"/>
      <w:marBottom w:val="0"/>
      <w:divBdr>
        <w:top w:val="none" w:sz="0" w:space="0" w:color="auto"/>
        <w:left w:val="none" w:sz="0" w:space="0" w:color="auto"/>
        <w:bottom w:val="none" w:sz="0" w:space="0" w:color="auto"/>
        <w:right w:val="none" w:sz="0" w:space="0" w:color="auto"/>
      </w:divBdr>
    </w:div>
    <w:div w:id="1364556120">
      <w:bodyDiv w:val="1"/>
      <w:marLeft w:val="0"/>
      <w:marRight w:val="0"/>
      <w:marTop w:val="0"/>
      <w:marBottom w:val="0"/>
      <w:divBdr>
        <w:top w:val="none" w:sz="0" w:space="0" w:color="auto"/>
        <w:left w:val="none" w:sz="0" w:space="0" w:color="auto"/>
        <w:bottom w:val="none" w:sz="0" w:space="0" w:color="auto"/>
        <w:right w:val="none" w:sz="0" w:space="0" w:color="auto"/>
      </w:divBdr>
      <w:divsChild>
        <w:div w:id="762411692">
          <w:marLeft w:val="0"/>
          <w:marRight w:val="0"/>
          <w:marTop w:val="0"/>
          <w:marBottom w:val="0"/>
          <w:divBdr>
            <w:top w:val="none" w:sz="0" w:space="0" w:color="auto"/>
            <w:left w:val="none" w:sz="0" w:space="0" w:color="auto"/>
            <w:bottom w:val="none" w:sz="0" w:space="0" w:color="auto"/>
            <w:right w:val="none" w:sz="0" w:space="0" w:color="auto"/>
          </w:divBdr>
          <w:divsChild>
            <w:div w:id="1646737323">
              <w:marLeft w:val="0"/>
              <w:marRight w:val="0"/>
              <w:marTop w:val="0"/>
              <w:marBottom w:val="0"/>
              <w:divBdr>
                <w:top w:val="none" w:sz="0" w:space="0" w:color="auto"/>
                <w:left w:val="none" w:sz="0" w:space="0" w:color="auto"/>
                <w:bottom w:val="none" w:sz="0" w:space="0" w:color="auto"/>
                <w:right w:val="none" w:sz="0" w:space="0" w:color="auto"/>
              </w:divBdr>
              <w:divsChild>
                <w:div w:id="17935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3535">
      <w:bodyDiv w:val="1"/>
      <w:marLeft w:val="0"/>
      <w:marRight w:val="0"/>
      <w:marTop w:val="0"/>
      <w:marBottom w:val="0"/>
      <w:divBdr>
        <w:top w:val="none" w:sz="0" w:space="0" w:color="auto"/>
        <w:left w:val="none" w:sz="0" w:space="0" w:color="auto"/>
        <w:bottom w:val="none" w:sz="0" w:space="0" w:color="auto"/>
        <w:right w:val="none" w:sz="0" w:space="0" w:color="auto"/>
      </w:divBdr>
    </w:div>
    <w:div w:id="1553616854">
      <w:bodyDiv w:val="1"/>
      <w:marLeft w:val="0"/>
      <w:marRight w:val="0"/>
      <w:marTop w:val="0"/>
      <w:marBottom w:val="0"/>
      <w:divBdr>
        <w:top w:val="none" w:sz="0" w:space="0" w:color="auto"/>
        <w:left w:val="none" w:sz="0" w:space="0" w:color="auto"/>
        <w:bottom w:val="none" w:sz="0" w:space="0" w:color="auto"/>
        <w:right w:val="none" w:sz="0" w:space="0" w:color="auto"/>
      </w:divBdr>
    </w:div>
    <w:div w:id="1782525443">
      <w:bodyDiv w:val="1"/>
      <w:marLeft w:val="0"/>
      <w:marRight w:val="0"/>
      <w:marTop w:val="0"/>
      <w:marBottom w:val="0"/>
      <w:divBdr>
        <w:top w:val="none" w:sz="0" w:space="0" w:color="auto"/>
        <w:left w:val="none" w:sz="0" w:space="0" w:color="auto"/>
        <w:bottom w:val="none" w:sz="0" w:space="0" w:color="auto"/>
        <w:right w:val="none" w:sz="0" w:space="0" w:color="auto"/>
      </w:divBdr>
    </w:div>
    <w:div w:id="1804617887">
      <w:bodyDiv w:val="1"/>
      <w:marLeft w:val="0"/>
      <w:marRight w:val="0"/>
      <w:marTop w:val="0"/>
      <w:marBottom w:val="0"/>
      <w:divBdr>
        <w:top w:val="none" w:sz="0" w:space="0" w:color="auto"/>
        <w:left w:val="none" w:sz="0" w:space="0" w:color="auto"/>
        <w:bottom w:val="none" w:sz="0" w:space="0" w:color="auto"/>
        <w:right w:val="none" w:sz="0" w:space="0" w:color="auto"/>
      </w:divBdr>
    </w:div>
    <w:div w:id="1890065884">
      <w:bodyDiv w:val="1"/>
      <w:marLeft w:val="0"/>
      <w:marRight w:val="0"/>
      <w:marTop w:val="0"/>
      <w:marBottom w:val="0"/>
      <w:divBdr>
        <w:top w:val="none" w:sz="0" w:space="0" w:color="auto"/>
        <w:left w:val="none" w:sz="0" w:space="0" w:color="auto"/>
        <w:bottom w:val="none" w:sz="0" w:space="0" w:color="auto"/>
        <w:right w:val="none" w:sz="0" w:space="0" w:color="auto"/>
      </w:divBdr>
    </w:div>
    <w:div w:id="1985314387">
      <w:bodyDiv w:val="1"/>
      <w:marLeft w:val="0"/>
      <w:marRight w:val="0"/>
      <w:marTop w:val="0"/>
      <w:marBottom w:val="0"/>
      <w:divBdr>
        <w:top w:val="none" w:sz="0" w:space="0" w:color="auto"/>
        <w:left w:val="none" w:sz="0" w:space="0" w:color="auto"/>
        <w:bottom w:val="none" w:sz="0" w:space="0" w:color="auto"/>
        <w:right w:val="none" w:sz="0" w:space="0" w:color="auto"/>
      </w:divBdr>
    </w:div>
    <w:div w:id="1999990054">
      <w:bodyDiv w:val="1"/>
      <w:marLeft w:val="0"/>
      <w:marRight w:val="0"/>
      <w:marTop w:val="0"/>
      <w:marBottom w:val="0"/>
      <w:divBdr>
        <w:top w:val="none" w:sz="0" w:space="0" w:color="auto"/>
        <w:left w:val="none" w:sz="0" w:space="0" w:color="auto"/>
        <w:bottom w:val="none" w:sz="0" w:space="0" w:color="auto"/>
        <w:right w:val="none" w:sz="0" w:space="0" w:color="auto"/>
      </w:divBdr>
    </w:div>
    <w:div w:id="2000381284">
      <w:bodyDiv w:val="1"/>
      <w:marLeft w:val="0"/>
      <w:marRight w:val="0"/>
      <w:marTop w:val="0"/>
      <w:marBottom w:val="0"/>
      <w:divBdr>
        <w:top w:val="none" w:sz="0" w:space="0" w:color="auto"/>
        <w:left w:val="none" w:sz="0" w:space="0" w:color="auto"/>
        <w:bottom w:val="none" w:sz="0" w:space="0" w:color="auto"/>
        <w:right w:val="none" w:sz="0" w:space="0" w:color="auto"/>
      </w:divBdr>
    </w:div>
    <w:div w:id="2073385097">
      <w:bodyDiv w:val="1"/>
      <w:marLeft w:val="0"/>
      <w:marRight w:val="0"/>
      <w:marTop w:val="0"/>
      <w:marBottom w:val="0"/>
      <w:divBdr>
        <w:top w:val="none" w:sz="0" w:space="0" w:color="auto"/>
        <w:left w:val="none" w:sz="0" w:space="0" w:color="auto"/>
        <w:bottom w:val="none" w:sz="0" w:space="0" w:color="auto"/>
        <w:right w:val="none" w:sz="0" w:space="0" w:color="auto"/>
      </w:divBdr>
    </w:div>
    <w:div w:id="208479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9" Type="http://schemas.openxmlformats.org/officeDocument/2006/relationships/fontTable" Target="fontTable.xml"/><Relationship Id="rId3" Type="http://schemas.openxmlformats.org/officeDocument/2006/relationships/customXml" Target="../customXml/item3.xml"/><Relationship Id="rId188"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87"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190" Type="http://schemas.openxmlformats.org/officeDocument/2006/relationships/theme" Target="theme/theme1.xml"/><Relationship Id="rId5" Type="http://schemas.openxmlformats.org/officeDocument/2006/relationships/numbering" Target="numbering.xml"/><Relationship Id="rId186" Type="http://schemas.openxmlformats.org/officeDocument/2006/relationships/header" Target="header1.xml"/><Relationship Id="rId10" Type="http://schemas.openxmlformats.org/officeDocument/2006/relationships/endnotes" Target="endnotes.xml"/><Relationship Id="rId185" Type="http://schemas.openxmlformats.org/officeDocument/2006/relationships/image" Target="media/image178.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8" Type="http://schemas.openxmlformats.org/officeDocument/2006/relationships/hyperlink" Target="https://eso.ochrance.cz/Nalezene/Edit/11868" TargetMode="External"/><Relationship Id="rId13" Type="http://schemas.openxmlformats.org/officeDocument/2006/relationships/hyperlink" Target="https://eso.ochrance.cz/Nalezene/Edit/11866" TargetMode="External"/><Relationship Id="rId18" Type="http://schemas.openxmlformats.org/officeDocument/2006/relationships/hyperlink" Target="https://www.ochrance.cz/uploads-import/ESO/16-2023-DIS-DJ-JKV_1-final.pdf" TargetMode="External"/><Relationship Id="rId26" Type="http://schemas.openxmlformats.org/officeDocument/2006/relationships/hyperlink" Target="https://www.ochrance.cz/aktualne/tisice_lidi_se_zdravotnim_postizenim_jsou_v_cesku_omezeni_ve_svepravnosti_pritom_by_mnohym_stacila_jen_podpora_shoduji_se_clenove_poradniho_organu_ombudsmana/" TargetMode="External"/><Relationship Id="rId3" Type="http://schemas.openxmlformats.org/officeDocument/2006/relationships/hyperlink" Target="https://eso.ochrance.cz/Nalezene/Edit/11968" TargetMode="External"/><Relationship Id="rId21" Type="http://schemas.openxmlformats.org/officeDocument/2006/relationships/hyperlink" Target="https://www.ochrance.cz/dokument/zpravy_pro_poslaneckou_snemovnu_2021/vyrocni-zprava-2021.pdf" TargetMode="External"/><Relationship Id="rId7" Type="http://schemas.openxmlformats.org/officeDocument/2006/relationships/hyperlink" Target="https://eso.ochrance.cz/Nalezene/Edit/11988" TargetMode="External"/><Relationship Id="rId12" Type="http://schemas.openxmlformats.org/officeDocument/2006/relationships/hyperlink" Target="https://eso.ochrance.cz/Nalezene/Edit/11580" TargetMode="External"/><Relationship Id="rId17" Type="http://schemas.openxmlformats.org/officeDocument/2006/relationships/hyperlink" Target="https://www.ochrance.cz/aktualne/diskriminace_v_bydleni_vzdelavani_nebo_praci-_vyzkousejte_dalsi_casti_e-learningu_ombudsmana/" TargetMode="External"/><Relationship Id="rId25" Type="http://schemas.openxmlformats.org/officeDocument/2006/relationships/hyperlink" Target="https://www.vlada.cz/scripts/detail.php?pgid=182" TargetMode="External"/><Relationship Id="rId2" Type="http://schemas.openxmlformats.org/officeDocument/2006/relationships/hyperlink" Target="https://eso.ochrance.cz/Nalezene/Edit/11984" TargetMode="External"/><Relationship Id="rId16" Type="http://schemas.openxmlformats.org/officeDocument/2006/relationships/hyperlink" Target="https://eso.ochrance.cz/Nalezene/Edit/10612" TargetMode="External"/><Relationship Id="rId20" Type="http://schemas.openxmlformats.org/officeDocument/2006/relationships/hyperlink" Target="https://eso.ochrance.cz/Nalezene/Edit/10850" TargetMode="External"/><Relationship Id="rId29" Type="http://schemas.openxmlformats.org/officeDocument/2006/relationships/hyperlink" Target="https://www.youtube.com/watch?v=3JIqkb9td0k" TargetMode="External"/><Relationship Id="rId1" Type="http://schemas.openxmlformats.org/officeDocument/2006/relationships/hyperlink" Target="https://eso.ochrance.cz/Nalezene/Edit/11996" TargetMode="External"/><Relationship Id="rId6" Type="http://schemas.openxmlformats.org/officeDocument/2006/relationships/hyperlink" Target="https://eso.ochrance.cz/Nalezene/Edit/11882" TargetMode="External"/><Relationship Id="rId11" Type="http://schemas.openxmlformats.org/officeDocument/2006/relationships/hyperlink" Target="https://eso.ochrance.cz/Nalezene/Edit/11582" TargetMode="External"/><Relationship Id="rId24" Type="http://schemas.openxmlformats.org/officeDocument/2006/relationships/hyperlink" Target="https://www.ochrance.cz/aktualne/pro_lidi_s_postizenim_je_zvyseni_prispevku_na_peci_nezbytnou_podminkou_aby_mohli_vest_dustojny_a_plnohodnotny_zivot_upozornuje_zastupce_ombudsmana/" TargetMode="External"/><Relationship Id="rId32" Type="http://schemas.openxmlformats.org/officeDocument/2006/relationships/hyperlink" Target="https://www.vlada.cz/scripts/detail.php?pgid=182" TargetMode="External"/><Relationship Id="rId5" Type="http://schemas.openxmlformats.org/officeDocument/2006/relationships/hyperlink" Target="https://www.vlada.cz/cz/programove-prohlaseni-vlady-193547/" TargetMode="External"/><Relationship Id="rId15" Type="http://schemas.openxmlformats.org/officeDocument/2006/relationships/hyperlink" Target="https://eso.ochrance.cz/Nalezene/Edit/11818" TargetMode="External"/><Relationship Id="rId23" Type="http://schemas.openxmlformats.org/officeDocument/2006/relationships/hyperlink" Target="https://www.ochrance.cz/aktualne/poradni_organ_ombudsmana_pro_oblast_prav_lidi_s_postizenim_je_znepokojeny_nedostatecnou_vysi_prispevku_na_peci-_vyzval_ochrance_aby_o_situaci_informoval_ministra_prace_a_socialnich_veci/" TargetMode="External"/><Relationship Id="rId28" Type="http://schemas.openxmlformats.org/officeDocument/2006/relationships/hyperlink" Target="https://www.ochrance.cz/dokument/zpravy_pro_poslaneckou_snemovnu_2022/vyrocni-zprava-2022.pdf" TargetMode="External"/><Relationship Id="rId10" Type="http://schemas.openxmlformats.org/officeDocument/2006/relationships/hyperlink" Target="https://eso.ochrance.cz/Nalezene/Edit/11426" TargetMode="External"/><Relationship Id="rId19" Type="http://schemas.openxmlformats.org/officeDocument/2006/relationships/hyperlink" Target="https://www.ochrance.cz/uploads-import/ESO/30-2023-DIS_M%C5%A0-final.pdf" TargetMode="External"/><Relationship Id="rId31" Type="http://schemas.openxmlformats.org/officeDocument/2006/relationships/hyperlink" Target="https://www.ochrance.cz/media/obecny_komentar_c._4.pdf" TargetMode="External"/><Relationship Id="rId4" Type="http://schemas.openxmlformats.org/officeDocument/2006/relationships/hyperlink" Target="https://eso.ochrance.cz/Nalezene/Edit/10640" TargetMode="External"/><Relationship Id="rId9" Type="http://schemas.openxmlformats.org/officeDocument/2006/relationships/hyperlink" Target="https://eso.ochrance.cz/Nalezene/Edit/11728" TargetMode="External"/><Relationship Id="rId14" Type="http://schemas.openxmlformats.org/officeDocument/2006/relationships/hyperlink" Target="https://www.facebook.com/verejny.ochrance.prav/posts/pfbid02YhC6Pj4DHeRAZc92iJHe3EXFhXD793TnqvYjHTkHjzUuHBfLQcL5yXPBb98FDS2Sl" TargetMode="External"/><Relationship Id="rId22" Type="http://schemas.openxmlformats.org/officeDocument/2006/relationships/hyperlink" Target="https://eso.ochrance.cz/Nalezene/Edit/11556" TargetMode="External"/><Relationship Id="rId27" Type="http://schemas.openxmlformats.org/officeDocument/2006/relationships/hyperlink" Target="https://www.ochrance.cz/media/obecny_komentar_c._8.pdf" TargetMode="External"/><Relationship Id="rId30" Type="http://schemas.openxmlformats.org/officeDocument/2006/relationships/hyperlink" Target="https://eso.ochrance.cz/Nalezene/Edit/1102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http://kvopap/Sdilene%20dokumenty/Sekce%20pr&#225;vn&#237;/pr&#225;ce%20se%20spisem/&#353;ablony%202018/08_sekretari&#225;t%20(Z)VOP/xxxx-2023_zpr&#225;va_ombudsmana_2023_x.Q_Informace_o_&#269;innosti.dotm"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C970-AD89-44B4-B49A-550953165C65}">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7aea5b64-986d-4ed0-9f25-146f1d978e98"/>
    <ds:schemaRef ds:uri="http://www.w3.org/XML/1998/namespace"/>
    <ds:schemaRef ds:uri="http://purl.org/dc/dcmitype/"/>
  </ds:schemaRefs>
</ds:datastoreItem>
</file>

<file path=customXml/itemProps2.xml><?xml version="1.0" encoding="utf-8"?>
<ds:datastoreItem xmlns:ds="http://schemas.openxmlformats.org/officeDocument/2006/customXml" ds:itemID="{E37057C1-DE9A-484B-A87D-4C0C9C6A5F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0B13F4-CFBA-4346-AB9B-01FEC850304B}">
  <ds:schemaRefs>
    <ds:schemaRef ds:uri="http://schemas.microsoft.com/sharepoint/v3/contenttype/forms"/>
  </ds:schemaRefs>
</ds:datastoreItem>
</file>

<file path=customXml/itemProps4.xml><?xml version="1.0" encoding="utf-8"?>
<ds:datastoreItem xmlns:ds="http://schemas.openxmlformats.org/officeDocument/2006/customXml" ds:itemID="{079B5AD9-4455-40F9-8CCD-41D468F15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xxxx-2023_zpráva_ombudsmana_2023_x.Q_Informace_o_činnosti</Template>
  <TotalTime>911</TotalTime>
  <Pages>29</Pages>
  <Words>8969</Words>
  <Characters>52921</Characters>
  <Application>Microsoft Office Word</Application>
  <DocSecurity>0</DocSecurity>
  <Lines>441</Lines>
  <Paragraphs>123</Paragraphs>
  <ScaleCrop>false</ScaleCrop>
  <HeadingPairs>
    <vt:vector size="2" baseType="variant">
      <vt:variant>
        <vt:lpstr>Název</vt:lpstr>
      </vt:variant>
      <vt:variant>
        <vt:i4>1</vt:i4>
      </vt:variant>
    </vt:vector>
  </HeadingPairs>
  <TitlesOfParts>
    <vt:vector size="1" baseType="lpstr">
      <vt:lpstr>VOP</vt:lpstr>
    </vt:vector>
  </TitlesOfParts>
  <Company>KVOP</Company>
  <LinksUpToDate>false</LinksUpToDate>
  <CharactersWithSpaces>61767</CharactersWithSpaces>
  <SharedDoc>false</SharedDoc>
  <HLinks>
    <vt:vector size="12" baseType="variant">
      <vt:variant>
        <vt:i4>4456573</vt:i4>
      </vt:variant>
      <vt:variant>
        <vt:i4>3</vt:i4>
      </vt:variant>
      <vt:variant>
        <vt:i4>0</vt:i4>
      </vt:variant>
      <vt:variant>
        <vt:i4>5</vt:i4>
      </vt:variant>
      <vt:variant>
        <vt:lpwstr>mailto:polak@ochrance.cz</vt:lpwstr>
      </vt:variant>
      <vt:variant>
        <vt:lpwstr/>
      </vt:variant>
      <vt:variant>
        <vt:i4>1048632</vt:i4>
      </vt:variant>
      <vt:variant>
        <vt:i4>0</vt:i4>
      </vt:variant>
      <vt:variant>
        <vt:i4>0</vt:i4>
      </vt:variant>
      <vt:variant>
        <vt:i4>5</vt:i4>
      </vt:variant>
      <vt:variant>
        <vt:lpwstr>mailto:maxovar@psp.cz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VOP</dc:title>
  <dc:creator>Frýdek Miroslav JUDr. Ph.D. et. Ph.D.</dc:creator>
  <cp:lastModifiedBy>Frýdek Miroslav JUDr. Ph.D. et. Ph.D.</cp:lastModifiedBy>
  <cp:revision>53</cp:revision>
  <cp:lastPrinted>2023-07-24T06:48:00Z</cp:lastPrinted>
  <dcterms:created xsi:type="dcterms:W3CDTF">2023-07-11T10:59:00Z</dcterms:created>
  <dcterms:modified xsi:type="dcterms:W3CDTF">2023-07-31T09:16:00Z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