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58" w:rsidRPr="007B05C4" w:rsidRDefault="00810758" w:rsidP="007B05C4">
      <w:pPr>
        <w:pStyle w:val="hlavikaVOP"/>
        <w:tabs>
          <w:tab w:val="clear" w:pos="3969"/>
          <w:tab w:val="clear" w:pos="4678"/>
        </w:tabs>
      </w:pPr>
      <w:bookmarkStart w:id="0" w:name="_GoBack"/>
      <w:bookmarkEnd w:id="0"/>
      <w:r w:rsidRPr="007B05C4">
        <w:t>Veřejná ochránkyně práv</w:t>
      </w:r>
    </w:p>
    <w:p w:rsidR="00810758" w:rsidRPr="007B05C4" w:rsidRDefault="00810758" w:rsidP="007B05C4">
      <w:pPr>
        <w:pStyle w:val="hlavikaVOP2"/>
      </w:pPr>
      <w:r w:rsidRPr="007B05C4">
        <w:t>Mgr. Anna Šabatová, Ph.D.</w:t>
      </w:r>
    </w:p>
    <w:p w:rsidR="00810758" w:rsidRPr="00810758" w:rsidRDefault="00810758" w:rsidP="00810758">
      <w:pPr>
        <w:pStyle w:val="datumaznaka"/>
      </w:pPr>
      <w:r w:rsidRPr="00810758">
        <w:t>V Brně dne 29. února 2016</w:t>
      </w:r>
    </w:p>
    <w:p w:rsidR="00810758" w:rsidRPr="00810758" w:rsidRDefault="00810758" w:rsidP="00810758">
      <w:pPr>
        <w:pStyle w:val="datumaznaka"/>
      </w:pPr>
      <w:proofErr w:type="spellStart"/>
      <w:r w:rsidRPr="00810758">
        <w:t>Sp</w:t>
      </w:r>
      <w:proofErr w:type="spellEnd"/>
      <w:r w:rsidRPr="00810758">
        <w:t>. zn.: 4292/2015/VOP/JHO</w:t>
      </w:r>
    </w:p>
    <w:p w:rsidR="00810758" w:rsidRPr="00810758" w:rsidRDefault="00810758" w:rsidP="00810758">
      <w:pPr>
        <w:pStyle w:val="Styl1"/>
      </w:pPr>
      <w:r w:rsidRPr="00810758">
        <w:t xml:space="preserve"> 46/2015/SZD/JHO</w:t>
      </w:r>
    </w:p>
    <w:p w:rsidR="00810758" w:rsidRPr="00810758" w:rsidRDefault="00BC087C" w:rsidP="00810758">
      <w:pPr>
        <w:pStyle w:val="Styl1"/>
      </w:pPr>
      <w:r>
        <w:t xml:space="preserve"> </w:t>
      </w:r>
      <w:r w:rsidR="005B44D9">
        <w:t>6470</w:t>
      </w:r>
      <w:r w:rsidR="00810758" w:rsidRPr="00810758">
        <w:t>/2015/VOP/RK</w:t>
      </w:r>
    </w:p>
    <w:p w:rsidR="00810758" w:rsidRDefault="00810758" w:rsidP="00810758">
      <w:pPr>
        <w:pStyle w:val="Zkladntext"/>
      </w:pPr>
    </w:p>
    <w:p w:rsidR="00810758" w:rsidRDefault="00810758" w:rsidP="00810758">
      <w:pPr>
        <w:pStyle w:val="Zkladntext"/>
      </w:pPr>
      <w:r>
        <w:t>Vážený pane ministře,</w:t>
      </w:r>
    </w:p>
    <w:p w:rsidR="00810758" w:rsidRDefault="00810758" w:rsidP="00810758">
      <w:pPr>
        <w:pStyle w:val="Zkladntextodsazen"/>
      </w:pPr>
      <w:r>
        <w:t xml:space="preserve">dovoluji si Vás informovat, že jsem se obrátila na předsedy soudů se žádostí o vyplnění dotazníku, který se týká třech oblastí: </w:t>
      </w:r>
      <w:r w:rsidRPr="00285537">
        <w:t>naplňování centrální evidence rozhodnutí</w:t>
      </w:r>
      <w:r>
        <w:t xml:space="preserve">, </w:t>
      </w:r>
      <w:r w:rsidRPr="00285537">
        <w:t>poskytování výpisů</w:t>
      </w:r>
      <w:r>
        <w:t xml:space="preserve"> k </w:t>
      </w:r>
      <w:r w:rsidRPr="00285537">
        <w:t>osobě nebo</w:t>
      </w:r>
      <w:r>
        <w:t xml:space="preserve"> na </w:t>
      </w:r>
      <w:r w:rsidRPr="00285537">
        <w:t>osobu</w:t>
      </w:r>
      <w:r>
        <w:t xml:space="preserve"> a </w:t>
      </w:r>
      <w:r w:rsidRPr="00285537">
        <w:t>vymáhání veřejnoprávních pohledávek</w:t>
      </w:r>
      <w:r>
        <w:t>.</w:t>
      </w:r>
    </w:p>
    <w:p w:rsidR="00810758" w:rsidRPr="00810758" w:rsidRDefault="00810758" w:rsidP="00810758">
      <w:pPr>
        <w:pStyle w:val="slovanseznam"/>
        <w:rPr>
          <w:rStyle w:val="Siln"/>
        </w:rPr>
      </w:pPr>
      <w:r w:rsidRPr="00810758">
        <w:rPr>
          <w:rStyle w:val="Siln"/>
        </w:rPr>
        <w:t>naplňování centrální evidence rozhodnutí</w:t>
      </w:r>
    </w:p>
    <w:p w:rsidR="00810758" w:rsidRDefault="00810758" w:rsidP="00810758">
      <w:pPr>
        <w:pStyle w:val="Zkladntextodsazen"/>
      </w:pPr>
      <w:r>
        <w:t>První část dotazníku se věnuje naplňování veřejné databáze judikatury okresních, krajských a vrchních soudů dle instrukce Ministerstva spravedlnosti ze dne 20. června 2002, č. 20/2002-SM. Podle této instrukce ministerstva v „centrální evidenci judikatury“, která je umístěna i na veřejné síti internetu, by měla být evidována vybraná rozhodnutí okresních, krajských a vrchních soudů</w:t>
      </w:r>
      <w:r w:rsidRPr="00E75FCC">
        <w:rPr>
          <w:rStyle w:val="Znakapoznpodarou"/>
        </w:rPr>
        <w:footnoteReference w:id="1"/>
      </w:r>
      <w:r>
        <w:t>. Instrukce podrobněji stanoví způsob, jak dochází k výběru judikatury do této evidence. Evidence na veřejné síti internetu byla zprovozněna v květnu roku 2011 (s </w:t>
      </w:r>
      <w:proofErr w:type="spellStart"/>
      <w:r>
        <w:t>anonymizací</w:t>
      </w:r>
      <w:proofErr w:type="spellEnd"/>
      <w:r>
        <w:t xml:space="preserve"> vybraných rozsudků počítá instrukce od 1. března 2011)</w:t>
      </w:r>
      <w:r w:rsidRPr="00E75FCC">
        <w:rPr>
          <w:rStyle w:val="Znakapoznpodarou"/>
        </w:rPr>
        <w:footnoteReference w:id="2"/>
      </w:r>
      <w:r>
        <w:t>.</w:t>
      </w:r>
    </w:p>
    <w:p w:rsidR="00810758" w:rsidRDefault="00810758" w:rsidP="00810758">
      <w:pPr>
        <w:pStyle w:val="Zkladntextodsazen"/>
      </w:pPr>
      <w:r>
        <w:t>Zavedení evidence (i na veřejné síti internet) sledovalo několik cílů, zejména měla přispět k předvídatelnému a transparentnímu rozhodování a sjednocení rozhodovací praxe. Podle mého názoru její funkce vzrostla po nabytí účinnosti zákona č. 89/2012 Sb., občanský zákoník, neboť databáze by mohla sloužit jako zdroj jeho výkladu pro širokou veřejnost. Současně se domnívám, že řádným plněním této evidence by se předešlo mnoha žádostem o poskytnutí rozhodnutí dle zákona č. 106/1999 Sb., o svobodném přístupu k informacím, ve znění pozdějších předpisů.</w:t>
      </w:r>
    </w:p>
    <w:p w:rsidR="00810758" w:rsidRDefault="00810758" w:rsidP="00810758">
      <w:pPr>
        <w:pStyle w:val="Zkladntextodsazen"/>
      </w:pPr>
      <w:r>
        <w:t>Při své činnosti jsem zjistila, že veřejná část evidence obsahuje 2 817 rozhodnutí</w:t>
      </w:r>
      <w:r w:rsidRPr="00E75FCC">
        <w:rPr>
          <w:rStyle w:val="Znakapoznpodarou"/>
        </w:rPr>
        <w:footnoteReference w:id="3"/>
      </w:r>
      <w:r>
        <w:t>, přičemž za rok 2015 bylo doplněno jen 44 rozhodnutí</w:t>
      </w:r>
      <w:r w:rsidRPr="00E75FCC">
        <w:rPr>
          <w:rStyle w:val="Znakapoznpodarou"/>
        </w:rPr>
        <w:footnoteReference w:id="4"/>
      </w:r>
      <w:r>
        <w:t>. Takový počet rozhodnutí nutně vyvolává otázku o dostatečné naplněnosti této evidence.</w:t>
      </w:r>
    </w:p>
    <w:p w:rsidR="00810758" w:rsidRDefault="00810758" w:rsidP="00810758">
      <w:pPr>
        <w:pStyle w:val="Zkladntextodsazen"/>
      </w:pPr>
      <w:r w:rsidRPr="00810758">
        <w:br w:type="page"/>
      </w:r>
      <w:r>
        <w:lastRenderedPageBreak/>
        <w:t>Zahájila jsem tak šetření</w:t>
      </w:r>
      <w:r w:rsidRPr="00E75FCC">
        <w:rPr>
          <w:rStyle w:val="Znakapoznpodarou"/>
        </w:rPr>
        <w:footnoteReference w:id="5"/>
      </w:r>
      <w:r>
        <w:t xml:space="preserve">, abych zjistila, z jakého důvodu evidence obsahuje </w:t>
      </w:r>
      <w:r w:rsidR="00B83608">
        <w:t xml:space="preserve">pouze </w:t>
      </w:r>
      <w:r>
        <w:t>uvedený počet rozhodnutí, jak v praxi dochází k jejímu naplňování, jak je sbírka využívaná a naopak, jaké jsou rezervy jejího naplňování a užívání, aby lépe naplnila svůj zamýšlený účel. Šetřením bych také chtěla přispět ke zlepšení uživatelské přívětivosti databáze pro její uživatele.</w:t>
      </w:r>
      <w:r w:rsidRPr="00217AFC">
        <w:t xml:space="preserve"> </w:t>
      </w:r>
      <w:r>
        <w:t>Vedle soudů jsem se s některými dotazy týkajícími se této oblasti obrátila i na advokáty.</w:t>
      </w:r>
    </w:p>
    <w:p w:rsidR="00810758" w:rsidRPr="00810758" w:rsidRDefault="00810758" w:rsidP="00810758">
      <w:pPr>
        <w:pStyle w:val="Zkladntextodsazen"/>
        <w:rPr>
          <w:rStyle w:val="Siln"/>
        </w:rPr>
      </w:pPr>
      <w:r w:rsidRPr="00EA69DC">
        <w:t>Jelikož jsem zjistila jisté nesrovnalosti mezi</w:t>
      </w:r>
      <w:r w:rsidRPr="00810758">
        <w:rPr>
          <w:rStyle w:val="Siln"/>
        </w:rPr>
        <w:t xml:space="preserve"> </w:t>
      </w:r>
      <w:r>
        <w:t>centrální evidencí rozhodnutí přístupnou přes aplikaci Lotus Notes a přes internetové stránky</w:t>
      </w:r>
      <w:r w:rsidRPr="00E75FCC">
        <w:rPr>
          <w:rStyle w:val="Znakapoznpodarou"/>
        </w:rPr>
        <w:footnoteReference w:id="6"/>
      </w:r>
      <w:r>
        <w:t xml:space="preserve">, </w:t>
      </w:r>
      <w:r w:rsidRPr="00810758">
        <w:rPr>
          <w:rStyle w:val="Siln"/>
        </w:rPr>
        <w:t>dovoluji si požádat i Vás o součinnost, a to zodpovězením následujících dotazů:</w:t>
      </w:r>
    </w:p>
    <w:p w:rsidR="00810758" w:rsidRDefault="00810758" w:rsidP="00810758">
      <w:pPr>
        <w:pStyle w:val="Seznam"/>
      </w:pPr>
      <w:r>
        <w:t>Jaký je vztah mezi centrální evidencí rozhodnutí přístupnou soudům přes aplikaci Lotus Notes a přes internetové stránky ministerstva?</w:t>
      </w:r>
    </w:p>
    <w:p w:rsidR="00810758" w:rsidRDefault="00810758" w:rsidP="00810758">
      <w:pPr>
        <w:pStyle w:val="Seznam"/>
      </w:pPr>
      <w:r>
        <w:t>Kolik soudních rozhodnutí je dostupných v centrální evidenci rozhodnutí při vstupu přes aplikaci Lotus Notes? Uveďte prosím počet za jednotlivé okresní, krajské a vrchní soudy a datum, ke kterému je počet zjištěn.</w:t>
      </w:r>
    </w:p>
    <w:p w:rsidR="00810758" w:rsidRPr="00810758" w:rsidRDefault="00810758" w:rsidP="00810758"/>
    <w:p w:rsidR="00810758" w:rsidRPr="00810758" w:rsidRDefault="00810758" w:rsidP="00810758">
      <w:pPr>
        <w:pStyle w:val="slovanseznam"/>
        <w:rPr>
          <w:rStyle w:val="Siln"/>
        </w:rPr>
      </w:pPr>
      <w:r w:rsidRPr="00810758">
        <w:rPr>
          <w:rStyle w:val="Siln"/>
        </w:rPr>
        <w:t>poskytování výpisů k osobě nebo na osobu</w:t>
      </w:r>
    </w:p>
    <w:p w:rsidR="00810758" w:rsidRDefault="00810758" w:rsidP="00810758">
      <w:pPr>
        <w:pStyle w:val="Zkladntextodsazen"/>
      </w:pPr>
      <w:r>
        <w:t xml:space="preserve">V rámci své činnosti jsem se setkala s různými postupy soudů při vyřizování žádostí osob o poskytnutí soupisů řízení, v nichž konkrétní osoba </w:t>
      </w:r>
      <w:r w:rsidR="00B83608">
        <w:t>vystupuje</w:t>
      </w:r>
      <w:r>
        <w:t xml:space="preserve"> jako účastník řízení. Cílem dotazníku v této části je zmapovat praxi soudů a přinést poznatky, které by mohly přispět k nastavení metodiky Ministerstva spravedlnosti pro vyřizování obdobných žádostí.</w:t>
      </w:r>
      <w:r w:rsidRPr="00E75FCC">
        <w:rPr>
          <w:rStyle w:val="Znakapoznpodarou"/>
        </w:rPr>
        <w:footnoteReference w:id="7"/>
      </w:r>
    </w:p>
    <w:p w:rsidR="00810758" w:rsidRPr="00810758" w:rsidRDefault="00810758" w:rsidP="00810758">
      <w:pPr>
        <w:pStyle w:val="slovanseznam"/>
        <w:rPr>
          <w:rStyle w:val="Siln"/>
        </w:rPr>
      </w:pPr>
      <w:r w:rsidRPr="00810758">
        <w:rPr>
          <w:rStyle w:val="Siln"/>
        </w:rPr>
        <w:t>vymáhání veřejnoprávních pohledávek</w:t>
      </w:r>
    </w:p>
    <w:p w:rsidR="00810758" w:rsidRDefault="00810758" w:rsidP="00810758">
      <w:pPr>
        <w:pStyle w:val="Zkladntextodsazen"/>
      </w:pPr>
      <w:r>
        <w:t>Z mých zkušeností vyplývá nekonzistentní přístup orgánů státní správy soudů ke správě placení soudních poplatků a dalších peněžitých plnění plynoucích do státního rozpočtu (společně též dále v textu „veřejnoprávní pohledávky“) uložených účastníkům řízení a dalším zúčastněným osobám v průběhu soudního řízení.</w:t>
      </w:r>
    </w:p>
    <w:p w:rsidR="00810758" w:rsidRDefault="00810758" w:rsidP="00810758">
      <w:pPr>
        <w:pStyle w:val="Zkladntextodsazen"/>
      </w:pPr>
      <w:r>
        <w:t>Za problematické považuji zejména předávání vymáhání veřejnoprávních pohledávek soudním exekutorům. Rozhodla jsem se proto zahájit šetření</w:t>
      </w:r>
      <w:r w:rsidRPr="00E75FCC">
        <w:rPr>
          <w:rStyle w:val="Znakapoznpodarou"/>
        </w:rPr>
        <w:footnoteReference w:id="8"/>
      </w:r>
      <w:r>
        <w:t>, jehož cílem je získat bližší informace o tom, jak orgány státní správy soudů při vymáhání veřejnoprávních pohledávek postupují, tj. zda využívají možnosti vymáhat je v daňové exekuci a jaké způsoby výkonu rozhodnutí při tom využívají, kdy přistupují k předání vymáhání pohledávky soudnímu exekutorovi a zda případně spolupracují při vymáhání s orgány celní správy.</w:t>
      </w:r>
    </w:p>
    <w:p w:rsidR="00810758" w:rsidRPr="00810758" w:rsidRDefault="00810758" w:rsidP="00810758">
      <w:r w:rsidRPr="00810758">
        <w:br w:type="page"/>
      </w:r>
    </w:p>
    <w:p w:rsidR="00810758" w:rsidRDefault="00810758" w:rsidP="00810758">
      <w:pPr>
        <w:pStyle w:val="Zkladntextodsazen"/>
      </w:pPr>
      <w:r>
        <w:lastRenderedPageBreak/>
        <w:t>Vážený pane ministře, odpověď na výše uvedené otázky si dovolím očekávat ve lhůtě 30 dnů ode dne doručení tohoto dopisu</w:t>
      </w:r>
      <w:r w:rsidRPr="00AB0E2A">
        <w:t>.</w:t>
      </w:r>
      <w:r>
        <w:t xml:space="preserve"> V </w:t>
      </w:r>
      <w:r w:rsidRPr="00AB0E2A">
        <w:t>příloze Vám zasílám předmětné dotazníky. Soudy</w:t>
      </w:r>
      <w:r>
        <w:t xml:space="preserve"> a </w:t>
      </w:r>
      <w:r w:rsidRPr="00AB0E2A">
        <w:t>advokáti je budou vyplňovat</w:t>
      </w:r>
      <w:r>
        <w:t xml:space="preserve"> prostřednictvím interaktivních formulářů na internetových stránkách</w:t>
      </w:r>
      <w:r w:rsidR="00B83608">
        <w:t xml:space="preserve"> veřejného ochránce práv</w:t>
      </w:r>
      <w:r>
        <w:t>. S výsledky výzkumu Vás seznámím po jejich zpracování (květen, červen 2015).</w:t>
      </w:r>
    </w:p>
    <w:p w:rsidR="00810758" w:rsidRDefault="00810758" w:rsidP="00810758">
      <w:pPr>
        <w:pStyle w:val="Zkladntextodsazen"/>
      </w:pPr>
      <w:r w:rsidRPr="007557BB">
        <w:t xml:space="preserve">V případě jakýchkoliv dotazů </w:t>
      </w:r>
      <w:r>
        <w:t xml:space="preserve">prosím kontaktujte právničku Kanceláře veřejného ochránce práv Ing. Mgr. Janu Peckovou </w:t>
      </w:r>
      <w:proofErr w:type="spellStart"/>
      <w:r>
        <w:t>Hodečkovou</w:t>
      </w:r>
      <w:proofErr w:type="spellEnd"/>
      <w:r>
        <w:t>, pověřenou zpracováním výzkumu (tel. číslo</w:t>
      </w:r>
      <w:r w:rsidRPr="007557BB">
        <w:t xml:space="preserve"> 542 542 248, </w:t>
      </w:r>
      <w:r>
        <w:t>e-mailová adresa hodeckova@</w:t>
      </w:r>
      <w:r w:rsidRPr="007557BB">
        <w:t>ochrance.cz</w:t>
      </w:r>
      <w:r>
        <w:t>)</w:t>
      </w:r>
      <w:r w:rsidRPr="007557BB">
        <w:t>.</w:t>
      </w:r>
    </w:p>
    <w:p w:rsidR="004B7C1C" w:rsidRDefault="00810758" w:rsidP="009361DD">
      <w:pPr>
        <w:pStyle w:val="Zkladntextodsazen"/>
      </w:pPr>
      <w:r>
        <w:t>S</w:t>
      </w:r>
      <w:r w:rsidR="0081518D">
        <w:t> </w:t>
      </w:r>
      <w:r w:rsidR="004B7C1C" w:rsidRPr="009361DD">
        <w:t>pozdravem</w:t>
      </w:r>
    </w:p>
    <w:p w:rsidR="00535921" w:rsidRDefault="00535921" w:rsidP="00E315B6">
      <w:pPr>
        <w:pStyle w:val="podpis"/>
        <w:rPr>
          <w:highlight w:val="yellow"/>
        </w:rPr>
      </w:pPr>
    </w:p>
    <w:p w:rsidR="00810758" w:rsidRDefault="00810758" w:rsidP="00535921">
      <w:pPr>
        <w:pStyle w:val="podpis"/>
      </w:pPr>
      <w:r>
        <w:t>Mgr. Anna   </w:t>
      </w:r>
      <w:r>
        <w:rPr>
          <w:spacing w:val="80"/>
        </w:rPr>
        <w:t>Š</w:t>
      </w:r>
      <w:r w:rsidRPr="0081518D">
        <w:rPr>
          <w:spacing w:val="80"/>
        </w:rPr>
        <w:t>a</w:t>
      </w:r>
      <w:r>
        <w:rPr>
          <w:spacing w:val="80"/>
        </w:rPr>
        <w:t>batov</w:t>
      </w:r>
      <w:r w:rsidRPr="00535921">
        <w:rPr>
          <w:spacing w:val="20"/>
        </w:rPr>
        <w:t>á</w:t>
      </w:r>
      <w:r w:rsidRPr="00535921">
        <w:t>,</w:t>
      </w:r>
      <w:r>
        <w:t xml:space="preserve"> Ph.D.,</w:t>
      </w:r>
      <w:r w:rsidRPr="0081518D">
        <w:t>  v.</w:t>
      </w:r>
      <w:r>
        <w:t> </w:t>
      </w:r>
      <w:r w:rsidRPr="0081518D">
        <w:t>r.</w:t>
      </w:r>
    </w:p>
    <w:p w:rsidR="00810758" w:rsidRPr="0081518D" w:rsidRDefault="00810758" w:rsidP="00535921">
      <w:pPr>
        <w:pStyle w:val="podpis"/>
      </w:pPr>
      <w:r w:rsidRPr="0081518D">
        <w:t xml:space="preserve"> (dopis je opatřen elektronickým podpisem)</w:t>
      </w:r>
    </w:p>
    <w:p w:rsidR="00214429" w:rsidRDefault="00214429" w:rsidP="000915A0"/>
    <w:p w:rsidR="00810758" w:rsidRDefault="00810758" w:rsidP="000915A0"/>
    <w:p w:rsidR="00810758" w:rsidRDefault="00810758" w:rsidP="000915A0"/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Default="00810758" w:rsidP="00810758">
      <w:pPr>
        <w:rPr>
          <w:rStyle w:val="Siln"/>
        </w:rPr>
      </w:pPr>
    </w:p>
    <w:p w:rsidR="00810758" w:rsidRPr="00810758" w:rsidRDefault="00810758" w:rsidP="00810758">
      <w:pPr>
        <w:rPr>
          <w:rStyle w:val="Siln"/>
        </w:rPr>
      </w:pPr>
      <w:r w:rsidRPr="00810758">
        <w:rPr>
          <w:rStyle w:val="Siln"/>
        </w:rPr>
        <w:t>Přílohy</w:t>
      </w:r>
    </w:p>
    <w:p w:rsidR="00810758" w:rsidRDefault="00810758" w:rsidP="00810758">
      <w:r>
        <w:t>dotazník pro okresní soudy</w:t>
      </w:r>
    </w:p>
    <w:p w:rsidR="00810758" w:rsidRDefault="00810758" w:rsidP="00810758">
      <w:r>
        <w:t>dotazník pro krajské a vrchní soudy</w:t>
      </w:r>
    </w:p>
    <w:p w:rsidR="00810758" w:rsidRDefault="00810758" w:rsidP="00810758"/>
    <w:p w:rsidR="00810758" w:rsidRDefault="00810758" w:rsidP="00810758"/>
    <w:p w:rsidR="00810758" w:rsidRDefault="00810758" w:rsidP="00810758"/>
    <w:p w:rsidR="00810758" w:rsidRDefault="00810758" w:rsidP="00810758"/>
    <w:p w:rsidR="00810758" w:rsidRDefault="00810758" w:rsidP="00810758"/>
    <w:p w:rsidR="00810758" w:rsidRDefault="00810758" w:rsidP="00810758"/>
    <w:p w:rsidR="00810758" w:rsidRDefault="00810758" w:rsidP="00810758"/>
    <w:p w:rsidR="00810758" w:rsidRDefault="00810758" w:rsidP="00810758">
      <w:r>
        <w:t>Vážený pan</w:t>
      </w:r>
    </w:p>
    <w:p w:rsidR="00810758" w:rsidRDefault="00810758" w:rsidP="00810758">
      <w:r>
        <w:t>JUDr. Robert Pelikán, Ph.D.</w:t>
      </w:r>
    </w:p>
    <w:p w:rsidR="00810758" w:rsidRDefault="00810758" w:rsidP="00810758">
      <w:r>
        <w:t>ministr</w:t>
      </w:r>
    </w:p>
    <w:p w:rsidR="00810758" w:rsidRDefault="00810758" w:rsidP="00810758">
      <w:r>
        <w:t>Ministerstvo spravedlnosti</w:t>
      </w:r>
      <w:r>
        <w:br/>
        <w:t>Vyšehradská 16</w:t>
      </w:r>
    </w:p>
    <w:p w:rsidR="00810758" w:rsidRDefault="00810758" w:rsidP="00810758">
      <w:proofErr w:type="gramStart"/>
      <w:r>
        <w:t>128 10  Praha</w:t>
      </w:r>
      <w:proofErr w:type="gramEnd"/>
      <w:r>
        <w:t xml:space="preserve"> 2</w:t>
      </w:r>
    </w:p>
    <w:p w:rsidR="00810758" w:rsidRDefault="00810758" w:rsidP="000915A0"/>
    <w:p w:rsidR="00810758" w:rsidRDefault="00810758" w:rsidP="000915A0"/>
    <w:p w:rsidR="00810758" w:rsidRDefault="00810758" w:rsidP="000915A0"/>
    <w:p w:rsidR="00810758" w:rsidRDefault="00810758" w:rsidP="000915A0"/>
    <w:p w:rsidR="00964042" w:rsidRDefault="00964042" w:rsidP="00964042">
      <w:pPr>
        <w:pStyle w:val="kontakt"/>
      </w:pPr>
      <w:r>
        <w:t>Údolní 39</w:t>
      </w:r>
    </w:p>
    <w:p w:rsidR="00964042" w:rsidRDefault="00964042" w:rsidP="00964042">
      <w:pPr>
        <w:pStyle w:val="kontakt"/>
      </w:pPr>
      <w:r>
        <w:t>602 00 Brno</w:t>
      </w:r>
    </w:p>
    <w:p w:rsidR="009340A1" w:rsidRPr="009340A1" w:rsidRDefault="00964042" w:rsidP="009340A1">
      <w:pPr>
        <w:pStyle w:val="kontakt"/>
      </w:pPr>
      <w:r>
        <w:t>tel: (+420) 542 542 888, fax: (+420) 542 542</w:t>
      </w:r>
      <w:r w:rsidR="009340A1">
        <w:t> </w:t>
      </w:r>
      <w:r>
        <w:t>112</w:t>
      </w:r>
    </w:p>
    <w:sectPr w:rsidR="009340A1" w:rsidRPr="009340A1" w:rsidSect="00923857">
      <w:footerReference w:type="default" r:id="rId11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58" w:rsidRDefault="00810758">
      <w:r>
        <w:separator/>
      </w:r>
    </w:p>
  </w:endnote>
  <w:endnote w:type="continuationSeparator" w:id="0">
    <w:p w:rsidR="00810758" w:rsidRDefault="0081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EE9" w:rsidRPr="00214429" w:rsidRDefault="00923857" w:rsidP="00923857">
    <w:pPr>
      <w:jc w:val="center"/>
      <w:rPr>
        <w:sz w:val="20"/>
        <w:szCs w:val="20"/>
      </w:rPr>
    </w:pPr>
    <w:r w:rsidRPr="00214429">
      <w:rPr>
        <w:sz w:val="20"/>
        <w:szCs w:val="20"/>
      </w:rPr>
      <w:fldChar w:fldCharType="begin"/>
    </w:r>
    <w:r w:rsidRPr="00214429">
      <w:rPr>
        <w:sz w:val="20"/>
        <w:szCs w:val="20"/>
      </w:rPr>
      <w:instrText>PAGE   \* MERGEFORMAT</w:instrText>
    </w:r>
    <w:r w:rsidRPr="00214429">
      <w:rPr>
        <w:sz w:val="20"/>
        <w:szCs w:val="20"/>
      </w:rPr>
      <w:fldChar w:fldCharType="separate"/>
    </w:r>
    <w:r w:rsidR="00D21A0E">
      <w:rPr>
        <w:noProof/>
        <w:sz w:val="20"/>
        <w:szCs w:val="20"/>
      </w:rPr>
      <w:t>3</w:t>
    </w:r>
    <w:r w:rsidRPr="0021442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58" w:rsidRDefault="00810758">
      <w:r>
        <w:separator/>
      </w:r>
    </w:p>
  </w:footnote>
  <w:footnote w:type="continuationSeparator" w:id="0">
    <w:p w:rsidR="00810758" w:rsidRDefault="00810758">
      <w:r>
        <w:continuationSeparator/>
      </w:r>
    </w:p>
  </w:footnote>
  <w:footnote w:id="1">
    <w:p w:rsidR="00810758" w:rsidRPr="00CD26CB" w:rsidRDefault="00810758" w:rsidP="0081075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cs-CZ"/>
        </w:rPr>
        <w:t>Vyjma rozhodnutí ze správního soudnictví.</w:t>
      </w:r>
    </w:p>
  </w:footnote>
  <w:footnote w:id="2">
    <w:p w:rsidR="00810758" w:rsidRDefault="00810758" w:rsidP="00810758">
      <w:pPr>
        <w:pStyle w:val="Textpoznpodarou"/>
      </w:pPr>
      <w:r>
        <w:rPr>
          <w:rStyle w:val="Znakapoznpodarou"/>
        </w:rPr>
        <w:footnoteRef/>
      </w:r>
      <w:r>
        <w:t xml:space="preserve"> Zpracování rozhodnutí pro účely zpřístupnění ve vnitřní evidenci soudů a centrální evidenci soudních rozhodnutí však směrnice upravuje již s účinností od 1. ledna 2003.</w:t>
      </w:r>
    </w:p>
  </w:footnote>
  <w:footnote w:id="3">
    <w:p w:rsidR="00810758" w:rsidRDefault="00810758" w:rsidP="00810758">
      <w:pPr>
        <w:pStyle w:val="Textpoznpodarou"/>
      </w:pPr>
      <w:r>
        <w:rPr>
          <w:rStyle w:val="Znakapoznpodarou"/>
        </w:rPr>
        <w:footnoteRef/>
      </w:r>
      <w:r>
        <w:t xml:space="preserve"> Jako součet všech rozsudků jednotlivých krajských a vrchních soudů: Městský soud v Praze 262, Krajský soud v Brně 195, Krajský soud v Českých Budějovicích 366, Krajský soud v Hradci Králové 867, Krajský soud v Ostravě 173, Krajský soud v Plzni 62, Krajský soud v Praze 119, Krajský soud v Ústí nad Labem 135, Vrchní soud v Olomouci 407, Vrchní soud v Praze 231 (ke dni 6. listopadu 2015)</w:t>
      </w:r>
    </w:p>
  </w:footnote>
  <w:footnote w:id="4">
    <w:p w:rsidR="00810758" w:rsidRDefault="00810758" w:rsidP="00810758">
      <w:pPr>
        <w:pStyle w:val="Textpoznpodarou"/>
      </w:pPr>
      <w:r>
        <w:rPr>
          <w:rStyle w:val="Znakapoznpodarou"/>
        </w:rPr>
        <w:footnoteRef/>
      </w:r>
      <w:r>
        <w:t xml:space="preserve"> Konkrétně 11 Městského soudu v Praze, 1 Krajského soudu v Českých Budějovicích, 7 Krajského soudu v Hradci Králové, 10 Vrchního soudu v Olomouci, 15 Vrchního soudu v Praze (ke dni 6. listopadu 2015). </w:t>
      </w:r>
    </w:p>
  </w:footnote>
  <w:footnote w:id="5">
    <w:p w:rsidR="00810758" w:rsidRPr="00AB0E2A" w:rsidRDefault="00810758" w:rsidP="0081075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cs-CZ"/>
        </w:rPr>
        <w:t>Sp</w:t>
      </w:r>
      <w:proofErr w:type="spellEnd"/>
      <w:r>
        <w:rPr>
          <w:lang w:val="cs-CZ"/>
        </w:rPr>
        <w:t xml:space="preserve">. zn. mého šetření </w:t>
      </w:r>
      <w:r>
        <w:t>4292/2015/VOP/JHO</w:t>
      </w:r>
      <w:r>
        <w:rPr>
          <w:lang w:val="cs-CZ"/>
        </w:rPr>
        <w:t>.</w:t>
      </w:r>
    </w:p>
  </w:footnote>
  <w:footnote w:id="6">
    <w:p w:rsidR="00810758" w:rsidRPr="00EA69DC" w:rsidRDefault="00810758" w:rsidP="0081075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1B0714">
          <w:rPr>
            <w:rStyle w:val="Hypertextovodkaz"/>
          </w:rPr>
          <w:t>http://www.nsoud.cz/Judikaturans_new/judikatura_vks.nsf/uvod</w:t>
        </w:r>
      </w:hyperlink>
    </w:p>
  </w:footnote>
  <w:footnote w:id="7">
    <w:p w:rsidR="00810758" w:rsidRPr="00CD26CB" w:rsidRDefault="00810758" w:rsidP="0081075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V </w:t>
      </w:r>
      <w:r>
        <w:rPr>
          <w:lang w:val="cs-CZ"/>
        </w:rPr>
        <w:t xml:space="preserve">návaznosti na šetření mého zástupce, </w:t>
      </w:r>
      <w:proofErr w:type="spellStart"/>
      <w:r>
        <w:rPr>
          <w:lang w:val="cs-CZ"/>
        </w:rPr>
        <w:t>sp</w:t>
      </w:r>
      <w:proofErr w:type="spellEnd"/>
      <w:r>
        <w:rPr>
          <w:lang w:val="cs-CZ"/>
        </w:rPr>
        <w:t xml:space="preserve">. zn. 5403/2013/VOP/JHO, č. j. Vašeho posledního písemného vyjádření </w:t>
      </w:r>
      <w:r w:rsidRPr="00514DCD">
        <w:rPr>
          <w:lang w:val="cs-CZ"/>
        </w:rPr>
        <w:t>MSP-474/2014-OT-OSV/8</w:t>
      </w:r>
      <w:r>
        <w:rPr>
          <w:lang w:val="cs-CZ"/>
        </w:rPr>
        <w:t xml:space="preserve">  (ze dne 22. dubna 2015).</w:t>
      </w:r>
    </w:p>
  </w:footnote>
  <w:footnote w:id="8">
    <w:p w:rsidR="00810758" w:rsidRPr="007557BB" w:rsidRDefault="00810758" w:rsidP="0081075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cs-CZ"/>
        </w:rPr>
        <w:t>Sp</w:t>
      </w:r>
      <w:proofErr w:type="spellEnd"/>
      <w:r>
        <w:rPr>
          <w:lang w:val="cs-CZ"/>
        </w:rPr>
        <w:t xml:space="preserve">. zn. mého šetření </w:t>
      </w:r>
      <w:r>
        <w:t>6470/2015/VOP/RK</w:t>
      </w:r>
      <w:r>
        <w:rPr>
          <w:lang w:val="cs-CZ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C99E2F70"/>
    <w:lvl w:ilvl="0" w:tplc="3B520CE4">
      <w:start w:val="1"/>
      <w:numFmt w:val="decimal"/>
      <w:pStyle w:val="slovanseznam"/>
      <w:lvlText w:val="(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4CF6CDEE"/>
    <w:lvl w:ilvl="0" w:tplc="DD4E986A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5E2BE8"/>
    <w:multiLevelType w:val="hybridMultilevel"/>
    <w:tmpl w:val="B684890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>
      <w:start w:val="1"/>
      <w:numFmt w:val="lowerRoman"/>
      <w:lvlText w:val="%3."/>
      <w:lvlJc w:val="right"/>
      <w:pPr>
        <w:ind w:left="2880" w:hanging="180"/>
      </w:pPr>
    </w:lvl>
    <w:lvl w:ilvl="3" w:tplc="0405000F">
      <w:start w:val="1"/>
      <w:numFmt w:val="decimal"/>
      <w:lvlText w:val="%4."/>
      <w:lvlJc w:val="left"/>
      <w:pPr>
        <w:ind w:left="3600" w:hanging="360"/>
      </w:pPr>
    </w:lvl>
    <w:lvl w:ilvl="4" w:tplc="04050019">
      <w:start w:val="1"/>
      <w:numFmt w:val="lowerLetter"/>
      <w:lvlText w:val="%5."/>
      <w:lvlJc w:val="left"/>
      <w:pPr>
        <w:ind w:left="4320" w:hanging="360"/>
      </w:pPr>
    </w:lvl>
    <w:lvl w:ilvl="5" w:tplc="0405001B">
      <w:start w:val="1"/>
      <w:numFmt w:val="lowerRoman"/>
      <w:lvlText w:val="%6."/>
      <w:lvlJc w:val="right"/>
      <w:pPr>
        <w:ind w:left="5040" w:hanging="180"/>
      </w:pPr>
    </w:lvl>
    <w:lvl w:ilvl="6" w:tplc="0405000F">
      <w:start w:val="1"/>
      <w:numFmt w:val="decimal"/>
      <w:lvlText w:val="%7."/>
      <w:lvlJc w:val="left"/>
      <w:pPr>
        <w:ind w:left="5760" w:hanging="360"/>
      </w:pPr>
    </w:lvl>
    <w:lvl w:ilvl="7" w:tplc="04050019">
      <w:start w:val="1"/>
      <w:numFmt w:val="lowerLetter"/>
      <w:lvlText w:val="%8."/>
      <w:lvlJc w:val="left"/>
      <w:pPr>
        <w:ind w:left="6480" w:hanging="360"/>
      </w:pPr>
    </w:lvl>
    <w:lvl w:ilvl="8" w:tplc="0405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E53C6"/>
    <w:multiLevelType w:val="hybridMultilevel"/>
    <w:tmpl w:val="3C98DC4E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7"/>
  </w:num>
  <w:num w:numId="20">
    <w:abstractNumId w:val="23"/>
  </w:num>
  <w:num w:numId="21">
    <w:abstractNumId w:val="19"/>
  </w:num>
  <w:num w:numId="22">
    <w:abstractNumId w:val="10"/>
  </w:num>
  <w:num w:numId="23">
    <w:abstractNumId w:val="21"/>
  </w:num>
  <w:num w:numId="24">
    <w:abstractNumId w:val="28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6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58"/>
    <w:rsid w:val="00003F61"/>
    <w:rsid w:val="00005478"/>
    <w:rsid w:val="00005D26"/>
    <w:rsid w:val="00014C0A"/>
    <w:rsid w:val="00023C4B"/>
    <w:rsid w:val="00035D4C"/>
    <w:rsid w:val="0004162B"/>
    <w:rsid w:val="0005037C"/>
    <w:rsid w:val="000603EA"/>
    <w:rsid w:val="000649CB"/>
    <w:rsid w:val="000670B9"/>
    <w:rsid w:val="00070E77"/>
    <w:rsid w:val="000759C8"/>
    <w:rsid w:val="0008195A"/>
    <w:rsid w:val="000848A7"/>
    <w:rsid w:val="00087D77"/>
    <w:rsid w:val="000915A0"/>
    <w:rsid w:val="00095D5B"/>
    <w:rsid w:val="000B18A3"/>
    <w:rsid w:val="000B6DAD"/>
    <w:rsid w:val="000B7155"/>
    <w:rsid w:val="000B72E8"/>
    <w:rsid w:val="000C08A7"/>
    <w:rsid w:val="000D789A"/>
    <w:rsid w:val="000E5D77"/>
    <w:rsid w:val="000F1168"/>
    <w:rsid w:val="000F41CE"/>
    <w:rsid w:val="000F54D2"/>
    <w:rsid w:val="001002AD"/>
    <w:rsid w:val="00102A71"/>
    <w:rsid w:val="0011391B"/>
    <w:rsid w:val="00115A8E"/>
    <w:rsid w:val="00117BAB"/>
    <w:rsid w:val="00122CE6"/>
    <w:rsid w:val="00125D4F"/>
    <w:rsid w:val="00125F58"/>
    <w:rsid w:val="00127E6D"/>
    <w:rsid w:val="0013754E"/>
    <w:rsid w:val="00141F80"/>
    <w:rsid w:val="0015055F"/>
    <w:rsid w:val="00154C9A"/>
    <w:rsid w:val="00155B5D"/>
    <w:rsid w:val="001601D8"/>
    <w:rsid w:val="001670F7"/>
    <w:rsid w:val="001720BE"/>
    <w:rsid w:val="00174ED4"/>
    <w:rsid w:val="00190836"/>
    <w:rsid w:val="001A4C3D"/>
    <w:rsid w:val="001B49CC"/>
    <w:rsid w:val="001C14E3"/>
    <w:rsid w:val="001F3FE3"/>
    <w:rsid w:val="00200F24"/>
    <w:rsid w:val="00201AC2"/>
    <w:rsid w:val="00202E32"/>
    <w:rsid w:val="00204420"/>
    <w:rsid w:val="0021070D"/>
    <w:rsid w:val="00212BAE"/>
    <w:rsid w:val="00214429"/>
    <w:rsid w:val="002557E2"/>
    <w:rsid w:val="00286D6B"/>
    <w:rsid w:val="002A2A50"/>
    <w:rsid w:val="002A33DD"/>
    <w:rsid w:val="002A45A3"/>
    <w:rsid w:val="002A594E"/>
    <w:rsid w:val="002A6827"/>
    <w:rsid w:val="002B3267"/>
    <w:rsid w:val="002B6B3A"/>
    <w:rsid w:val="002F07D5"/>
    <w:rsid w:val="002F4C16"/>
    <w:rsid w:val="002F5FBA"/>
    <w:rsid w:val="00313768"/>
    <w:rsid w:val="0033043B"/>
    <w:rsid w:val="0033107E"/>
    <w:rsid w:val="003345C5"/>
    <w:rsid w:val="0033508E"/>
    <w:rsid w:val="00335F44"/>
    <w:rsid w:val="00340508"/>
    <w:rsid w:val="00351387"/>
    <w:rsid w:val="0036167B"/>
    <w:rsid w:val="00366FB4"/>
    <w:rsid w:val="00367394"/>
    <w:rsid w:val="00367C45"/>
    <w:rsid w:val="003847E2"/>
    <w:rsid w:val="00390EC2"/>
    <w:rsid w:val="00392201"/>
    <w:rsid w:val="003943FA"/>
    <w:rsid w:val="003A0CB6"/>
    <w:rsid w:val="003A735F"/>
    <w:rsid w:val="003B58E1"/>
    <w:rsid w:val="003B779D"/>
    <w:rsid w:val="003C4C2B"/>
    <w:rsid w:val="003C6D68"/>
    <w:rsid w:val="003C7F6B"/>
    <w:rsid w:val="003E012F"/>
    <w:rsid w:val="003E23D9"/>
    <w:rsid w:val="003F0780"/>
    <w:rsid w:val="00400CC6"/>
    <w:rsid w:val="004058B1"/>
    <w:rsid w:val="00424E13"/>
    <w:rsid w:val="00430552"/>
    <w:rsid w:val="0043537F"/>
    <w:rsid w:val="00446630"/>
    <w:rsid w:val="00447E5A"/>
    <w:rsid w:val="004528F5"/>
    <w:rsid w:val="00454E4C"/>
    <w:rsid w:val="0045521A"/>
    <w:rsid w:val="0047290D"/>
    <w:rsid w:val="0047468C"/>
    <w:rsid w:val="004753F3"/>
    <w:rsid w:val="00481147"/>
    <w:rsid w:val="00481580"/>
    <w:rsid w:val="00490B76"/>
    <w:rsid w:val="00496579"/>
    <w:rsid w:val="00496D6A"/>
    <w:rsid w:val="004A6DF8"/>
    <w:rsid w:val="004B70F6"/>
    <w:rsid w:val="004B7C1C"/>
    <w:rsid w:val="004D0B18"/>
    <w:rsid w:val="004D301A"/>
    <w:rsid w:val="004D7FA4"/>
    <w:rsid w:val="004E019B"/>
    <w:rsid w:val="004F0794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5921"/>
    <w:rsid w:val="00545EB4"/>
    <w:rsid w:val="0057606F"/>
    <w:rsid w:val="005761AD"/>
    <w:rsid w:val="005766A1"/>
    <w:rsid w:val="00586C9E"/>
    <w:rsid w:val="005A6C64"/>
    <w:rsid w:val="005A6FFF"/>
    <w:rsid w:val="005B44D9"/>
    <w:rsid w:val="005B5385"/>
    <w:rsid w:val="005C4A6E"/>
    <w:rsid w:val="005D04B5"/>
    <w:rsid w:val="005E10BF"/>
    <w:rsid w:val="005E4D03"/>
    <w:rsid w:val="005F49BC"/>
    <w:rsid w:val="006039A2"/>
    <w:rsid w:val="00605ED9"/>
    <w:rsid w:val="00616645"/>
    <w:rsid w:val="0062635B"/>
    <w:rsid w:val="00632450"/>
    <w:rsid w:val="00633D53"/>
    <w:rsid w:val="00647187"/>
    <w:rsid w:val="006513E6"/>
    <w:rsid w:val="0066482B"/>
    <w:rsid w:val="00681493"/>
    <w:rsid w:val="00685EC4"/>
    <w:rsid w:val="0069008E"/>
    <w:rsid w:val="00692C23"/>
    <w:rsid w:val="00696531"/>
    <w:rsid w:val="006A0B48"/>
    <w:rsid w:val="006A4EE9"/>
    <w:rsid w:val="006C4257"/>
    <w:rsid w:val="006C6612"/>
    <w:rsid w:val="006D00EF"/>
    <w:rsid w:val="006F180A"/>
    <w:rsid w:val="006F2BB8"/>
    <w:rsid w:val="006F6569"/>
    <w:rsid w:val="006F709B"/>
    <w:rsid w:val="00703396"/>
    <w:rsid w:val="007156EE"/>
    <w:rsid w:val="007170C4"/>
    <w:rsid w:val="00725C06"/>
    <w:rsid w:val="0073549B"/>
    <w:rsid w:val="00740815"/>
    <w:rsid w:val="0074172F"/>
    <w:rsid w:val="00753C2F"/>
    <w:rsid w:val="007545A9"/>
    <w:rsid w:val="00766054"/>
    <w:rsid w:val="00781671"/>
    <w:rsid w:val="007824C5"/>
    <w:rsid w:val="007911F8"/>
    <w:rsid w:val="007914FF"/>
    <w:rsid w:val="00795AA1"/>
    <w:rsid w:val="007A01EB"/>
    <w:rsid w:val="007B05C4"/>
    <w:rsid w:val="007B27C9"/>
    <w:rsid w:val="007C43FE"/>
    <w:rsid w:val="007C53F6"/>
    <w:rsid w:val="007F4753"/>
    <w:rsid w:val="00800BD1"/>
    <w:rsid w:val="008026BC"/>
    <w:rsid w:val="0080395F"/>
    <w:rsid w:val="00804CD9"/>
    <w:rsid w:val="00810758"/>
    <w:rsid w:val="0081518D"/>
    <w:rsid w:val="00833E0E"/>
    <w:rsid w:val="00834953"/>
    <w:rsid w:val="00854927"/>
    <w:rsid w:val="00867468"/>
    <w:rsid w:val="00870076"/>
    <w:rsid w:val="00880622"/>
    <w:rsid w:val="0089111A"/>
    <w:rsid w:val="008C5946"/>
    <w:rsid w:val="008C5BE2"/>
    <w:rsid w:val="008F68AB"/>
    <w:rsid w:val="00902624"/>
    <w:rsid w:val="0090475C"/>
    <w:rsid w:val="00923857"/>
    <w:rsid w:val="009245CE"/>
    <w:rsid w:val="00926A2A"/>
    <w:rsid w:val="00932AD9"/>
    <w:rsid w:val="009340A1"/>
    <w:rsid w:val="00935DBA"/>
    <w:rsid w:val="009361DD"/>
    <w:rsid w:val="0094307C"/>
    <w:rsid w:val="0094580D"/>
    <w:rsid w:val="009557D5"/>
    <w:rsid w:val="00964042"/>
    <w:rsid w:val="00966891"/>
    <w:rsid w:val="00974CB7"/>
    <w:rsid w:val="00983689"/>
    <w:rsid w:val="00985950"/>
    <w:rsid w:val="0099134E"/>
    <w:rsid w:val="00991B0D"/>
    <w:rsid w:val="0099732D"/>
    <w:rsid w:val="009A13D1"/>
    <w:rsid w:val="009A18F4"/>
    <w:rsid w:val="009A5697"/>
    <w:rsid w:val="009B1681"/>
    <w:rsid w:val="009B219A"/>
    <w:rsid w:val="009B6431"/>
    <w:rsid w:val="009D33D4"/>
    <w:rsid w:val="009E4664"/>
    <w:rsid w:val="009E711A"/>
    <w:rsid w:val="009E7D0E"/>
    <w:rsid w:val="00A059C6"/>
    <w:rsid w:val="00A22613"/>
    <w:rsid w:val="00A75FA7"/>
    <w:rsid w:val="00A76F12"/>
    <w:rsid w:val="00A82F78"/>
    <w:rsid w:val="00AA1C29"/>
    <w:rsid w:val="00AA7663"/>
    <w:rsid w:val="00AB2418"/>
    <w:rsid w:val="00AC20AF"/>
    <w:rsid w:val="00AC4AF0"/>
    <w:rsid w:val="00AC50BE"/>
    <w:rsid w:val="00AE42B6"/>
    <w:rsid w:val="00AF2D71"/>
    <w:rsid w:val="00AF5C22"/>
    <w:rsid w:val="00AF6114"/>
    <w:rsid w:val="00AF7B5F"/>
    <w:rsid w:val="00B01A85"/>
    <w:rsid w:val="00B049E0"/>
    <w:rsid w:val="00B04AAA"/>
    <w:rsid w:val="00B16A0E"/>
    <w:rsid w:val="00B256DB"/>
    <w:rsid w:val="00B35943"/>
    <w:rsid w:val="00B425C4"/>
    <w:rsid w:val="00B429DB"/>
    <w:rsid w:val="00B446DA"/>
    <w:rsid w:val="00B44C17"/>
    <w:rsid w:val="00B4597A"/>
    <w:rsid w:val="00B47E20"/>
    <w:rsid w:val="00B50A5B"/>
    <w:rsid w:val="00B83608"/>
    <w:rsid w:val="00B87A18"/>
    <w:rsid w:val="00B97B6A"/>
    <w:rsid w:val="00BC087C"/>
    <w:rsid w:val="00BC74F6"/>
    <w:rsid w:val="00BD79A3"/>
    <w:rsid w:val="00BE04A3"/>
    <w:rsid w:val="00BE6256"/>
    <w:rsid w:val="00BF41BB"/>
    <w:rsid w:val="00BF717A"/>
    <w:rsid w:val="00C02E31"/>
    <w:rsid w:val="00C114C5"/>
    <w:rsid w:val="00C11F1F"/>
    <w:rsid w:val="00C16284"/>
    <w:rsid w:val="00C6073D"/>
    <w:rsid w:val="00C6260F"/>
    <w:rsid w:val="00C65716"/>
    <w:rsid w:val="00C90490"/>
    <w:rsid w:val="00C9480F"/>
    <w:rsid w:val="00C97E93"/>
    <w:rsid w:val="00CA31B8"/>
    <w:rsid w:val="00CA51A0"/>
    <w:rsid w:val="00CA5DE5"/>
    <w:rsid w:val="00CA7B6D"/>
    <w:rsid w:val="00CB221B"/>
    <w:rsid w:val="00CB2ED9"/>
    <w:rsid w:val="00CB4426"/>
    <w:rsid w:val="00CC2272"/>
    <w:rsid w:val="00CC23F4"/>
    <w:rsid w:val="00CC599E"/>
    <w:rsid w:val="00CD3276"/>
    <w:rsid w:val="00CE3DA2"/>
    <w:rsid w:val="00CE48E6"/>
    <w:rsid w:val="00CE734B"/>
    <w:rsid w:val="00CF492B"/>
    <w:rsid w:val="00CF7959"/>
    <w:rsid w:val="00D11078"/>
    <w:rsid w:val="00D152AF"/>
    <w:rsid w:val="00D21A0E"/>
    <w:rsid w:val="00D223AC"/>
    <w:rsid w:val="00D24B28"/>
    <w:rsid w:val="00D2662F"/>
    <w:rsid w:val="00D322E6"/>
    <w:rsid w:val="00D3510B"/>
    <w:rsid w:val="00D355C7"/>
    <w:rsid w:val="00D66255"/>
    <w:rsid w:val="00D71D0F"/>
    <w:rsid w:val="00D7226A"/>
    <w:rsid w:val="00D861C0"/>
    <w:rsid w:val="00DA4DA9"/>
    <w:rsid w:val="00DA6AB4"/>
    <w:rsid w:val="00DB081A"/>
    <w:rsid w:val="00DB27F5"/>
    <w:rsid w:val="00DD7BC0"/>
    <w:rsid w:val="00DE03DB"/>
    <w:rsid w:val="00DE3F2B"/>
    <w:rsid w:val="00DF0211"/>
    <w:rsid w:val="00DF04E2"/>
    <w:rsid w:val="00DF4D29"/>
    <w:rsid w:val="00E130CA"/>
    <w:rsid w:val="00E15292"/>
    <w:rsid w:val="00E202F8"/>
    <w:rsid w:val="00E2285E"/>
    <w:rsid w:val="00E315B6"/>
    <w:rsid w:val="00E323A7"/>
    <w:rsid w:val="00E33140"/>
    <w:rsid w:val="00E705A5"/>
    <w:rsid w:val="00E70F62"/>
    <w:rsid w:val="00E810A9"/>
    <w:rsid w:val="00E8351E"/>
    <w:rsid w:val="00E86653"/>
    <w:rsid w:val="00E91720"/>
    <w:rsid w:val="00EC1BEC"/>
    <w:rsid w:val="00EC6193"/>
    <w:rsid w:val="00ED0C31"/>
    <w:rsid w:val="00EE17DD"/>
    <w:rsid w:val="00EE2FEA"/>
    <w:rsid w:val="00EE380C"/>
    <w:rsid w:val="00EE455E"/>
    <w:rsid w:val="00F00B56"/>
    <w:rsid w:val="00F12C50"/>
    <w:rsid w:val="00F313D3"/>
    <w:rsid w:val="00F370FE"/>
    <w:rsid w:val="00F42853"/>
    <w:rsid w:val="00F44DD3"/>
    <w:rsid w:val="00F56DEB"/>
    <w:rsid w:val="00F60EE5"/>
    <w:rsid w:val="00F75D13"/>
    <w:rsid w:val="00F82BA1"/>
    <w:rsid w:val="00F87735"/>
    <w:rsid w:val="00F9728F"/>
    <w:rsid w:val="00FB0CA1"/>
    <w:rsid w:val="00FB73B6"/>
    <w:rsid w:val="00FC2873"/>
    <w:rsid w:val="00FD5D45"/>
    <w:rsid w:val="00FE6D7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5C7A0558-1A73-4008-B82F-163B1264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4F0794"/>
    <w:rPr>
      <w:sz w:val="24"/>
      <w:szCs w:val="24"/>
    </w:rPr>
  </w:style>
  <w:style w:type="paragraph" w:styleId="Nadpis1">
    <w:name w:val="heading 1"/>
    <w:basedOn w:val="Zkladntextodsazen"/>
    <w:next w:val="Normln"/>
    <w:link w:val="Nadpis1Char"/>
    <w:uiPriority w:val="2"/>
    <w:qFormat/>
    <w:rsid w:val="00EE17DD"/>
    <w:pPr>
      <w:keepNext/>
      <w:ind w:firstLine="0"/>
      <w:contextualSpacing/>
      <w:jc w:val="center"/>
      <w:outlineLvl w:val="0"/>
    </w:pPr>
    <w:rPr>
      <w:b/>
      <w:sz w:val="26"/>
      <w:szCs w:val="26"/>
    </w:rPr>
  </w:style>
  <w:style w:type="paragraph" w:styleId="Nadpis2">
    <w:name w:val="heading 2"/>
    <w:basedOn w:val="Nadpis3"/>
    <w:uiPriority w:val="2"/>
    <w:qFormat/>
    <w:rsid w:val="00DF4D29"/>
    <w:pPr>
      <w:keepNext/>
      <w:contextualSpacing/>
      <w:outlineLvl w:val="1"/>
    </w:pPr>
  </w:style>
  <w:style w:type="paragraph" w:styleId="Nadpis3">
    <w:name w:val="heading 3"/>
    <w:basedOn w:val="Zkladntextodsazen"/>
    <w:next w:val="Normln"/>
    <w:semiHidden/>
    <w:unhideWhenUsed/>
    <w:qFormat/>
    <w:rsid w:val="002A6827"/>
    <w:pPr>
      <w:ind w:firstLine="0"/>
      <w:jc w:val="left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qFormat/>
    <w:rsid w:val="00200F24"/>
    <w:pPr>
      <w:spacing w:before="240" w:after="240"/>
      <w:ind w:firstLine="720"/>
      <w:jc w:val="both"/>
    </w:pPr>
  </w:style>
  <w:style w:type="paragraph" w:styleId="Zkladntext">
    <w:name w:val="Body Text"/>
    <w:basedOn w:val="Normln"/>
    <w:link w:val="ZkladntextChar"/>
    <w:qFormat/>
    <w:rsid w:val="009A13D1"/>
    <w:pPr>
      <w:spacing w:before="240" w:after="240"/>
    </w:pPr>
  </w:style>
  <w:style w:type="paragraph" w:customStyle="1" w:styleId="podpis">
    <w:name w:val="podpis"/>
    <w:basedOn w:val="Normln"/>
    <w:uiPriority w:val="5"/>
    <w:rsid w:val="00AF7B5F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47290D"/>
    <w:pPr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3"/>
    <w:rsid w:val="0047290D"/>
    <w:rPr>
      <w:rFonts w:ascii="Arial" w:hAnsi="Arial"/>
      <w:b w:val="0"/>
      <w:i w:val="0"/>
      <w:strike w:val="0"/>
      <w:dstrike w:val="0"/>
      <w:sz w:val="24"/>
      <w:vertAlign w:val="superscript"/>
    </w:rPr>
  </w:style>
  <w:style w:type="character" w:customStyle="1" w:styleId="ZkladntextodsazenChar">
    <w:name w:val="Základní text odsazený Char"/>
    <w:link w:val="Zkladntextodsazen"/>
    <w:rsid w:val="00200F24"/>
  </w:style>
  <w:style w:type="character" w:styleId="Hypertextovodkaz">
    <w:name w:val="Hyperlink"/>
    <w:uiPriority w:val="99"/>
    <w:qFormat/>
    <w:rsid w:val="005766A1"/>
    <w:rPr>
      <w:rFonts w:ascii="Arial" w:hAnsi="Arial"/>
      <w:color w:val="0000FF"/>
      <w:sz w:val="24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9A13D1"/>
  </w:style>
  <w:style w:type="character" w:customStyle="1" w:styleId="TextpoznpodarouChar">
    <w:name w:val="Text pozn. pod čarou Char"/>
    <w:link w:val="Textpoznpodarou"/>
    <w:uiPriority w:val="3"/>
    <w:rsid w:val="009361DD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EE17DD"/>
    <w:rPr>
      <w:b/>
      <w:sz w:val="26"/>
      <w:szCs w:val="26"/>
    </w:rPr>
  </w:style>
  <w:style w:type="paragraph" w:styleId="Seznam">
    <w:name w:val="List"/>
    <w:basedOn w:val="Normln"/>
    <w:uiPriority w:val="3"/>
    <w:rsid w:val="006F2BB8"/>
    <w:pPr>
      <w:numPr>
        <w:numId w:val="16"/>
      </w:numPr>
      <w:spacing w:before="120" w:after="120"/>
      <w:ind w:hanging="720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69008E"/>
    <w:pPr>
      <w:numPr>
        <w:numId w:val="18"/>
      </w:numPr>
      <w:spacing w:before="120" w:after="120"/>
      <w:ind w:left="709" w:hanging="709"/>
      <w:jc w:val="both"/>
    </w:pPr>
  </w:style>
  <w:style w:type="paragraph" w:customStyle="1" w:styleId="datumaznaka">
    <w:name w:val="datum a značka"/>
    <w:basedOn w:val="Normln"/>
    <w:rsid w:val="000C08A7"/>
    <w:pPr>
      <w:autoSpaceDE w:val="0"/>
      <w:autoSpaceDN w:val="0"/>
      <w:adjustRightInd w:val="0"/>
      <w:ind w:left="5812"/>
    </w:pPr>
  </w:style>
  <w:style w:type="paragraph" w:customStyle="1" w:styleId="hlavikaVOP">
    <w:name w:val="hlavička VOP"/>
    <w:basedOn w:val="Normln"/>
    <w:next w:val="hlavikaVOP2"/>
    <w:rsid w:val="007B05C4"/>
    <w:pPr>
      <w:tabs>
        <w:tab w:val="left" w:pos="3969"/>
        <w:tab w:val="left" w:pos="4678"/>
      </w:tabs>
      <w:ind w:right="5242"/>
    </w:pPr>
    <w:rPr>
      <w:rFonts w:cs="Arial"/>
      <w:b/>
      <w:bCs/>
      <w:i/>
      <w:iCs/>
      <w:sz w:val="32"/>
      <w:szCs w:val="32"/>
    </w:rPr>
  </w:style>
  <w:style w:type="paragraph" w:customStyle="1" w:styleId="hlavikaVOP2">
    <w:name w:val="hlavička VOP 2"/>
    <w:basedOn w:val="Normln"/>
    <w:next w:val="Normln"/>
    <w:rsid w:val="007B05C4"/>
    <w:pPr>
      <w:ind w:right="5101"/>
    </w:pPr>
    <w:rPr>
      <w:rFonts w:cs="Arial"/>
      <w:i/>
      <w:iCs/>
      <w:sz w:val="32"/>
      <w:szCs w:val="32"/>
    </w:rPr>
  </w:style>
  <w:style w:type="paragraph" w:customStyle="1" w:styleId="hlavikaZVOP">
    <w:name w:val="hlavička ZVOP"/>
    <w:basedOn w:val="Normln"/>
    <w:next w:val="hlavikaZVOP2"/>
    <w:rsid w:val="005C4A6E"/>
    <w:pPr>
      <w:ind w:right="3685"/>
    </w:pPr>
    <w:rPr>
      <w:b/>
      <w:i/>
      <w:sz w:val="32"/>
    </w:rPr>
  </w:style>
  <w:style w:type="paragraph" w:customStyle="1" w:styleId="hlavikaZVOP2">
    <w:name w:val="hlavička ZVOP 2"/>
    <w:basedOn w:val="Normln"/>
    <w:next w:val="Normln"/>
    <w:rsid w:val="000C08A7"/>
    <w:pPr>
      <w:ind w:right="3825"/>
      <w:jc w:val="center"/>
    </w:pPr>
    <w:rPr>
      <w:i/>
      <w:sz w:val="32"/>
    </w:rPr>
  </w:style>
  <w:style w:type="paragraph" w:customStyle="1" w:styleId="kontakt">
    <w:name w:val="kontakt"/>
    <w:basedOn w:val="Normln"/>
    <w:uiPriority w:val="99"/>
    <w:rsid w:val="00964042"/>
    <w:pPr>
      <w:jc w:val="center"/>
    </w:pPr>
    <w:rPr>
      <w:sz w:val="18"/>
      <w:szCs w:val="20"/>
    </w:rPr>
  </w:style>
  <w:style w:type="paragraph" w:customStyle="1" w:styleId="zkoncitace">
    <w:name w:val="zákon (citace)"/>
    <w:basedOn w:val="Normln"/>
    <w:qFormat/>
    <w:rsid w:val="00867468"/>
    <w:pPr>
      <w:jc w:val="both"/>
    </w:pPr>
    <w:rPr>
      <w:i/>
      <w:sz w:val="22"/>
    </w:rPr>
  </w:style>
  <w:style w:type="paragraph" w:customStyle="1" w:styleId="zkon-nadpis">
    <w:name w:val="zákon - nadpis"/>
    <w:basedOn w:val="Normln"/>
    <w:next w:val="zkoncitace"/>
    <w:rsid w:val="009D33D4"/>
    <w:pPr>
      <w:spacing w:before="120" w:after="120"/>
      <w:jc w:val="both"/>
    </w:pPr>
    <w:rPr>
      <w:b/>
      <w:sz w:val="22"/>
    </w:rPr>
  </w:style>
  <w:style w:type="paragraph" w:customStyle="1" w:styleId="Styl1">
    <w:name w:val="Styl1"/>
    <w:basedOn w:val="datumaznaka"/>
    <w:rsid w:val="005B44D9"/>
    <w:pPr>
      <w:ind w:left="66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soud.cz/Judikaturans_new/judikatura_vks.nsf/uvod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um_x0020_vzniku xmlns="7aea5b64-986d-4ed0-9f25-146f1d978e9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707BB-6D85-4D93-942A-C7D98A302CF9}"/>
</file>

<file path=customXml/itemProps2.xml><?xml version="1.0" encoding="utf-8"?>
<ds:datastoreItem xmlns:ds="http://schemas.openxmlformats.org/officeDocument/2006/customXml" ds:itemID="{4F0B13F4-CFBA-4346-AB9B-01FEC850304B}"/>
</file>

<file path=customXml/itemProps3.xml><?xml version="1.0" encoding="utf-8"?>
<ds:datastoreItem xmlns:ds="http://schemas.openxmlformats.org/officeDocument/2006/customXml" ds:itemID="{2C7BAC58-3F80-4B2A-A518-AA64BF3C58DC}"/>
</file>

<file path=customXml/itemProps4.xml><?xml version="1.0" encoding="utf-8"?>
<ds:datastoreItem xmlns:ds="http://schemas.openxmlformats.org/officeDocument/2006/customXml" ds:itemID="{5E36BDAE-CDA8-40FC-B7EF-CB38B6B1CD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5070</CharactersWithSpaces>
  <SharedDoc>false</SharedDoc>
  <HLinks>
    <vt:vector size="12" baseType="variant">
      <vt:variant>
        <vt:i4>7995433</vt:i4>
      </vt:variant>
      <vt:variant>
        <vt:i4>3</vt:i4>
      </vt:variant>
      <vt:variant>
        <vt:i4>0</vt:i4>
      </vt:variant>
      <vt:variant>
        <vt:i4>5</vt:i4>
      </vt:variant>
      <vt:variant>
        <vt:lpwstr>http://www.ochrance.cz/</vt:lpwstr>
      </vt:variant>
      <vt:variant>
        <vt:lpwstr/>
      </vt:variant>
      <vt:variant>
        <vt:i4>6160502</vt:i4>
      </vt:variant>
      <vt:variant>
        <vt:i4>0</vt:i4>
      </vt:variant>
      <vt:variant>
        <vt:i4>0</vt:i4>
      </vt:variant>
      <vt:variant>
        <vt:i4>5</vt:i4>
      </vt:variant>
      <vt:variant>
        <vt:lpwstr>mailto:podatelna@ochrance.cz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Poledňová Soňa</dc:creator>
  <cp:lastModifiedBy>Švoma Jaroslav Mgr.</cp:lastModifiedBy>
  <cp:revision>2</cp:revision>
  <cp:lastPrinted>2014-02-17T16:57:00Z</cp:lastPrinted>
  <dcterms:created xsi:type="dcterms:W3CDTF">2020-04-21T06:56:00Z</dcterms:created>
  <dcterms:modified xsi:type="dcterms:W3CDTF">2020-04-21T06:56:00Z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