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5B84D" w14:textId="77777777" w:rsidR="00656773" w:rsidRDefault="00656773" w:rsidP="00152F20">
      <w:pPr>
        <w:jc w:val="both"/>
        <w:rPr>
          <w:rFonts w:cstheme="minorHAnsi"/>
          <w:b/>
          <w:u w:val="single"/>
        </w:rPr>
      </w:pPr>
      <w:bookmarkStart w:id="0" w:name="_GoBack"/>
      <w:bookmarkEnd w:id="0"/>
    </w:p>
    <w:p w14:paraId="3A958A1C" w14:textId="2B88F117" w:rsidR="002A5D0C" w:rsidRPr="00656773" w:rsidRDefault="002A5D0C" w:rsidP="00152F20">
      <w:pPr>
        <w:jc w:val="both"/>
        <w:rPr>
          <w:rFonts w:cstheme="minorHAnsi"/>
          <w:b/>
          <w:sz w:val="24"/>
          <w:u w:val="single"/>
        </w:rPr>
      </w:pPr>
      <w:r w:rsidRPr="00656773">
        <w:rPr>
          <w:rFonts w:cstheme="minorHAnsi"/>
          <w:b/>
          <w:sz w:val="24"/>
          <w:u w:val="single"/>
        </w:rPr>
        <w:t>Vznik národní lidskoprávní instituce v České republice – v čem se lze inspirovat v Norsku?</w:t>
      </w:r>
    </w:p>
    <w:p w14:paraId="15E02EB0" w14:textId="77777777" w:rsidR="00D02982" w:rsidRPr="00152F20" w:rsidRDefault="00D02982" w:rsidP="00152F20">
      <w:pPr>
        <w:jc w:val="both"/>
        <w:rPr>
          <w:rFonts w:cstheme="minorHAnsi"/>
        </w:rPr>
      </w:pPr>
      <w:r w:rsidRPr="00152F20">
        <w:rPr>
          <w:rFonts w:cstheme="minorHAnsi"/>
        </w:rPr>
        <w:t xml:space="preserve">Kristin Høgdahl, </w:t>
      </w:r>
      <w:r w:rsidRPr="00152F20">
        <w:rPr>
          <w:rFonts w:cstheme="minorHAnsi"/>
          <w:i/>
        </w:rPr>
        <w:t>Norges institusjon for menneskerettigheter, Oslo, Norské království</w:t>
      </w:r>
    </w:p>
    <w:p w14:paraId="546BD999" w14:textId="77777777" w:rsidR="00D02982" w:rsidRPr="00152F20" w:rsidRDefault="00D02982" w:rsidP="00152F20">
      <w:pPr>
        <w:jc w:val="both"/>
        <w:rPr>
          <w:rFonts w:cstheme="minorHAnsi"/>
          <w:i/>
        </w:rPr>
      </w:pPr>
      <w:r w:rsidRPr="00152F20">
        <w:rPr>
          <w:rFonts w:cstheme="minorHAnsi"/>
        </w:rPr>
        <w:t xml:space="preserve">Roman Zapletal, </w:t>
      </w:r>
      <w:r w:rsidRPr="00152F20">
        <w:rPr>
          <w:rFonts w:cstheme="minorHAnsi"/>
          <w:i/>
        </w:rPr>
        <w:t>Kancelář veřejného ochránce práv, Brno, Česká republika</w:t>
      </w:r>
    </w:p>
    <w:p w14:paraId="48879D3F" w14:textId="77777777" w:rsidR="00D02982" w:rsidRPr="00152F20" w:rsidRDefault="00D02982" w:rsidP="00152F20">
      <w:pPr>
        <w:jc w:val="both"/>
        <w:rPr>
          <w:rFonts w:cstheme="minorHAnsi"/>
        </w:rPr>
      </w:pPr>
    </w:p>
    <w:p w14:paraId="15A84B7D" w14:textId="2BA52A8C" w:rsidR="00DB10E7" w:rsidRPr="00152F20" w:rsidRDefault="00DB10E7" w:rsidP="00152F20">
      <w:pPr>
        <w:jc w:val="both"/>
        <w:rPr>
          <w:rFonts w:cstheme="minorHAnsi"/>
          <w:b/>
          <w:i/>
        </w:rPr>
      </w:pPr>
      <w:r w:rsidRPr="00152F20">
        <w:rPr>
          <w:rFonts w:cstheme="minorHAnsi"/>
          <w:b/>
          <w:i/>
        </w:rPr>
        <w:t xml:space="preserve">Česká republika je </w:t>
      </w:r>
      <w:r w:rsidR="00FC7E7C" w:rsidRPr="00152F20">
        <w:rPr>
          <w:rFonts w:cstheme="minorHAnsi"/>
          <w:b/>
          <w:i/>
        </w:rPr>
        <w:t>společně s Maltou a Itálií</w:t>
      </w:r>
      <w:r w:rsidRPr="00152F20">
        <w:rPr>
          <w:rFonts w:cstheme="minorHAnsi"/>
          <w:b/>
          <w:i/>
        </w:rPr>
        <w:t xml:space="preserve"> </w:t>
      </w:r>
      <w:r w:rsidR="00FC7E7C" w:rsidRPr="00152F20">
        <w:rPr>
          <w:rFonts w:cstheme="minorHAnsi"/>
          <w:b/>
          <w:i/>
        </w:rPr>
        <w:t xml:space="preserve">v rámci EU </w:t>
      </w:r>
      <w:r w:rsidRPr="00152F20">
        <w:rPr>
          <w:rFonts w:cstheme="minorHAnsi"/>
          <w:b/>
          <w:i/>
        </w:rPr>
        <w:t>jednou z posledních zemí, v nichž dosud nebyla zřízena a akreditována vnitrostátní instituce s širokým mandátem k ochraně a prosazování lidských práv (tzv. národní lidskoprávní instituce, NHRI). Česko za tento nedostatek dlouhodobě čelí kritice,</w:t>
      </w:r>
      <w:r w:rsidR="00FC7E7C" w:rsidRPr="00152F20">
        <w:rPr>
          <w:rFonts w:cstheme="minorHAnsi"/>
          <w:b/>
          <w:i/>
        </w:rPr>
        <w:t xml:space="preserve"> a to jak setrvalé mezinárodní ze strany OSN, Rady Evropy i EU</w:t>
      </w:r>
      <w:r w:rsidRPr="00152F20">
        <w:rPr>
          <w:rFonts w:cstheme="minorHAnsi"/>
          <w:b/>
          <w:i/>
        </w:rPr>
        <w:t>, tak i v poslední</w:t>
      </w:r>
      <w:r w:rsidR="00FC7E7C" w:rsidRPr="00152F20">
        <w:rPr>
          <w:rFonts w:cstheme="minorHAnsi"/>
          <w:b/>
          <w:i/>
        </w:rPr>
        <w:t xml:space="preserve">ch letech stále sílící lokální </w:t>
      </w:r>
      <w:r w:rsidRPr="00152F20">
        <w:rPr>
          <w:rFonts w:cstheme="minorHAnsi"/>
          <w:b/>
          <w:i/>
        </w:rPr>
        <w:t>ze strany zástupc</w:t>
      </w:r>
      <w:r w:rsidR="00FC7E7C" w:rsidRPr="00152F20">
        <w:rPr>
          <w:rFonts w:cstheme="minorHAnsi"/>
          <w:b/>
          <w:i/>
        </w:rPr>
        <w:t>ů tuzemské občanské společnosti</w:t>
      </w:r>
      <w:r w:rsidRPr="00152F20">
        <w:rPr>
          <w:rFonts w:cstheme="minorHAnsi"/>
          <w:b/>
          <w:i/>
        </w:rPr>
        <w:t xml:space="preserve">. </w:t>
      </w:r>
      <w:r w:rsidR="00C31F11" w:rsidRPr="00152F20">
        <w:rPr>
          <w:rFonts w:cstheme="minorHAnsi"/>
          <w:b/>
          <w:i/>
        </w:rPr>
        <w:t>Současný</w:t>
      </w:r>
      <w:r w:rsidRPr="00152F20">
        <w:rPr>
          <w:rFonts w:cstheme="minorHAnsi"/>
          <w:b/>
          <w:i/>
        </w:rPr>
        <w:t xml:space="preserve"> </w:t>
      </w:r>
      <w:r w:rsidR="00C31F11" w:rsidRPr="00152F20">
        <w:rPr>
          <w:rFonts w:cstheme="minorHAnsi"/>
          <w:b/>
          <w:i/>
        </w:rPr>
        <w:t>legislativní</w:t>
      </w:r>
      <w:r w:rsidRPr="00152F20">
        <w:rPr>
          <w:rFonts w:cstheme="minorHAnsi"/>
          <w:b/>
          <w:i/>
        </w:rPr>
        <w:t xml:space="preserve"> vývoj</w:t>
      </w:r>
      <w:r w:rsidR="00FC7E7C" w:rsidRPr="00152F20">
        <w:rPr>
          <w:rFonts w:cstheme="minorHAnsi"/>
          <w:b/>
          <w:i/>
        </w:rPr>
        <w:t xml:space="preserve"> v podobě vládního návrhu </w:t>
      </w:r>
      <w:r w:rsidR="00C31F11" w:rsidRPr="00152F20">
        <w:rPr>
          <w:rFonts w:cstheme="minorHAnsi"/>
          <w:b/>
          <w:i/>
        </w:rPr>
        <w:t>p</w:t>
      </w:r>
      <w:r w:rsidRPr="00152F20">
        <w:rPr>
          <w:rFonts w:cstheme="minorHAnsi"/>
          <w:b/>
          <w:i/>
        </w:rPr>
        <w:t>ředpokl</w:t>
      </w:r>
      <w:r w:rsidR="00C31F11" w:rsidRPr="00152F20">
        <w:rPr>
          <w:rFonts w:cstheme="minorHAnsi"/>
          <w:b/>
          <w:i/>
        </w:rPr>
        <w:t>ádá</w:t>
      </w:r>
      <w:r w:rsidRPr="00152F20">
        <w:rPr>
          <w:rFonts w:cstheme="minorHAnsi"/>
          <w:b/>
          <w:i/>
        </w:rPr>
        <w:t xml:space="preserve"> svěření mandátu NHRI úřadu ombudsmana (Kanceláři veřejného ochránce práv) prostřednictvím novelizace zákona o veřejném ochránci práv</w:t>
      </w:r>
      <w:r w:rsidR="00C31F11" w:rsidRPr="00152F20">
        <w:rPr>
          <w:rFonts w:cstheme="minorHAnsi"/>
          <w:b/>
          <w:i/>
        </w:rPr>
        <w:t xml:space="preserve">. Proto </w:t>
      </w:r>
      <w:r w:rsidRPr="00152F20">
        <w:rPr>
          <w:rFonts w:cstheme="minorHAnsi"/>
          <w:b/>
          <w:i/>
        </w:rPr>
        <w:t xml:space="preserve">lze </w:t>
      </w:r>
      <w:r w:rsidR="00FC7E7C" w:rsidRPr="00152F20">
        <w:rPr>
          <w:rFonts w:cstheme="minorHAnsi"/>
          <w:b/>
          <w:i/>
        </w:rPr>
        <w:t xml:space="preserve">nyní </w:t>
      </w:r>
      <w:r w:rsidRPr="00152F20">
        <w:rPr>
          <w:rFonts w:cstheme="minorHAnsi"/>
          <w:b/>
          <w:i/>
        </w:rPr>
        <w:t xml:space="preserve">považovat za vhodné seznámit se blíže </w:t>
      </w:r>
      <w:r w:rsidR="00FC7E7C" w:rsidRPr="00152F20">
        <w:rPr>
          <w:rFonts w:cstheme="minorHAnsi"/>
          <w:b/>
          <w:i/>
        </w:rPr>
        <w:t>s tím, co je to NHRI v praxi a jakou přidanou hodnotu bude mít ke stěžejnímu zaměření ombudsmana na individuální stížnosti.</w:t>
      </w:r>
      <w:r w:rsidR="00C31F11" w:rsidRPr="00152F20">
        <w:rPr>
          <w:rFonts w:cstheme="minorHAnsi"/>
          <w:b/>
          <w:i/>
        </w:rPr>
        <w:t xml:space="preserve"> </w:t>
      </w:r>
      <w:r w:rsidR="005F5C69" w:rsidRPr="00152F20">
        <w:rPr>
          <w:rFonts w:cstheme="minorHAnsi"/>
          <w:b/>
          <w:i/>
        </w:rPr>
        <w:t>Norská zkušenost zde může dobře posloužit jako cenný zdroj inspirace, protože se orientuje na širší obraz systémových nedostatků, které mohou být příčinou jednotlivých stížností nebo mohou být zcela přehlíženy.</w:t>
      </w:r>
    </w:p>
    <w:p w14:paraId="7464A677" w14:textId="77777777" w:rsidR="00DB10E7" w:rsidRPr="00152F20" w:rsidRDefault="00DB10E7" w:rsidP="00152F20">
      <w:pPr>
        <w:jc w:val="both"/>
        <w:rPr>
          <w:rFonts w:cstheme="minorHAnsi"/>
        </w:rPr>
      </w:pPr>
    </w:p>
    <w:p w14:paraId="6EE43AA9" w14:textId="6AFFB3CB" w:rsidR="005F5C69" w:rsidRPr="00152F20" w:rsidRDefault="005F5C69" w:rsidP="00152F20">
      <w:pPr>
        <w:jc w:val="both"/>
        <w:rPr>
          <w:rFonts w:cstheme="minorHAnsi"/>
        </w:rPr>
      </w:pPr>
      <w:r w:rsidRPr="00152F20">
        <w:rPr>
          <w:rFonts w:cstheme="minorHAnsi"/>
        </w:rPr>
        <w:t>Cílem tohoto článku</w:t>
      </w:r>
      <w:r w:rsidRPr="00152F20">
        <w:rPr>
          <w:rStyle w:val="Znakapoznpodarou"/>
          <w:rFonts w:cstheme="minorHAnsi"/>
        </w:rPr>
        <w:footnoteReference w:id="1"/>
      </w:r>
      <w:r w:rsidRPr="00152F20">
        <w:rPr>
          <w:rFonts w:cstheme="minorHAnsi"/>
        </w:rPr>
        <w:t xml:space="preserve"> je poskytnout informativní přehled mezinárodních požadavků, které musí splňovat národní lidskoprávní instituce, a to na základě klíčových aspektů činnosti Norské národní instituce pro lidská práva (</w:t>
      </w:r>
      <w:r w:rsidRPr="00152F20">
        <w:rPr>
          <w:rFonts w:cstheme="minorHAnsi"/>
          <w:i/>
        </w:rPr>
        <w:t>Norges institusjon for menneskerettigheter</w:t>
      </w:r>
      <w:r w:rsidR="00442CFD" w:rsidRPr="00152F20">
        <w:rPr>
          <w:rFonts w:cstheme="minorHAnsi"/>
        </w:rPr>
        <w:t>, dále jen „</w:t>
      </w:r>
      <w:r w:rsidRPr="00152F20">
        <w:rPr>
          <w:rFonts w:cstheme="minorHAnsi"/>
        </w:rPr>
        <w:t>norská NHRI</w:t>
      </w:r>
      <w:r w:rsidR="00442CFD" w:rsidRPr="00152F20">
        <w:rPr>
          <w:rFonts w:cstheme="minorHAnsi"/>
        </w:rPr>
        <w:t>“</w:t>
      </w:r>
      <w:r w:rsidRPr="00152F20">
        <w:rPr>
          <w:rFonts w:cstheme="minorHAnsi"/>
        </w:rPr>
        <w:t>)</w:t>
      </w:r>
      <w:r w:rsidR="00442CFD" w:rsidRPr="00152F20">
        <w:rPr>
          <w:rFonts w:cstheme="minorHAnsi"/>
        </w:rPr>
        <w:t>. Lze se domnívat, že některé osvědčené postupy mohou být přenositelné do českého prostředí a aplikovatelné v rámci Kanceláře veřejného ochránce práv (dále jen „Kancelář“) v případě, že jí bude svěřen mandát národní lidskoprávní instituce (dále jen „NHRI“).</w:t>
      </w:r>
    </w:p>
    <w:p w14:paraId="54531BF0" w14:textId="44A043A7" w:rsidR="001F347A" w:rsidRPr="00152F20" w:rsidRDefault="00442CFD" w:rsidP="00152F20">
      <w:pPr>
        <w:jc w:val="both"/>
        <w:rPr>
          <w:rFonts w:cstheme="minorHAnsi"/>
        </w:rPr>
      </w:pPr>
      <w:r w:rsidRPr="00152F20">
        <w:rPr>
          <w:rFonts w:cstheme="minorHAnsi"/>
        </w:rPr>
        <w:t>NHRI</w:t>
      </w:r>
      <w:r w:rsidR="001F347A" w:rsidRPr="00152F20">
        <w:rPr>
          <w:rFonts w:cstheme="minorHAnsi"/>
        </w:rPr>
        <w:t xml:space="preserve"> lze charakterizovat jako </w:t>
      </w:r>
      <w:r w:rsidR="001F347A" w:rsidRPr="00152F20">
        <w:rPr>
          <w:rFonts w:cstheme="minorHAnsi"/>
          <w:b/>
        </w:rPr>
        <w:t xml:space="preserve">nezávislé </w:t>
      </w:r>
      <w:r w:rsidRPr="00152F20">
        <w:rPr>
          <w:rFonts w:cstheme="minorHAnsi"/>
          <w:b/>
        </w:rPr>
        <w:t xml:space="preserve">a pluralitní </w:t>
      </w:r>
      <w:r w:rsidR="001F347A" w:rsidRPr="00152F20">
        <w:rPr>
          <w:rFonts w:cstheme="minorHAnsi"/>
          <w:b/>
        </w:rPr>
        <w:t>expertní instituce, jimž je na základě (ústavního) zákona svěřen široký mandát k ochraně a prosazování lidských práv.</w:t>
      </w:r>
      <w:r w:rsidR="001F347A" w:rsidRPr="00152F20">
        <w:rPr>
          <w:rFonts w:cstheme="minorHAnsi"/>
        </w:rPr>
        <w:t xml:space="preserve"> Za tímto účelem musejí </w:t>
      </w:r>
      <w:r w:rsidR="00D651D4" w:rsidRPr="00152F20">
        <w:rPr>
          <w:rFonts w:cstheme="minorHAnsi"/>
        </w:rPr>
        <w:t xml:space="preserve">NHRI </w:t>
      </w:r>
      <w:r w:rsidR="001F347A" w:rsidRPr="00152F20">
        <w:rPr>
          <w:rFonts w:cstheme="minorHAnsi"/>
        </w:rPr>
        <w:t xml:space="preserve">dodržovat tzv. </w:t>
      </w:r>
      <w:r w:rsidR="001F347A" w:rsidRPr="00152F20">
        <w:rPr>
          <w:rFonts w:cstheme="minorHAnsi"/>
          <w:b/>
          <w:bCs/>
        </w:rPr>
        <w:t>Pařížské principy</w:t>
      </w:r>
      <w:r w:rsidR="001F347A" w:rsidRPr="00152F20">
        <w:rPr>
          <w:rFonts w:cstheme="minorHAnsi"/>
        </w:rPr>
        <w:t>,</w:t>
      </w:r>
      <w:r w:rsidR="00FE31E7" w:rsidRPr="00152F20">
        <w:rPr>
          <w:rStyle w:val="Znakapoznpodarou"/>
          <w:rFonts w:cstheme="minorHAnsi"/>
        </w:rPr>
        <w:footnoteReference w:id="2"/>
      </w:r>
      <w:r w:rsidR="001F347A" w:rsidRPr="00152F20">
        <w:rPr>
          <w:rFonts w:cstheme="minorHAnsi"/>
        </w:rPr>
        <w:t xml:space="preserve"> vyjadřující souhrn pravidel a předpokladů pro úspěšnou akreditaci udělovanou Podvýborem pro akreditaci </w:t>
      </w:r>
      <w:r w:rsidR="00D651D4" w:rsidRPr="00152F20">
        <w:rPr>
          <w:rFonts w:cstheme="minorHAnsi"/>
        </w:rPr>
        <w:t>Globální aliance národních lidskoprávních institucí (</w:t>
      </w:r>
      <w:r w:rsidR="001F347A" w:rsidRPr="00152F20">
        <w:rPr>
          <w:rFonts w:cstheme="minorHAnsi"/>
        </w:rPr>
        <w:t>GANHRI</w:t>
      </w:r>
      <w:r w:rsidR="00D651D4" w:rsidRPr="00152F20">
        <w:rPr>
          <w:rFonts w:cstheme="minorHAnsi"/>
        </w:rPr>
        <w:t>)</w:t>
      </w:r>
      <w:r w:rsidR="001F347A" w:rsidRPr="00152F20">
        <w:rPr>
          <w:rFonts w:cstheme="minorHAnsi"/>
        </w:rPr>
        <w:t>.</w:t>
      </w:r>
    </w:p>
    <w:p w14:paraId="1363B802" w14:textId="1F60EAE4" w:rsidR="00495CE8" w:rsidRPr="00152F20" w:rsidRDefault="00442CFD" w:rsidP="00152F20">
      <w:pPr>
        <w:jc w:val="both"/>
        <w:rPr>
          <w:rFonts w:cstheme="minorHAnsi"/>
        </w:rPr>
      </w:pPr>
      <w:r w:rsidRPr="00152F20">
        <w:rPr>
          <w:rFonts w:cstheme="minorHAnsi"/>
        </w:rPr>
        <w:t>V prvé řadě je třeba zdůraznit, že Pařížské principy podporují, ale nevyžadují, aby NHRI přijímaly individuální stížnosti. Norská NHRI je institucí oddělenou od úřadu norského ombudsmana, který je k výkonu této agendy pověřen.</w:t>
      </w:r>
      <w:r w:rsidR="00183DD2" w:rsidRPr="00152F20">
        <w:rPr>
          <w:rFonts w:cstheme="minorHAnsi"/>
        </w:rPr>
        <w:t xml:space="preserve"> Tato elementární odlišnost oproti modelu, jehož zavedení se v ČR podle předmětného návrhu novely zákona o veřejném ochránci práv </w:t>
      </w:r>
      <w:r w:rsidRPr="00152F20">
        <w:rPr>
          <w:rFonts w:cstheme="minorHAnsi"/>
        </w:rPr>
        <w:t xml:space="preserve">(č. 349/1999 Sb.) </w:t>
      </w:r>
      <w:r w:rsidR="00183DD2" w:rsidRPr="00152F20">
        <w:rPr>
          <w:rFonts w:cstheme="minorHAnsi"/>
        </w:rPr>
        <w:t xml:space="preserve">předpokládá, </w:t>
      </w:r>
      <w:r w:rsidRPr="00152F20">
        <w:rPr>
          <w:rFonts w:cstheme="minorHAnsi"/>
        </w:rPr>
        <w:t>limituje rozsah</w:t>
      </w:r>
      <w:r w:rsidR="00183DD2" w:rsidRPr="00152F20">
        <w:rPr>
          <w:rFonts w:cstheme="minorHAnsi"/>
        </w:rPr>
        <w:t xml:space="preserve"> vzájemného porovnávání praktického fungování </w:t>
      </w:r>
      <w:r w:rsidRPr="00152F20">
        <w:rPr>
          <w:rFonts w:cstheme="minorHAnsi"/>
        </w:rPr>
        <w:t>norské NHRI</w:t>
      </w:r>
      <w:r w:rsidR="00183DD2" w:rsidRPr="00152F20">
        <w:rPr>
          <w:rFonts w:cstheme="minorHAnsi"/>
        </w:rPr>
        <w:t xml:space="preserve"> a </w:t>
      </w:r>
      <w:r w:rsidRPr="00152F20">
        <w:rPr>
          <w:rFonts w:cstheme="minorHAnsi"/>
        </w:rPr>
        <w:t>Kanceláře</w:t>
      </w:r>
      <w:r w:rsidR="00183DD2" w:rsidRPr="00152F20">
        <w:rPr>
          <w:rFonts w:cstheme="minorHAnsi"/>
        </w:rPr>
        <w:t xml:space="preserve">. </w:t>
      </w:r>
      <w:r w:rsidRPr="00152F20">
        <w:rPr>
          <w:rFonts w:cstheme="minorHAnsi"/>
        </w:rPr>
        <w:t xml:space="preserve">Avšak na druhou stranu, širší a systémové zaměření norských kolegů zdůrazňuje nové prvky, které je třeba do činnosti Kanceláře začlenit a zavést. </w:t>
      </w:r>
      <w:r w:rsidR="00FF4558" w:rsidRPr="00152F20">
        <w:rPr>
          <w:rFonts w:cstheme="minorHAnsi"/>
        </w:rPr>
        <w:t xml:space="preserve">V tomto smyslu </w:t>
      </w:r>
      <w:r w:rsidR="00495CE8" w:rsidRPr="00152F20">
        <w:rPr>
          <w:rFonts w:cstheme="minorHAnsi"/>
        </w:rPr>
        <w:t>se dá</w:t>
      </w:r>
      <w:r w:rsidR="00FF4558" w:rsidRPr="00152F20">
        <w:rPr>
          <w:rFonts w:cstheme="minorHAnsi"/>
        </w:rPr>
        <w:t xml:space="preserve"> identifikovat několik oblastí</w:t>
      </w:r>
      <w:r w:rsidRPr="00152F20">
        <w:rPr>
          <w:rFonts w:cstheme="minorHAnsi"/>
        </w:rPr>
        <w:t xml:space="preserve"> dobré praxe norské NHRI</w:t>
      </w:r>
      <w:r w:rsidR="00FF4558" w:rsidRPr="00152F20">
        <w:rPr>
          <w:rFonts w:cstheme="minorHAnsi"/>
        </w:rPr>
        <w:t xml:space="preserve">, </w:t>
      </w:r>
      <w:r w:rsidR="00700E3D" w:rsidRPr="00152F20">
        <w:rPr>
          <w:rFonts w:cstheme="minorHAnsi"/>
        </w:rPr>
        <w:t>které mohou být inspirací pro praktickou implementaci NHRI v ČR</w:t>
      </w:r>
      <w:r w:rsidR="00495CE8" w:rsidRPr="00152F20">
        <w:rPr>
          <w:rFonts w:cstheme="minorHAnsi"/>
        </w:rPr>
        <w:t>.</w:t>
      </w:r>
    </w:p>
    <w:p w14:paraId="7396D4D4" w14:textId="615CC694" w:rsidR="00FF4558" w:rsidRPr="00152F20" w:rsidRDefault="00700E3D" w:rsidP="00152F20">
      <w:pPr>
        <w:jc w:val="both"/>
        <w:rPr>
          <w:rFonts w:cstheme="minorHAnsi"/>
          <w:b/>
        </w:rPr>
      </w:pPr>
      <w:r w:rsidRPr="00152F20">
        <w:rPr>
          <w:rFonts w:cstheme="minorHAnsi"/>
          <w:b/>
        </w:rPr>
        <w:t>Za zvláště zajímavé jsou konkrétně považovány především následující postupy</w:t>
      </w:r>
      <w:r w:rsidR="00495CE8" w:rsidRPr="00152F20">
        <w:rPr>
          <w:rFonts w:cstheme="minorHAnsi"/>
          <w:b/>
        </w:rPr>
        <w:t>:</w:t>
      </w:r>
    </w:p>
    <w:p w14:paraId="7C6FBA61" w14:textId="77777777" w:rsidR="002A5D0C" w:rsidRPr="00152F20" w:rsidRDefault="005236D3" w:rsidP="00152F20">
      <w:pPr>
        <w:pStyle w:val="Odstavecseseznamem"/>
        <w:numPr>
          <w:ilvl w:val="0"/>
          <w:numId w:val="7"/>
        </w:numPr>
        <w:jc w:val="both"/>
        <w:rPr>
          <w:rFonts w:cstheme="minorHAnsi"/>
        </w:rPr>
      </w:pPr>
      <w:r w:rsidRPr="00152F20">
        <w:rPr>
          <w:rFonts w:cstheme="minorHAnsi"/>
        </w:rPr>
        <w:lastRenderedPageBreak/>
        <w:t xml:space="preserve">NHRI </w:t>
      </w:r>
      <w:r w:rsidR="00DD3E75" w:rsidRPr="00152F20">
        <w:rPr>
          <w:rFonts w:cstheme="minorHAnsi"/>
        </w:rPr>
        <w:t xml:space="preserve">jako </w:t>
      </w:r>
      <w:r w:rsidR="00761CB2" w:rsidRPr="00152F20">
        <w:rPr>
          <w:rFonts w:cstheme="minorHAnsi"/>
        </w:rPr>
        <w:t>rádce</w:t>
      </w:r>
      <w:r w:rsidRPr="00152F20">
        <w:rPr>
          <w:rFonts w:cstheme="minorHAnsi"/>
        </w:rPr>
        <w:t xml:space="preserve"> (</w:t>
      </w:r>
      <w:r w:rsidRPr="00152F20">
        <w:rPr>
          <w:rFonts w:cstheme="minorHAnsi"/>
          <w:i/>
        </w:rPr>
        <w:t>advisor</w:t>
      </w:r>
      <w:r w:rsidRPr="00152F20">
        <w:rPr>
          <w:rFonts w:cstheme="minorHAnsi"/>
        </w:rPr>
        <w:t>)</w:t>
      </w:r>
      <w:r w:rsidR="002A5D0C" w:rsidRPr="00152F20">
        <w:rPr>
          <w:rFonts w:cstheme="minorHAnsi"/>
        </w:rPr>
        <w:t xml:space="preserve">, </w:t>
      </w:r>
      <w:r w:rsidR="00761CB2" w:rsidRPr="00152F20">
        <w:rPr>
          <w:rFonts w:cstheme="minorHAnsi"/>
        </w:rPr>
        <w:t>hlídací pes</w:t>
      </w:r>
      <w:r w:rsidRPr="00152F20">
        <w:rPr>
          <w:rFonts w:cstheme="minorHAnsi"/>
        </w:rPr>
        <w:t xml:space="preserve"> (</w:t>
      </w:r>
      <w:r w:rsidRPr="00152F20">
        <w:rPr>
          <w:rFonts w:cstheme="minorHAnsi"/>
          <w:i/>
        </w:rPr>
        <w:t>watchdog</w:t>
      </w:r>
      <w:r w:rsidRPr="00152F20">
        <w:rPr>
          <w:rFonts w:cstheme="minorHAnsi"/>
        </w:rPr>
        <w:t>)</w:t>
      </w:r>
      <w:r w:rsidR="002A5D0C" w:rsidRPr="00152F20">
        <w:rPr>
          <w:rFonts w:cstheme="minorHAnsi"/>
        </w:rPr>
        <w:t xml:space="preserve">, </w:t>
      </w:r>
      <w:r w:rsidR="00761CB2" w:rsidRPr="00152F20">
        <w:rPr>
          <w:rFonts w:cstheme="minorHAnsi"/>
        </w:rPr>
        <w:t>spojovatel</w:t>
      </w:r>
      <w:r w:rsidRPr="00152F20">
        <w:rPr>
          <w:rFonts w:cstheme="minorHAnsi"/>
        </w:rPr>
        <w:t xml:space="preserve"> (</w:t>
      </w:r>
      <w:r w:rsidRPr="00152F20">
        <w:rPr>
          <w:rFonts w:cstheme="minorHAnsi"/>
          <w:i/>
        </w:rPr>
        <w:t>bridge-builder</w:t>
      </w:r>
      <w:r w:rsidRPr="00152F20">
        <w:rPr>
          <w:rFonts w:cstheme="minorHAnsi"/>
        </w:rPr>
        <w:t xml:space="preserve">) a </w:t>
      </w:r>
      <w:r w:rsidR="00761CB2" w:rsidRPr="00152F20">
        <w:rPr>
          <w:rFonts w:cstheme="minorHAnsi"/>
        </w:rPr>
        <w:t>učitel</w:t>
      </w:r>
      <w:r w:rsidRPr="00152F20">
        <w:rPr>
          <w:rFonts w:cstheme="minorHAnsi"/>
        </w:rPr>
        <w:t xml:space="preserve"> (</w:t>
      </w:r>
      <w:r w:rsidRPr="00152F20">
        <w:rPr>
          <w:rFonts w:cstheme="minorHAnsi"/>
          <w:i/>
        </w:rPr>
        <w:t>educator</w:t>
      </w:r>
      <w:r w:rsidRPr="00152F20">
        <w:rPr>
          <w:rFonts w:cstheme="minorHAnsi"/>
        </w:rPr>
        <w:t>)</w:t>
      </w:r>
      <w:r w:rsidR="001F2A65" w:rsidRPr="00152F20">
        <w:rPr>
          <w:rFonts w:cstheme="minorHAnsi"/>
        </w:rPr>
        <w:t>;</w:t>
      </w:r>
    </w:p>
    <w:p w14:paraId="654E14B2" w14:textId="77777777" w:rsidR="002A5D0C" w:rsidRPr="00152F20" w:rsidRDefault="002A5D0C" w:rsidP="00152F20">
      <w:pPr>
        <w:pStyle w:val="Odstavecseseznamem"/>
        <w:numPr>
          <w:ilvl w:val="0"/>
          <w:numId w:val="7"/>
        </w:numPr>
        <w:jc w:val="both"/>
        <w:rPr>
          <w:rFonts w:cstheme="minorHAnsi"/>
        </w:rPr>
      </w:pPr>
      <w:r w:rsidRPr="00152F20">
        <w:rPr>
          <w:rFonts w:cstheme="minorHAnsi"/>
        </w:rPr>
        <w:t xml:space="preserve">kritéria </w:t>
      </w:r>
      <w:r w:rsidR="00761CB2" w:rsidRPr="00152F20">
        <w:rPr>
          <w:rFonts w:cstheme="minorHAnsi"/>
        </w:rPr>
        <w:t>pro</w:t>
      </w:r>
      <w:r w:rsidRPr="00152F20">
        <w:rPr>
          <w:rFonts w:cstheme="minorHAnsi"/>
        </w:rPr>
        <w:t xml:space="preserve"> prioritizaci činností, kterým se </w:t>
      </w:r>
      <w:r w:rsidR="00A65E68" w:rsidRPr="00152F20">
        <w:rPr>
          <w:rFonts w:cstheme="minorHAnsi"/>
        </w:rPr>
        <w:t xml:space="preserve">v rámci aktivit NHRI </w:t>
      </w:r>
      <w:r w:rsidR="00761CB2" w:rsidRPr="00152F20">
        <w:rPr>
          <w:rFonts w:cstheme="minorHAnsi"/>
        </w:rPr>
        <w:t xml:space="preserve">blíže </w:t>
      </w:r>
      <w:r w:rsidRPr="00152F20">
        <w:rPr>
          <w:rFonts w:cstheme="minorHAnsi"/>
        </w:rPr>
        <w:t>věnovat</w:t>
      </w:r>
      <w:r w:rsidR="001F2A65" w:rsidRPr="00152F20">
        <w:rPr>
          <w:rFonts w:cstheme="minorHAnsi"/>
        </w:rPr>
        <w:t>;</w:t>
      </w:r>
    </w:p>
    <w:p w14:paraId="7F7CDB6F" w14:textId="77777777" w:rsidR="002A5D0C" w:rsidRPr="00152F20" w:rsidRDefault="005236D3" w:rsidP="00152F20">
      <w:pPr>
        <w:pStyle w:val="Odstavecseseznamem"/>
        <w:numPr>
          <w:ilvl w:val="0"/>
          <w:numId w:val="7"/>
        </w:numPr>
        <w:jc w:val="both"/>
        <w:rPr>
          <w:rFonts w:cstheme="minorHAnsi"/>
        </w:rPr>
      </w:pPr>
      <w:r w:rsidRPr="00152F20">
        <w:rPr>
          <w:rFonts w:cstheme="minorHAnsi"/>
        </w:rPr>
        <w:t>lidskoprávní osvěta a vzdělávání</w:t>
      </w:r>
      <w:r w:rsidR="00A35BE6" w:rsidRPr="00152F20">
        <w:rPr>
          <w:rFonts w:cstheme="minorHAnsi"/>
        </w:rPr>
        <w:t xml:space="preserve">, </w:t>
      </w:r>
      <w:r w:rsidR="00495CE8" w:rsidRPr="00152F20">
        <w:rPr>
          <w:rFonts w:cstheme="minorHAnsi"/>
        </w:rPr>
        <w:t>a</w:t>
      </w:r>
      <w:r w:rsidR="00A35BE6" w:rsidRPr="00152F20">
        <w:rPr>
          <w:rFonts w:cstheme="minorHAnsi"/>
        </w:rPr>
        <w:t>ktivní spolupráce se studenty</w:t>
      </w:r>
      <w:r w:rsidR="001F2A65" w:rsidRPr="00152F20">
        <w:rPr>
          <w:rFonts w:cstheme="minorHAnsi"/>
        </w:rPr>
        <w:t>;</w:t>
      </w:r>
    </w:p>
    <w:p w14:paraId="73FB2B4E" w14:textId="31FD038B" w:rsidR="005236D3" w:rsidRPr="00152F20" w:rsidRDefault="00DD3E75" w:rsidP="00152F20">
      <w:pPr>
        <w:pStyle w:val="Odstavecseseznamem"/>
        <w:numPr>
          <w:ilvl w:val="0"/>
          <w:numId w:val="7"/>
        </w:numPr>
        <w:jc w:val="both"/>
        <w:rPr>
          <w:rFonts w:cstheme="minorHAnsi"/>
        </w:rPr>
      </w:pPr>
      <w:r w:rsidRPr="00152F20">
        <w:rPr>
          <w:rFonts w:cstheme="minorHAnsi"/>
        </w:rPr>
        <w:t xml:space="preserve">komunikace </w:t>
      </w:r>
      <w:r w:rsidR="00700E3D" w:rsidRPr="00152F20">
        <w:rPr>
          <w:rFonts w:cstheme="minorHAnsi"/>
        </w:rPr>
        <w:t xml:space="preserve">s veřejností </w:t>
      </w:r>
      <w:r w:rsidRPr="00152F20">
        <w:rPr>
          <w:rFonts w:cstheme="minorHAnsi"/>
        </w:rPr>
        <w:t xml:space="preserve">prostřednictvím </w:t>
      </w:r>
      <w:r w:rsidR="005236D3" w:rsidRPr="00152F20">
        <w:rPr>
          <w:rFonts w:cstheme="minorHAnsi"/>
        </w:rPr>
        <w:t>sociální</w:t>
      </w:r>
      <w:r w:rsidRPr="00152F20">
        <w:rPr>
          <w:rFonts w:cstheme="minorHAnsi"/>
        </w:rPr>
        <w:t>ch sítí</w:t>
      </w:r>
      <w:r w:rsidR="001F2A65" w:rsidRPr="00152F20">
        <w:rPr>
          <w:rFonts w:cstheme="minorHAnsi"/>
        </w:rPr>
        <w:t>;</w:t>
      </w:r>
    </w:p>
    <w:p w14:paraId="05B94474" w14:textId="367B3EF4" w:rsidR="00325D67" w:rsidRPr="00152F20" w:rsidRDefault="00700E3D" w:rsidP="00152F20">
      <w:pPr>
        <w:pStyle w:val="Odstavecseseznamem"/>
        <w:numPr>
          <w:ilvl w:val="0"/>
          <w:numId w:val="7"/>
        </w:numPr>
        <w:jc w:val="both"/>
        <w:rPr>
          <w:rFonts w:cstheme="minorHAnsi"/>
        </w:rPr>
      </w:pPr>
      <w:r w:rsidRPr="00152F20">
        <w:rPr>
          <w:rFonts w:cstheme="minorHAnsi"/>
        </w:rPr>
        <w:t xml:space="preserve">komplexní </w:t>
      </w:r>
      <w:r w:rsidR="00FF0EB1" w:rsidRPr="00152F20">
        <w:rPr>
          <w:rFonts w:cstheme="minorHAnsi"/>
        </w:rPr>
        <w:t>monitorování</w:t>
      </w:r>
      <w:r w:rsidR="002A5D0C" w:rsidRPr="00152F20">
        <w:rPr>
          <w:rFonts w:cstheme="minorHAnsi"/>
        </w:rPr>
        <w:t xml:space="preserve"> </w:t>
      </w:r>
      <w:r w:rsidR="00FF0EB1" w:rsidRPr="00152F20">
        <w:rPr>
          <w:rFonts w:cstheme="minorHAnsi"/>
        </w:rPr>
        <w:t>mezinárodních lidskoprávních závazků</w:t>
      </w:r>
      <w:r w:rsidR="00FF4558" w:rsidRPr="00152F20">
        <w:rPr>
          <w:rFonts w:cstheme="minorHAnsi"/>
        </w:rPr>
        <w:t xml:space="preserve"> </w:t>
      </w:r>
      <w:r w:rsidRPr="00152F20">
        <w:rPr>
          <w:rFonts w:cstheme="minorHAnsi"/>
        </w:rPr>
        <w:t xml:space="preserve">a doporučení adresovaných </w:t>
      </w:r>
      <w:r w:rsidR="00FF0EB1" w:rsidRPr="00152F20">
        <w:rPr>
          <w:rFonts w:cstheme="minorHAnsi"/>
        </w:rPr>
        <w:t xml:space="preserve">státu </w:t>
      </w:r>
      <w:r w:rsidR="00495CE8" w:rsidRPr="00152F20">
        <w:rPr>
          <w:rFonts w:cstheme="minorHAnsi"/>
        </w:rPr>
        <w:t>(</w:t>
      </w:r>
      <w:r w:rsidR="00907F3B" w:rsidRPr="00152F20">
        <w:rPr>
          <w:rFonts w:cstheme="minorHAnsi"/>
        </w:rPr>
        <w:t xml:space="preserve">zvláště </w:t>
      </w:r>
      <w:r w:rsidR="00FF4558" w:rsidRPr="00152F20">
        <w:rPr>
          <w:rFonts w:cstheme="minorHAnsi"/>
        </w:rPr>
        <w:t xml:space="preserve">za účelem </w:t>
      </w:r>
      <w:r w:rsidR="00FF0EB1" w:rsidRPr="00152F20">
        <w:rPr>
          <w:rFonts w:cstheme="minorHAnsi"/>
        </w:rPr>
        <w:t>podávání tzv. stínových zpráv</w:t>
      </w:r>
      <w:r w:rsidR="002A5D0C" w:rsidRPr="00152F20">
        <w:rPr>
          <w:rFonts w:cstheme="minorHAnsi"/>
        </w:rPr>
        <w:t>)</w:t>
      </w:r>
      <w:r w:rsidR="001F2A65" w:rsidRPr="00152F20">
        <w:rPr>
          <w:rFonts w:cstheme="minorHAnsi"/>
        </w:rPr>
        <w:t>.</w:t>
      </w:r>
    </w:p>
    <w:p w14:paraId="2F83C605" w14:textId="5CFF9A2B" w:rsidR="00183DD2" w:rsidRPr="00152F20" w:rsidRDefault="00183DD2" w:rsidP="00152F20">
      <w:pPr>
        <w:jc w:val="both"/>
        <w:rPr>
          <w:rFonts w:cstheme="minorHAnsi"/>
          <w:b/>
          <w:i/>
        </w:rPr>
      </w:pPr>
      <w:r w:rsidRPr="00152F20">
        <w:rPr>
          <w:rFonts w:cstheme="minorHAnsi"/>
          <w:b/>
          <w:i/>
        </w:rPr>
        <w:t>Ad 1.</w:t>
      </w:r>
      <w:r w:rsidR="00700E3D" w:rsidRPr="00152F20">
        <w:rPr>
          <w:rFonts w:cstheme="minorHAnsi"/>
          <w:b/>
          <w:i/>
        </w:rPr>
        <w:t xml:space="preserve">: čtyři základní role </w:t>
      </w:r>
      <w:r w:rsidR="00907F3B" w:rsidRPr="00152F20">
        <w:rPr>
          <w:rFonts w:cstheme="minorHAnsi"/>
          <w:b/>
          <w:i/>
        </w:rPr>
        <w:t>NHRI</w:t>
      </w:r>
    </w:p>
    <w:p w14:paraId="6D508A47" w14:textId="49A549DE" w:rsidR="00DD3E75" w:rsidRPr="00152F20" w:rsidRDefault="00700E3D" w:rsidP="00152F20">
      <w:pPr>
        <w:jc w:val="both"/>
        <w:rPr>
          <w:rFonts w:cstheme="minorHAnsi"/>
        </w:rPr>
      </w:pPr>
      <w:r w:rsidRPr="00152F20">
        <w:rPr>
          <w:rFonts w:cstheme="minorHAnsi"/>
        </w:rPr>
        <w:t>Cíl NHRI je dostatečně jasný: podporovat a chránit lidská práva na vnitrostátní úrovni. Pojem NHRI je však pro mnohé poměrně obtížně uchopitelný: co je to za instituci a co dělá. Domníváme se, že to lze názorně vysvětlit odkazem na čtyři základní role či funkce, které NHRI plní.</w:t>
      </w:r>
      <w:r w:rsidRPr="00152F20">
        <w:rPr>
          <w:rStyle w:val="Znakapoznpodarou"/>
          <w:rFonts w:cstheme="minorHAnsi"/>
        </w:rPr>
        <w:footnoteReference w:id="3"/>
      </w:r>
      <w:r w:rsidRPr="00152F20">
        <w:rPr>
          <w:rFonts w:cstheme="minorHAnsi"/>
        </w:rPr>
        <w:t xml:space="preserve"> </w:t>
      </w:r>
      <w:r w:rsidR="00183DD2" w:rsidRPr="00152F20">
        <w:rPr>
          <w:rFonts w:cstheme="minorHAnsi"/>
        </w:rPr>
        <w:t>Uvedené kvarteto by mělo rovněž tvořit základní rámec pro</w:t>
      </w:r>
      <w:r w:rsidR="00F9164B" w:rsidRPr="00152F20">
        <w:rPr>
          <w:rFonts w:cstheme="minorHAnsi"/>
        </w:rPr>
        <w:t xml:space="preserve"> prezentaci a</w:t>
      </w:r>
      <w:r w:rsidR="00183DD2" w:rsidRPr="00152F20">
        <w:rPr>
          <w:rFonts w:cstheme="minorHAnsi"/>
        </w:rPr>
        <w:t xml:space="preserve"> komunikaci týkající se lidskoprávních aktivit ve vztahu k široké veřejnosti.</w:t>
      </w:r>
      <w:r w:rsidR="00DD3E75" w:rsidRPr="00152F20">
        <w:rPr>
          <w:rFonts w:cstheme="minorHAnsi"/>
        </w:rPr>
        <w:t xml:space="preserve"> Jedná se o tyto role:</w:t>
      </w:r>
    </w:p>
    <w:p w14:paraId="45D5A52D" w14:textId="77777777" w:rsidR="00DD3E75" w:rsidRPr="00152F20" w:rsidRDefault="00F9164B" w:rsidP="00152F20">
      <w:pPr>
        <w:pStyle w:val="Odstavecseseznamem"/>
        <w:numPr>
          <w:ilvl w:val="0"/>
          <w:numId w:val="6"/>
        </w:numPr>
        <w:jc w:val="both"/>
        <w:rPr>
          <w:rFonts w:cstheme="minorHAnsi"/>
        </w:rPr>
      </w:pPr>
      <w:r w:rsidRPr="00152F20">
        <w:rPr>
          <w:rFonts w:cstheme="minorHAnsi"/>
          <w:b/>
        </w:rPr>
        <w:t>rádce</w:t>
      </w:r>
      <w:r w:rsidRPr="00152F20">
        <w:rPr>
          <w:rFonts w:cstheme="minorHAnsi"/>
        </w:rPr>
        <w:t xml:space="preserve"> (</w:t>
      </w:r>
      <w:r w:rsidRPr="00152F20">
        <w:rPr>
          <w:rFonts w:cstheme="minorHAnsi"/>
          <w:i/>
        </w:rPr>
        <w:t>advisor</w:t>
      </w:r>
      <w:r w:rsidR="00DD3E75" w:rsidRPr="00152F20">
        <w:rPr>
          <w:rFonts w:cstheme="minorHAnsi"/>
        </w:rPr>
        <w:t>),</w:t>
      </w:r>
    </w:p>
    <w:p w14:paraId="302E9208" w14:textId="77777777" w:rsidR="00DD3E75" w:rsidRPr="00152F20" w:rsidRDefault="00F9164B" w:rsidP="00152F20">
      <w:pPr>
        <w:pStyle w:val="Odstavecseseznamem"/>
        <w:numPr>
          <w:ilvl w:val="0"/>
          <w:numId w:val="6"/>
        </w:numPr>
        <w:jc w:val="both"/>
        <w:rPr>
          <w:rFonts w:cstheme="minorHAnsi"/>
        </w:rPr>
      </w:pPr>
      <w:r w:rsidRPr="00152F20">
        <w:rPr>
          <w:rFonts w:cstheme="minorHAnsi"/>
          <w:b/>
        </w:rPr>
        <w:t>hlídací pes</w:t>
      </w:r>
      <w:r w:rsidRPr="00152F20">
        <w:rPr>
          <w:rFonts w:cstheme="minorHAnsi"/>
        </w:rPr>
        <w:t xml:space="preserve"> (</w:t>
      </w:r>
      <w:r w:rsidRPr="00152F20">
        <w:rPr>
          <w:rFonts w:cstheme="minorHAnsi"/>
          <w:i/>
        </w:rPr>
        <w:t>watchdog</w:t>
      </w:r>
      <w:r w:rsidR="00DD3E75" w:rsidRPr="00152F20">
        <w:rPr>
          <w:rFonts w:cstheme="minorHAnsi"/>
        </w:rPr>
        <w:t>),</w:t>
      </w:r>
    </w:p>
    <w:p w14:paraId="05A4F8DA" w14:textId="77777777" w:rsidR="00DD3E75" w:rsidRPr="00152F20" w:rsidRDefault="00F9164B" w:rsidP="00152F20">
      <w:pPr>
        <w:pStyle w:val="Odstavecseseznamem"/>
        <w:numPr>
          <w:ilvl w:val="0"/>
          <w:numId w:val="6"/>
        </w:numPr>
        <w:jc w:val="both"/>
        <w:rPr>
          <w:rFonts w:cstheme="minorHAnsi"/>
        </w:rPr>
      </w:pPr>
      <w:r w:rsidRPr="00152F20">
        <w:rPr>
          <w:rFonts w:cstheme="minorHAnsi"/>
          <w:b/>
        </w:rPr>
        <w:t>spojovatel</w:t>
      </w:r>
      <w:r w:rsidRPr="00152F20">
        <w:rPr>
          <w:rFonts w:cstheme="minorHAnsi"/>
        </w:rPr>
        <w:t xml:space="preserve"> (</w:t>
      </w:r>
      <w:r w:rsidRPr="00152F20">
        <w:rPr>
          <w:rFonts w:cstheme="minorHAnsi"/>
          <w:i/>
        </w:rPr>
        <w:t>bridge-builder</w:t>
      </w:r>
      <w:r w:rsidR="00DD3E75" w:rsidRPr="00152F20">
        <w:rPr>
          <w:rFonts w:cstheme="minorHAnsi"/>
        </w:rPr>
        <w:t>),</w:t>
      </w:r>
    </w:p>
    <w:p w14:paraId="24EB82A9" w14:textId="77777777" w:rsidR="00DD3E75" w:rsidRPr="00152F20" w:rsidRDefault="00F9164B" w:rsidP="00152F20">
      <w:pPr>
        <w:pStyle w:val="Odstavecseseznamem"/>
        <w:numPr>
          <w:ilvl w:val="0"/>
          <w:numId w:val="6"/>
        </w:numPr>
        <w:jc w:val="both"/>
        <w:rPr>
          <w:rFonts w:cstheme="minorHAnsi"/>
        </w:rPr>
      </w:pPr>
      <w:r w:rsidRPr="00152F20">
        <w:rPr>
          <w:rFonts w:cstheme="minorHAnsi"/>
          <w:b/>
        </w:rPr>
        <w:t>učitel</w:t>
      </w:r>
      <w:r w:rsidRPr="00152F20">
        <w:rPr>
          <w:rFonts w:cstheme="minorHAnsi"/>
        </w:rPr>
        <w:t xml:space="preserve"> (</w:t>
      </w:r>
      <w:r w:rsidRPr="00152F20">
        <w:rPr>
          <w:rFonts w:cstheme="minorHAnsi"/>
          <w:i/>
        </w:rPr>
        <w:t>educator</w:t>
      </w:r>
      <w:r w:rsidRPr="00152F20">
        <w:rPr>
          <w:rFonts w:cstheme="minorHAnsi"/>
        </w:rPr>
        <w:t>).</w:t>
      </w:r>
    </w:p>
    <w:p w14:paraId="7A006176" w14:textId="0EC1AEC5" w:rsidR="00183DD2" w:rsidRPr="00152F20" w:rsidRDefault="00D651D4" w:rsidP="00152F20">
      <w:pPr>
        <w:jc w:val="both"/>
        <w:rPr>
          <w:rFonts w:cstheme="minorHAnsi"/>
        </w:rPr>
      </w:pPr>
      <w:r w:rsidRPr="00152F20">
        <w:rPr>
          <w:rFonts w:cstheme="minorHAnsi"/>
          <w:b/>
        </w:rPr>
        <w:t>Role rádce</w:t>
      </w:r>
      <w:r w:rsidRPr="00152F20">
        <w:rPr>
          <w:rFonts w:cstheme="minorHAnsi"/>
        </w:rPr>
        <w:t xml:space="preserve"> směřuje k moci výkonné (exekutivě) a spočívá především v možnosti iniciace legislativních změn (doporučení na vydání, změnu či zrušení právních předpisů)</w:t>
      </w:r>
      <w:r w:rsidR="00117C32" w:rsidRPr="00152F20">
        <w:rPr>
          <w:rFonts w:cstheme="minorHAnsi"/>
        </w:rPr>
        <w:t>, ale také v doporučeních, jak zlepšit lidská práva v praxi</w:t>
      </w:r>
      <w:r w:rsidRPr="00152F20">
        <w:rPr>
          <w:rFonts w:cstheme="minorHAnsi"/>
        </w:rPr>
        <w:t xml:space="preserve">. </w:t>
      </w:r>
      <w:r w:rsidRPr="00152F20">
        <w:rPr>
          <w:rFonts w:cstheme="minorHAnsi"/>
          <w:b/>
        </w:rPr>
        <w:t>Role hlídacího psa</w:t>
      </w:r>
      <w:r w:rsidRPr="00152F20">
        <w:rPr>
          <w:rFonts w:cstheme="minorHAnsi"/>
        </w:rPr>
        <w:t xml:space="preserve"> spočívá v</w:t>
      </w:r>
      <w:r w:rsidR="00117C32" w:rsidRPr="00152F20">
        <w:rPr>
          <w:rFonts w:cstheme="minorHAnsi"/>
        </w:rPr>
        <w:t xml:space="preserve"> širokém monitoringu a </w:t>
      </w:r>
      <w:r w:rsidRPr="00152F20">
        <w:rPr>
          <w:rFonts w:cstheme="minorHAnsi"/>
        </w:rPr>
        <w:t xml:space="preserve">(dostatečně hlasitém) upozorňování na stávající nedostatky v oblasti lidských práv a právního státu. </w:t>
      </w:r>
      <w:r w:rsidRPr="00152F20">
        <w:rPr>
          <w:rFonts w:cstheme="minorHAnsi"/>
          <w:b/>
        </w:rPr>
        <w:t>Role spojovatele</w:t>
      </w:r>
      <w:r w:rsidRPr="00152F20">
        <w:rPr>
          <w:rFonts w:cstheme="minorHAnsi"/>
        </w:rPr>
        <w:t xml:space="preserve"> </w:t>
      </w:r>
      <w:r w:rsidR="009B6596" w:rsidRPr="00152F20">
        <w:rPr>
          <w:rFonts w:cstheme="minorHAnsi"/>
        </w:rPr>
        <w:t xml:space="preserve">vyjadřuje propojení mezi státními orgány </w:t>
      </w:r>
      <w:r w:rsidRPr="00152F20">
        <w:rPr>
          <w:rFonts w:cstheme="minorHAnsi"/>
        </w:rPr>
        <w:t xml:space="preserve">a občanskou společností a </w:t>
      </w:r>
      <w:r w:rsidR="009B6596" w:rsidRPr="00152F20">
        <w:rPr>
          <w:rFonts w:cstheme="minorHAnsi"/>
        </w:rPr>
        <w:t>související zajištění podpory při utváření platformy pro jejich vzájemnou širokou interakci a spolupráci</w:t>
      </w:r>
      <w:r w:rsidR="00117C32" w:rsidRPr="00152F20">
        <w:rPr>
          <w:rFonts w:cstheme="minorHAnsi"/>
        </w:rPr>
        <w:t xml:space="preserve"> a zapojování se do mezinárodních monitorovacích mechanismů</w:t>
      </w:r>
      <w:r w:rsidR="009B6596" w:rsidRPr="00152F20">
        <w:rPr>
          <w:rFonts w:cstheme="minorHAnsi"/>
        </w:rPr>
        <w:t xml:space="preserve">. </w:t>
      </w:r>
      <w:r w:rsidR="009B6596" w:rsidRPr="00152F20">
        <w:rPr>
          <w:rFonts w:cstheme="minorHAnsi"/>
          <w:b/>
        </w:rPr>
        <w:t xml:space="preserve">Role učitele </w:t>
      </w:r>
      <w:r w:rsidR="009B6596" w:rsidRPr="00152F20">
        <w:rPr>
          <w:rFonts w:cstheme="minorHAnsi"/>
        </w:rPr>
        <w:t xml:space="preserve">míří na šíření </w:t>
      </w:r>
      <w:r w:rsidR="00117C32" w:rsidRPr="00152F20">
        <w:rPr>
          <w:rFonts w:cstheme="minorHAnsi"/>
        </w:rPr>
        <w:t xml:space="preserve">informací, zvyšování </w:t>
      </w:r>
      <w:r w:rsidR="009B6596" w:rsidRPr="00152F20">
        <w:rPr>
          <w:rFonts w:cstheme="minorHAnsi"/>
        </w:rPr>
        <w:t>všeobecné</w:t>
      </w:r>
      <w:r w:rsidR="00117C32" w:rsidRPr="00152F20">
        <w:rPr>
          <w:rFonts w:cstheme="minorHAnsi"/>
        </w:rPr>
        <w:t>ho</w:t>
      </w:r>
      <w:r w:rsidR="009B6596" w:rsidRPr="00152F20">
        <w:rPr>
          <w:rFonts w:cstheme="minorHAnsi"/>
        </w:rPr>
        <w:t xml:space="preserve"> </w:t>
      </w:r>
      <w:r w:rsidR="00117C32" w:rsidRPr="00152F20">
        <w:rPr>
          <w:rFonts w:cstheme="minorHAnsi"/>
        </w:rPr>
        <w:t>povědomí o lidských právech</w:t>
      </w:r>
      <w:r w:rsidR="009B6596" w:rsidRPr="00152F20">
        <w:rPr>
          <w:rFonts w:cstheme="minorHAnsi"/>
        </w:rPr>
        <w:t xml:space="preserve"> a podílení se na lidskoprávním vzdělávání.</w:t>
      </w:r>
    </w:p>
    <w:p w14:paraId="7BA7E46C" w14:textId="6AD23387" w:rsidR="00761CB2" w:rsidRPr="00152F20" w:rsidRDefault="00761CB2" w:rsidP="00152F20">
      <w:pPr>
        <w:jc w:val="both"/>
        <w:rPr>
          <w:rFonts w:cstheme="minorHAnsi"/>
          <w:b/>
          <w:i/>
        </w:rPr>
      </w:pPr>
      <w:r w:rsidRPr="00152F20">
        <w:rPr>
          <w:rFonts w:cstheme="minorHAnsi"/>
          <w:b/>
          <w:i/>
        </w:rPr>
        <w:t>Ad 2.</w:t>
      </w:r>
      <w:r w:rsidR="00907F3B" w:rsidRPr="00152F20">
        <w:rPr>
          <w:rFonts w:cstheme="minorHAnsi"/>
          <w:b/>
          <w:i/>
        </w:rPr>
        <w:t xml:space="preserve">: </w:t>
      </w:r>
      <w:r w:rsidR="00117C32" w:rsidRPr="00152F20">
        <w:rPr>
          <w:rFonts w:cstheme="minorHAnsi"/>
          <w:b/>
          <w:i/>
        </w:rPr>
        <w:t>kritéria pro prioritizaci</w:t>
      </w:r>
      <w:r w:rsidR="00907F3B" w:rsidRPr="00152F20">
        <w:rPr>
          <w:rFonts w:cstheme="minorHAnsi"/>
          <w:b/>
          <w:i/>
        </w:rPr>
        <w:t xml:space="preserve"> lidskoprávních témat</w:t>
      </w:r>
    </w:p>
    <w:p w14:paraId="31A066AF" w14:textId="2B6AF5B8" w:rsidR="00117C32" w:rsidRPr="00152F20" w:rsidRDefault="00117C32" w:rsidP="00152F20">
      <w:pPr>
        <w:jc w:val="both"/>
        <w:rPr>
          <w:rFonts w:cstheme="minorHAnsi"/>
        </w:rPr>
      </w:pPr>
      <w:r w:rsidRPr="00152F20">
        <w:rPr>
          <w:rFonts w:cstheme="minorHAnsi"/>
        </w:rPr>
        <w:t xml:space="preserve">Je nutné, aby NHRI </w:t>
      </w:r>
      <w:r w:rsidR="00FC5EE3" w:rsidRPr="00152F20">
        <w:rPr>
          <w:rFonts w:cstheme="minorHAnsi"/>
        </w:rPr>
        <w:t xml:space="preserve">měly </w:t>
      </w:r>
      <w:r w:rsidRPr="00152F20">
        <w:rPr>
          <w:rFonts w:cstheme="minorHAnsi"/>
        </w:rPr>
        <w:t>široký mandát pro ochranu a prosazování</w:t>
      </w:r>
      <w:r w:rsidR="00FC5EE3" w:rsidRPr="00152F20">
        <w:rPr>
          <w:rFonts w:cstheme="minorHAnsi"/>
        </w:rPr>
        <w:t xml:space="preserve"> lidských práv. Musí být schopny</w:t>
      </w:r>
      <w:r w:rsidRPr="00152F20">
        <w:rPr>
          <w:rFonts w:cstheme="minorHAnsi"/>
        </w:rPr>
        <w:t xml:space="preserve"> řešit jakýkoli problém v oblasti lidských práv podle svého výběru. V praxi nebude možné, aby NHRI pokrývala všechny dílčí aspekty v každé oblasti lidských práv najednou. Proto je jednoznačně nutné stanovit priority, kterým tématům bude v</w:t>
      </w:r>
      <w:r w:rsidR="00FC5EE3" w:rsidRPr="00152F20">
        <w:rPr>
          <w:rFonts w:cstheme="minorHAnsi"/>
        </w:rPr>
        <w:t>e stanoveném</w:t>
      </w:r>
      <w:r w:rsidRPr="00152F20">
        <w:rPr>
          <w:rFonts w:cstheme="minorHAnsi"/>
        </w:rPr>
        <w:t xml:space="preserve"> časovém rámci věnována zvýšená pozornost.</w:t>
      </w:r>
    </w:p>
    <w:p w14:paraId="76B62FB7" w14:textId="2C80E933" w:rsidR="00117C32" w:rsidRPr="00152F20" w:rsidRDefault="00117C32" w:rsidP="00152F20">
      <w:pPr>
        <w:jc w:val="both"/>
        <w:rPr>
          <w:rFonts w:cstheme="minorHAnsi"/>
        </w:rPr>
      </w:pPr>
      <w:r w:rsidRPr="00152F20">
        <w:rPr>
          <w:rFonts w:cstheme="minorHAnsi"/>
        </w:rPr>
        <w:t xml:space="preserve">Prvním krokem je zmapování problémů v oblasti lidských práv. Ty mohou odrážet aktuální dynamiku společenského vývoje a potřebu reagovat na vznikající (nežádoucí) situaci nebo systematický přístup k určitému problému v oblasti lidských práv. V českém kontextu by NHRI byla pro většinu obyvatelstva neznámou institucí, i kdyby byla zřízena jako součást úřadu ombudsmana. Proto se může ukázat jako velmi vhodné zaměřit se na začátku fungování na známé lidskoprávní otázky (např. nenávistné projevy, domácí násilí, životní prostředí) a teprve později se věnovat progresivnějším </w:t>
      </w:r>
      <w:r w:rsidR="00FC5EE3" w:rsidRPr="00152F20">
        <w:rPr>
          <w:rFonts w:cstheme="minorHAnsi"/>
        </w:rPr>
        <w:t>tématům</w:t>
      </w:r>
      <w:r w:rsidRPr="00152F20">
        <w:rPr>
          <w:rFonts w:cstheme="minorHAnsi"/>
        </w:rPr>
        <w:t xml:space="preserve"> (např. problematice LGBTQIA+ osob).</w:t>
      </w:r>
    </w:p>
    <w:p w14:paraId="2C4BFF83" w14:textId="0477113D" w:rsidR="00FC5EE3" w:rsidRPr="00152F20" w:rsidRDefault="00FC5EE3" w:rsidP="00152F20">
      <w:p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</w:rPr>
        <w:t xml:space="preserve">Ve své praktické činnosti norská NHRI uplatňuje následující </w:t>
      </w:r>
      <w:r w:rsidRPr="00152F20">
        <w:rPr>
          <w:rFonts w:cstheme="minorHAnsi"/>
          <w:b/>
        </w:rPr>
        <w:t>soubor kritérií pro stanovení prioritních témat, kterými se bude hlouběji zabývat</w:t>
      </w:r>
      <w:r w:rsidRPr="00152F20">
        <w:rPr>
          <w:rFonts w:cstheme="minorHAnsi"/>
        </w:rPr>
        <w:t xml:space="preserve">, a to nejen při přípravě tematických zpráv, ale průřezově ve všech svých činnostech; tato kritéria mají kumulativní povahu, takže daná otázka je vždy posuzována </w:t>
      </w:r>
      <w:r w:rsidRPr="00152F20">
        <w:rPr>
          <w:rFonts w:cstheme="minorHAnsi"/>
        </w:rPr>
        <w:lastRenderedPageBreak/>
        <w:t>a prioritizována na základě vyhodnocení všech níže uvedených faktorů, konkrétně čtyř základních a čtyř praktických:</w:t>
      </w:r>
    </w:p>
    <w:p w14:paraId="799A3D1A" w14:textId="77777777" w:rsidR="00A65E68" w:rsidRPr="00152F20" w:rsidRDefault="00A65E68" w:rsidP="00152F20">
      <w:p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</w:rPr>
        <w:t>Základní kritéria:</w:t>
      </w:r>
    </w:p>
    <w:p w14:paraId="2D2711CC" w14:textId="77777777" w:rsidR="00A65E68" w:rsidRPr="00152F20" w:rsidRDefault="00A65E68" w:rsidP="00152F20">
      <w:pPr>
        <w:pStyle w:val="Odstavecseseznamem"/>
        <w:numPr>
          <w:ilvl w:val="0"/>
          <w:numId w:val="4"/>
        </w:num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  <w:b/>
        </w:rPr>
        <w:t>Význam pro lidská práva</w:t>
      </w:r>
      <w:r w:rsidRPr="00152F20">
        <w:rPr>
          <w:rFonts w:cstheme="minorHAnsi"/>
        </w:rPr>
        <w:t xml:space="preserve"> – problém explicitně nebo implicitně spadá do oblasti lidských práv</w:t>
      </w:r>
    </w:p>
    <w:p w14:paraId="4EE2829F" w14:textId="77777777" w:rsidR="00A65E68" w:rsidRPr="00152F20" w:rsidRDefault="00A65E68" w:rsidP="00152F20">
      <w:pPr>
        <w:pStyle w:val="Odstavecseseznamem"/>
        <w:numPr>
          <w:ilvl w:val="0"/>
          <w:numId w:val="4"/>
        </w:num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  <w:b/>
        </w:rPr>
        <w:t>Závažnost</w:t>
      </w:r>
      <w:r w:rsidRPr="00152F20">
        <w:rPr>
          <w:rFonts w:cstheme="minorHAnsi"/>
        </w:rPr>
        <w:t xml:space="preserve"> – problém je závažný vzhledem ke zranitelnosti obětí, souvisejícím okolnostem a důvodům nastání situace</w:t>
      </w:r>
    </w:p>
    <w:p w14:paraId="62B9DA7D" w14:textId="436F986E" w:rsidR="00A65E68" w:rsidRPr="00152F20" w:rsidRDefault="00A65E68" w:rsidP="00152F20">
      <w:pPr>
        <w:pStyle w:val="Odstavecseseznamem"/>
        <w:numPr>
          <w:ilvl w:val="0"/>
          <w:numId w:val="4"/>
        </w:num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  <w:b/>
        </w:rPr>
        <w:t>Rozsah</w:t>
      </w:r>
      <w:r w:rsidRPr="00152F20">
        <w:rPr>
          <w:rFonts w:cstheme="minorHAnsi"/>
        </w:rPr>
        <w:t xml:space="preserve"> – problém se týká vysokého počtu osob </w:t>
      </w:r>
      <w:r w:rsidR="00FC5EE3" w:rsidRPr="00152F20">
        <w:rPr>
          <w:rFonts w:cstheme="minorHAnsi"/>
        </w:rPr>
        <w:t xml:space="preserve">všeobecně nebo </w:t>
      </w:r>
      <w:r w:rsidRPr="00152F20">
        <w:rPr>
          <w:rFonts w:cstheme="minorHAnsi"/>
        </w:rPr>
        <w:t>v rámci skupiny</w:t>
      </w:r>
    </w:p>
    <w:p w14:paraId="0EFFC741" w14:textId="77777777" w:rsidR="00A65E68" w:rsidRPr="00152F20" w:rsidRDefault="00A65E68" w:rsidP="00152F20">
      <w:pPr>
        <w:pStyle w:val="Odstavecseseznamem"/>
        <w:numPr>
          <w:ilvl w:val="0"/>
          <w:numId w:val="4"/>
        </w:num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  <w:b/>
        </w:rPr>
        <w:t>Reprezentativnost</w:t>
      </w:r>
      <w:r w:rsidRPr="00152F20">
        <w:rPr>
          <w:rFonts w:cstheme="minorHAnsi"/>
        </w:rPr>
        <w:t xml:space="preserve"> – výběr témat by měl co nejvíce odrážet šíři témat v zákonném mandátu</w:t>
      </w:r>
    </w:p>
    <w:p w14:paraId="058BB3ED" w14:textId="77777777" w:rsidR="00A65E68" w:rsidRPr="00152F20" w:rsidRDefault="00A65E68" w:rsidP="00152F20">
      <w:p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</w:rPr>
        <w:t>Praktická kritéria:</w:t>
      </w:r>
    </w:p>
    <w:p w14:paraId="5B823E1F" w14:textId="77777777" w:rsidR="00A65E68" w:rsidRPr="00152F20" w:rsidRDefault="00A65E68" w:rsidP="00152F20">
      <w:pPr>
        <w:pStyle w:val="Odstavecseseznamem"/>
        <w:numPr>
          <w:ilvl w:val="0"/>
          <w:numId w:val="5"/>
        </w:num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  <w:b/>
        </w:rPr>
        <w:t>Časová relevance</w:t>
      </w:r>
      <w:r w:rsidRPr="00152F20">
        <w:rPr>
          <w:rFonts w:cstheme="minorHAnsi"/>
        </w:rPr>
        <w:t xml:space="preserve"> – téma je politicky relevantní a je předmětem vládní iniciativy (tvoří „okno příležitosti“), která zvýší možnost průlomu</w:t>
      </w:r>
    </w:p>
    <w:p w14:paraId="2E961FDA" w14:textId="77777777" w:rsidR="00A65E68" w:rsidRPr="00152F20" w:rsidRDefault="00A65E68" w:rsidP="00152F20">
      <w:pPr>
        <w:pStyle w:val="Odstavecseseznamem"/>
        <w:numPr>
          <w:ilvl w:val="0"/>
          <w:numId w:val="5"/>
        </w:num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  <w:b/>
        </w:rPr>
        <w:t>Překryv s jinými aktéry</w:t>
      </w:r>
      <w:r w:rsidRPr="00152F20">
        <w:rPr>
          <w:rFonts w:cstheme="minorHAnsi"/>
        </w:rPr>
        <w:t xml:space="preserve"> – pokud se danou problematikou zabývají vhodným způsobem jiní aktéři, je třeba posoudit, zda zapojení NHRI přinese přidanou hodnotu</w:t>
      </w:r>
    </w:p>
    <w:p w14:paraId="5050B9F2" w14:textId="77777777" w:rsidR="00A65E68" w:rsidRPr="00152F20" w:rsidRDefault="00A65E68" w:rsidP="00152F20">
      <w:pPr>
        <w:pStyle w:val="Odstavecseseznamem"/>
        <w:numPr>
          <w:ilvl w:val="0"/>
          <w:numId w:val="5"/>
        </w:num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  <w:b/>
        </w:rPr>
        <w:t>Vnímání NHRI navenek</w:t>
      </w:r>
      <w:r w:rsidRPr="00152F20">
        <w:rPr>
          <w:rFonts w:cstheme="minorHAnsi"/>
        </w:rPr>
        <w:t xml:space="preserve"> – může být problém řešen a komunikován způsobem, který podporuje a prosazuje nezávislost, legitimitu a integritu instituce?</w:t>
      </w:r>
    </w:p>
    <w:p w14:paraId="43FA6B41" w14:textId="77777777" w:rsidR="00A65E68" w:rsidRPr="00152F20" w:rsidRDefault="00A65E68" w:rsidP="00152F20">
      <w:pPr>
        <w:pStyle w:val="Odstavecseseznamem"/>
        <w:numPr>
          <w:ilvl w:val="0"/>
          <w:numId w:val="5"/>
        </w:num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  <w:b/>
        </w:rPr>
        <w:t>Další praktické úvahy</w:t>
      </w:r>
      <w:r w:rsidRPr="00152F20">
        <w:rPr>
          <w:rFonts w:cstheme="minorHAnsi"/>
        </w:rPr>
        <w:t xml:space="preserve"> – kompetence NHRI, dostupné zdroje atd.</w:t>
      </w:r>
    </w:p>
    <w:p w14:paraId="5A34CD4F" w14:textId="043E856A" w:rsidR="00FC5EE3" w:rsidRPr="00152F20" w:rsidRDefault="00FC5EE3" w:rsidP="00152F20">
      <w:p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</w:rPr>
        <w:t>Význam výše uvedených kritérií v praxi lze ilustrovat na prioritních tématech norské NHRI pro rok 2022, kterými byly: zranitelné skupiny, menšiny – starší osoby, osoby drogově závislé a etnické menšiny (v norském kontextu zejména původní obyvatelstvo, Sámové), svoboda projevu (v kontextu ochrany práva na soukromí) a změna klimatu a lidská práva. Podobně lze poukázat na prioritní témata slovenské NHRI (</w:t>
      </w:r>
      <w:r w:rsidRPr="00152F20">
        <w:rPr>
          <w:rFonts w:cstheme="minorHAnsi"/>
          <w:i/>
        </w:rPr>
        <w:t>Slovenského národného strediska pre ľudské práva</w:t>
      </w:r>
      <w:r w:rsidRPr="00152F20">
        <w:rPr>
          <w:rFonts w:cstheme="minorHAnsi"/>
        </w:rPr>
        <w:t>) pro rok 2023: segregace menšin, situace v kontextu válečného konfliktu na Ukrajině, implementace doporučení z předchozích let.</w:t>
      </w:r>
    </w:p>
    <w:p w14:paraId="636845A7" w14:textId="7C9B3A83" w:rsidR="005236D3" w:rsidRPr="00152F20" w:rsidRDefault="005236D3" w:rsidP="00152F20">
      <w:pPr>
        <w:spacing w:line="252" w:lineRule="auto"/>
        <w:jc w:val="both"/>
        <w:rPr>
          <w:rFonts w:cstheme="minorHAnsi"/>
          <w:b/>
          <w:i/>
        </w:rPr>
      </w:pPr>
      <w:r w:rsidRPr="00152F20">
        <w:rPr>
          <w:rFonts w:cstheme="minorHAnsi"/>
          <w:b/>
          <w:i/>
        </w:rPr>
        <w:t>Ad 3.</w:t>
      </w:r>
      <w:r w:rsidR="00907F3B" w:rsidRPr="00152F20">
        <w:rPr>
          <w:rFonts w:cstheme="minorHAnsi"/>
          <w:b/>
          <w:i/>
        </w:rPr>
        <w:t xml:space="preserve">: </w:t>
      </w:r>
      <w:r w:rsidR="004E7AD7" w:rsidRPr="00152F20">
        <w:rPr>
          <w:rFonts w:cstheme="minorHAnsi"/>
          <w:b/>
          <w:i/>
        </w:rPr>
        <w:t>Lidskoprávní povědomí a vzdělávání</w:t>
      </w:r>
    </w:p>
    <w:p w14:paraId="4BF5DE26" w14:textId="106581FD" w:rsidR="004E7AD7" w:rsidRPr="00152F20" w:rsidRDefault="004E7AD7" w:rsidP="00152F20">
      <w:p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</w:rPr>
        <w:t>V rámci výše uvedené role učitele plní NHRI svůj mandát tím, že vyvíjí činnosti na podporu lidských práv prostřednictvím podpory všeobecného povědomí o lidských právech a širokého záběru vzdělávání v oblasti lidských práv. Znalost svých práv je klíčem k jejich uplatnění, což ukazuje, jak jdou podpora a ochrana ruku v ruce. Vypracované vzdělávací materiály by měly být jednak zpřístupněny veřejnosti v online podobě, jednak distribuovány domácím vzdělávacím institucím. V tomto ohledu je rovněž vhodné navázat užší spolupráci se školami všech stupňů a s univerzitami. Dále lze zajistit aktivní spolupráci se studenty vysokých škol (právnických a příbuzných humanitních oborů) formou stáží (krátkodobých i dlouhodobých), což může zajistit podporu v oblastech monitoringu národních i mezinárodních zdrojů, provádění výzkumu, ale i v dalších formách spolupráce dle aktuálních potřeb.</w:t>
      </w:r>
    </w:p>
    <w:p w14:paraId="1F109EEE" w14:textId="4DA64143" w:rsidR="007E3F05" w:rsidRPr="00152F20" w:rsidRDefault="007E3F05" w:rsidP="00152F20">
      <w:p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</w:rPr>
        <w:t xml:space="preserve">Jako praktický příklad toho, že </w:t>
      </w:r>
      <w:r w:rsidR="004E7AD7" w:rsidRPr="00152F20">
        <w:rPr>
          <w:rFonts w:cstheme="minorHAnsi"/>
        </w:rPr>
        <w:t>Kancelář</w:t>
      </w:r>
      <w:r w:rsidRPr="00152F20">
        <w:rPr>
          <w:rFonts w:cstheme="minorHAnsi"/>
        </w:rPr>
        <w:t xml:space="preserve"> v této oblasti konkrétní výstupy již nyní vykazuje, může posloužit nedávné zpřístupnění </w:t>
      </w:r>
      <w:r w:rsidRPr="00152F20">
        <w:rPr>
          <w:rFonts w:cstheme="minorHAnsi"/>
          <w:b/>
        </w:rPr>
        <w:t>modulů e-learningového kurzu Základy antidiskriminačního práva</w:t>
      </w:r>
      <w:r w:rsidRPr="00152F20">
        <w:rPr>
          <w:rFonts w:cstheme="minorHAnsi"/>
        </w:rPr>
        <w:t xml:space="preserve"> </w:t>
      </w:r>
      <w:r w:rsidR="00BB080B" w:rsidRPr="00152F20">
        <w:rPr>
          <w:rFonts w:cstheme="minorHAnsi"/>
        </w:rPr>
        <w:t xml:space="preserve">(viz </w:t>
      </w:r>
      <w:hyperlink r:id="rId8" w:history="1">
        <w:r w:rsidR="00BB080B" w:rsidRPr="00152F20">
          <w:rPr>
            <w:rStyle w:val="Hypertextovodkaz"/>
            <w:rFonts w:cstheme="minorHAnsi"/>
          </w:rPr>
          <w:t>zde</w:t>
        </w:r>
      </w:hyperlink>
      <w:r w:rsidR="00BB080B" w:rsidRPr="00152F20">
        <w:rPr>
          <w:rFonts w:cstheme="minorHAnsi"/>
        </w:rPr>
        <w:t xml:space="preserve">) </w:t>
      </w:r>
      <w:r w:rsidRPr="00152F20">
        <w:rPr>
          <w:rFonts w:cstheme="minorHAnsi"/>
        </w:rPr>
        <w:t xml:space="preserve">nebo zveřejnění ilustrované </w:t>
      </w:r>
      <w:r w:rsidRPr="00152F20">
        <w:rPr>
          <w:rFonts w:cstheme="minorHAnsi"/>
          <w:b/>
        </w:rPr>
        <w:t>Úmluvy o právech dítěte ve znění srozumitelném dětem</w:t>
      </w:r>
      <w:r w:rsidR="00BB080B" w:rsidRPr="00152F20">
        <w:rPr>
          <w:rFonts w:cstheme="minorHAnsi"/>
        </w:rPr>
        <w:t xml:space="preserve"> (viz </w:t>
      </w:r>
      <w:hyperlink r:id="rId9" w:history="1">
        <w:r w:rsidR="00BB080B" w:rsidRPr="00152F20">
          <w:rPr>
            <w:rStyle w:val="Hypertextovodkaz"/>
            <w:rFonts w:cstheme="minorHAnsi"/>
          </w:rPr>
          <w:t>zde</w:t>
        </w:r>
      </w:hyperlink>
      <w:r w:rsidR="00BB080B" w:rsidRPr="00152F20">
        <w:rPr>
          <w:rFonts w:cstheme="minorHAnsi"/>
        </w:rPr>
        <w:t>).</w:t>
      </w:r>
    </w:p>
    <w:p w14:paraId="5BADC416" w14:textId="7DD2D705" w:rsidR="00DD3E75" w:rsidRPr="00152F20" w:rsidRDefault="00DD3E75" w:rsidP="00152F20">
      <w:pPr>
        <w:spacing w:line="252" w:lineRule="auto"/>
        <w:jc w:val="both"/>
        <w:rPr>
          <w:rFonts w:cstheme="minorHAnsi"/>
          <w:b/>
          <w:i/>
        </w:rPr>
      </w:pPr>
      <w:r w:rsidRPr="00152F20">
        <w:rPr>
          <w:rFonts w:cstheme="minorHAnsi"/>
          <w:b/>
          <w:i/>
        </w:rPr>
        <w:t>Ad 4.</w:t>
      </w:r>
      <w:r w:rsidR="00907F3B" w:rsidRPr="00152F20">
        <w:rPr>
          <w:rFonts w:cstheme="minorHAnsi"/>
          <w:b/>
          <w:i/>
        </w:rPr>
        <w:t xml:space="preserve">: </w:t>
      </w:r>
      <w:r w:rsidR="004E7AD7" w:rsidRPr="00152F20">
        <w:rPr>
          <w:rFonts w:cstheme="minorHAnsi"/>
          <w:b/>
          <w:i/>
        </w:rPr>
        <w:t>Komunikace s veřejností prostřednictvím sociálních sítí</w:t>
      </w:r>
    </w:p>
    <w:p w14:paraId="70CAEA99" w14:textId="113109C0" w:rsidR="004E7AD7" w:rsidRPr="00152F20" w:rsidRDefault="004E7AD7" w:rsidP="00152F20">
      <w:p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</w:rPr>
        <w:t xml:space="preserve">Komunikace se širokou veřejností také přímo souvisí s oblastí výchovy k lidským právům a potřebou zvyšovat povědomí o lidských právech, a to nyní více než kdy jindy, zejména prostřednictvím sociálních sítí, vzhledem k dynamice doby. V tomto ohledu lze aktivity a výstupy mediálního a PR týmu norské NHRI považovat za významný zdroj inspirace. Prezentovaný vysoce invenční a proaktivní přístup (v podobě celkově velmi svěžího stylu na sociálních platformách Facebook a Instagram) velmi vhodně kombinuje atraktivní a obsahově hodnotnou složku sdělení. Což zároveň významně přispívá i ke zvýšení </w:t>
      </w:r>
      <w:r w:rsidRPr="00152F20">
        <w:rPr>
          <w:rFonts w:cstheme="minorHAnsi"/>
        </w:rPr>
        <w:lastRenderedPageBreak/>
        <w:t>povědomí nejen o oblasti lidských práv, jejich ochraně a prosazování, ale i o (lidskoprávních) aktivitách instituce obecně.</w:t>
      </w:r>
    </w:p>
    <w:p w14:paraId="57886817" w14:textId="2CFE0F4C" w:rsidR="00DD3E75" w:rsidRPr="00152F20" w:rsidRDefault="009C6524" w:rsidP="00152F20">
      <w:pPr>
        <w:spacing w:line="252" w:lineRule="auto"/>
        <w:jc w:val="both"/>
        <w:rPr>
          <w:rFonts w:cstheme="minorHAnsi"/>
          <w:b/>
        </w:rPr>
      </w:pPr>
      <w:r>
        <w:rPr>
          <w:rFonts w:cstheme="minorHAnsi"/>
        </w:rPr>
        <w:t>Tento přístup</w:t>
      </w:r>
      <w:r w:rsidR="004E7AD7" w:rsidRPr="00152F20">
        <w:rPr>
          <w:rFonts w:cstheme="minorHAnsi"/>
        </w:rPr>
        <w:t>, kter</w:t>
      </w:r>
      <w:r>
        <w:rPr>
          <w:rFonts w:cstheme="minorHAnsi"/>
        </w:rPr>
        <w:t>ý</w:t>
      </w:r>
      <w:r w:rsidR="004E7AD7" w:rsidRPr="00152F20">
        <w:rPr>
          <w:rFonts w:cstheme="minorHAnsi"/>
        </w:rPr>
        <w:t xml:space="preserve"> předpokládá přístupnou formu komunikace s širší veřejností, rovněž posiluje nezbytnou autoritu, legitimitu a transparentnost, kterou musí každá NHRI ve vztahu k veřejnosti nevyhnutelně mít. </w:t>
      </w:r>
      <w:r w:rsidR="004E7AD7" w:rsidRPr="00152F20">
        <w:rPr>
          <w:rFonts w:cstheme="minorHAnsi"/>
          <w:b/>
        </w:rPr>
        <w:t>Bez důvěry v nezávislost si lze dobře fungující NHRI jen těžko představit.</w:t>
      </w:r>
      <w:r w:rsidR="00D02982" w:rsidRPr="00152F20">
        <w:rPr>
          <w:rStyle w:val="Znakapoznpodarou"/>
          <w:rFonts w:cstheme="minorHAnsi"/>
        </w:rPr>
        <w:footnoteReference w:id="4"/>
      </w:r>
    </w:p>
    <w:p w14:paraId="270E2FB2" w14:textId="69EAE9BD" w:rsidR="00D02982" w:rsidRPr="00152F20" w:rsidRDefault="00D02982" w:rsidP="00152F20">
      <w:pPr>
        <w:spacing w:line="252" w:lineRule="auto"/>
        <w:jc w:val="both"/>
        <w:rPr>
          <w:rFonts w:cstheme="minorHAnsi"/>
          <w:b/>
          <w:i/>
        </w:rPr>
      </w:pPr>
      <w:r w:rsidRPr="00152F20">
        <w:rPr>
          <w:rFonts w:cstheme="minorHAnsi"/>
          <w:b/>
          <w:i/>
        </w:rPr>
        <w:t>Ad 5.</w:t>
      </w:r>
      <w:r w:rsidR="00907F3B" w:rsidRPr="00152F20">
        <w:rPr>
          <w:rFonts w:cstheme="minorHAnsi"/>
          <w:b/>
          <w:i/>
        </w:rPr>
        <w:t xml:space="preserve">: </w:t>
      </w:r>
      <w:r w:rsidR="00A226C0" w:rsidRPr="00152F20">
        <w:rPr>
          <w:rFonts w:cstheme="minorHAnsi"/>
          <w:b/>
          <w:i/>
        </w:rPr>
        <w:t>k</w:t>
      </w:r>
      <w:r w:rsidR="004E7AD7" w:rsidRPr="00152F20">
        <w:rPr>
          <w:rFonts w:cstheme="minorHAnsi"/>
          <w:b/>
          <w:i/>
        </w:rPr>
        <w:t>omplexní monitorování mezinárodních doporučení v oblasti lidských práv</w:t>
      </w:r>
    </w:p>
    <w:p w14:paraId="5AC1B8A3" w14:textId="4AEF3E12" w:rsidR="00A226C0" w:rsidRPr="00152F20" w:rsidRDefault="00A226C0" w:rsidP="00152F20">
      <w:p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</w:rPr>
        <w:t xml:space="preserve">Široký mandát NHRI v oblasti lidských práv vyžaduje komplexní monitorování situace v oblasti lidských práv. To zahrnuje systematické shromažďování informací a obhajobu založenou na faktech, což lze provádět různými způsoby. Jedním z modelů, který používá norská NHRI a který může být inspirací a být přenesen do Kanceláře, je </w:t>
      </w:r>
      <w:r w:rsidRPr="00152F20">
        <w:rPr>
          <w:rFonts w:cstheme="minorHAnsi"/>
          <w:b/>
        </w:rPr>
        <w:t>systematické zapojení do mezinárodních mechanismů monitorování lidských práv – nejprve podáváním zpráv s cílem zajistit příslušná doporučení a poté monitorovat provádění těchto doporučení.</w:t>
      </w:r>
      <w:r w:rsidRPr="00152F20">
        <w:rPr>
          <w:rFonts w:cstheme="minorHAnsi"/>
        </w:rPr>
        <w:t xml:space="preserve"> Pravidelné a komplexní podávání </w:t>
      </w:r>
      <w:r w:rsidRPr="00152F20">
        <w:rPr>
          <w:rFonts w:cstheme="minorHAnsi"/>
          <w:b/>
        </w:rPr>
        <w:t>stínových zpráv</w:t>
      </w:r>
      <w:r w:rsidRPr="00152F20">
        <w:rPr>
          <w:rFonts w:cstheme="minorHAnsi"/>
        </w:rPr>
        <w:t xml:space="preserve"> je jedním z klíčových aspektů výše zmíněné role NHRI jako hlídacího psa tím, že upozorňuje na problematické otázky na mezinárodní úrovni. Podporou a usnadňováním ve vztahu k občanské společnosti v oblasti její mezinárodní angažovanosti plní také funkci spojovatele.</w:t>
      </w:r>
    </w:p>
    <w:p w14:paraId="6921FC39" w14:textId="231659A2" w:rsidR="00A226C0" w:rsidRPr="00152F20" w:rsidRDefault="00A226C0" w:rsidP="00152F20">
      <w:p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</w:rPr>
        <w:t xml:space="preserve">Zpracování shrnutí veškerých doporučení reprezentativního výběru mezinárodních smluvních orgánů a jejich tematické uspořádání poskytne solidní výchozí bod pro komplexní monitorování lidských práv. Norská NHRI vychází ze základních smluvních orgánů OSN pro lidská práva monitorujících úmluvy, které Norsko ratifikovalo. Kompilace zveřejněná v roce 2020 je nyní k dispozici v databázi </w:t>
      </w:r>
      <w:r w:rsidRPr="00152F20">
        <w:rPr>
          <w:rFonts w:cstheme="minorHAnsi"/>
          <w:i/>
        </w:rPr>
        <w:t>Human Rights Tracker</w:t>
      </w:r>
      <w:r w:rsidRPr="00152F20">
        <w:rPr>
          <w:rFonts w:cstheme="minorHAnsi"/>
        </w:rPr>
        <w:t xml:space="preserve"> (viz </w:t>
      </w:r>
      <w:hyperlink r:id="rId10" w:history="1">
        <w:r w:rsidRPr="00152F20">
          <w:rPr>
            <w:rStyle w:val="Hypertextovodkaz"/>
            <w:rFonts w:cstheme="minorHAnsi"/>
          </w:rPr>
          <w:t>zde</w:t>
        </w:r>
      </w:hyperlink>
      <w:r w:rsidRPr="00152F20">
        <w:rPr>
          <w:rFonts w:cstheme="minorHAnsi"/>
        </w:rPr>
        <w:t>). Norská NHRI rovněž vyvinula některé další praktické nástroje na podporu tohoto přístupu, které by Kancelář mohla snadno přenést do českého prostředí.</w:t>
      </w:r>
    </w:p>
    <w:p w14:paraId="7A1F93FE" w14:textId="0A17797C" w:rsidR="00C31F11" w:rsidRPr="00152F20" w:rsidRDefault="00A226C0" w:rsidP="00152F20">
      <w:p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</w:rPr>
        <w:t xml:space="preserve">Existuje mnoho </w:t>
      </w:r>
      <w:r w:rsidR="009C6524">
        <w:rPr>
          <w:rFonts w:cstheme="minorHAnsi"/>
        </w:rPr>
        <w:t xml:space="preserve">mezinárodních </w:t>
      </w:r>
      <w:r w:rsidRPr="00152F20">
        <w:rPr>
          <w:rFonts w:cstheme="minorHAnsi"/>
        </w:rPr>
        <w:t>smluv o lidských právech a nezávazných nástrojů, které lze monitorovat, jak je znázorněno rovněž v příloze tohoto textu, přičemž však při sestavování ucelených přehledů různých doporučení dochází k rozsáhlému překrývání témat.</w:t>
      </w:r>
    </w:p>
    <w:p w14:paraId="7DC05BC6" w14:textId="65CB2484" w:rsidR="009313D6" w:rsidRPr="00152F20" w:rsidRDefault="009313D6" w:rsidP="00152F20">
      <w:pPr>
        <w:spacing w:line="252" w:lineRule="auto"/>
        <w:jc w:val="both"/>
        <w:rPr>
          <w:rFonts w:cstheme="minorHAnsi"/>
          <w:b/>
        </w:rPr>
      </w:pPr>
      <w:r w:rsidRPr="00152F20">
        <w:rPr>
          <w:rFonts w:cstheme="minorHAnsi"/>
          <w:b/>
        </w:rPr>
        <w:t>Za předpokladu, že bude v ČR legislativně zakotvena NHRI a odpovídajícím způsobem široký mandát k ochraně a prosazování lidských práv svěřen tuzemské instituci ombudsmana (Kanceláři veřejného ochránce práv), mohou být cenné praktické zkušenosti získané z činnosti norské NHRI významnou pomocí při dosahování efektivního fungování a výkonu nových kompetencí. Široký mandát v oblasti lidských práv, různé role a mnoho nástrojů</w:t>
      </w:r>
      <w:r w:rsidR="009C6524">
        <w:rPr>
          <w:rFonts w:cstheme="minorHAnsi"/>
          <w:b/>
        </w:rPr>
        <w:t>,</w:t>
      </w:r>
      <w:r w:rsidRPr="00152F20">
        <w:rPr>
          <w:rFonts w:cstheme="minorHAnsi"/>
          <w:b/>
        </w:rPr>
        <w:t xml:space="preserve"> </w:t>
      </w:r>
      <w:r w:rsidR="009C6524">
        <w:rPr>
          <w:rFonts w:cstheme="minorHAnsi"/>
          <w:b/>
        </w:rPr>
        <w:t>jež mají být monitorovány,</w:t>
      </w:r>
      <w:r w:rsidRPr="00152F20">
        <w:rPr>
          <w:rFonts w:cstheme="minorHAnsi"/>
          <w:b/>
        </w:rPr>
        <w:t xml:space="preserve"> jsou sice vysokou metou, nicméně lze konstatovat připravenost učinit první kroky, z nichž lze následnou činnost Kanceláře jako české NHRI formovat a dále rozvíjet.</w:t>
      </w:r>
    </w:p>
    <w:p w14:paraId="3C885E78" w14:textId="25C76D31" w:rsidR="009313D6" w:rsidRPr="00152F20" w:rsidRDefault="009313D6" w:rsidP="00152F20">
      <w:pPr>
        <w:jc w:val="both"/>
        <w:rPr>
          <w:rFonts w:cstheme="minorHAnsi"/>
          <w:b/>
        </w:rPr>
      </w:pPr>
      <w:r w:rsidRPr="00152F20">
        <w:rPr>
          <w:rFonts w:cstheme="minorHAnsi"/>
          <w:b/>
        </w:rPr>
        <w:br w:type="page"/>
      </w:r>
    </w:p>
    <w:p w14:paraId="6EB4A818" w14:textId="07D7BE84" w:rsidR="009313D6" w:rsidRPr="00656773" w:rsidRDefault="009313D6" w:rsidP="00152F20">
      <w:pPr>
        <w:spacing w:line="252" w:lineRule="auto"/>
        <w:jc w:val="both"/>
        <w:rPr>
          <w:rFonts w:cstheme="minorHAnsi"/>
          <w:b/>
          <w:sz w:val="24"/>
          <w:u w:val="single"/>
        </w:rPr>
      </w:pPr>
      <w:r w:rsidRPr="00656773">
        <w:rPr>
          <w:rFonts w:cstheme="minorHAnsi"/>
          <w:b/>
          <w:sz w:val="24"/>
          <w:u w:val="single"/>
        </w:rPr>
        <w:t>Příloha</w:t>
      </w:r>
    </w:p>
    <w:p w14:paraId="5CD7407B" w14:textId="19E272E4" w:rsidR="009313D6" w:rsidRPr="00152F20" w:rsidRDefault="009313D6" w:rsidP="00152F20">
      <w:p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</w:rPr>
        <w:t>Přehled mezinárodních lidskoprávních nástrojů (smluv)</w:t>
      </w:r>
      <w:r w:rsidR="00A31FBE">
        <w:rPr>
          <w:rFonts w:cstheme="minorHAnsi"/>
        </w:rPr>
        <w:t>,</w:t>
      </w:r>
      <w:r w:rsidRPr="00152F20">
        <w:rPr>
          <w:rFonts w:cstheme="minorHAnsi"/>
        </w:rPr>
        <w:t xml:space="preserve"> vytvořený v závislosti na ratifikaci příslušných úmluv ze strany ČR</w:t>
      </w:r>
      <w:r w:rsidR="00A31FBE">
        <w:rPr>
          <w:rFonts w:cstheme="minorHAnsi"/>
        </w:rPr>
        <w:t>, doplněný o publikační číslo v příslušné Sbírce (zákonů, resp. mezinárodních smluv)</w:t>
      </w:r>
    </w:p>
    <w:p w14:paraId="49DCC43A" w14:textId="77777777" w:rsidR="009313D6" w:rsidRPr="00152F20" w:rsidRDefault="009313D6" w:rsidP="00152F20">
      <w:pPr>
        <w:spacing w:line="252" w:lineRule="auto"/>
        <w:jc w:val="both"/>
        <w:rPr>
          <w:rFonts w:cstheme="minorHAnsi"/>
          <w:b/>
        </w:rPr>
      </w:pPr>
      <w:r w:rsidRPr="00152F20">
        <w:rPr>
          <w:rFonts w:cstheme="minorHAnsi"/>
          <w:b/>
        </w:rPr>
        <w:t>Na (univerzální) úrovni OSN se jedná o následující úmluvy:</w:t>
      </w:r>
    </w:p>
    <w:p w14:paraId="3560AF07" w14:textId="71A1E651" w:rsidR="009313D6" w:rsidRPr="00152F20" w:rsidRDefault="009313D6" w:rsidP="00152F20">
      <w:pPr>
        <w:pStyle w:val="Odstavecseseznamem"/>
        <w:numPr>
          <w:ilvl w:val="0"/>
          <w:numId w:val="8"/>
        </w:num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</w:rPr>
        <w:t>Mezinárodní úmluva o odstranění všech forem rasové diskriminace (</w:t>
      </w:r>
      <w:r w:rsidRPr="00A31FBE">
        <w:rPr>
          <w:rFonts w:cstheme="minorHAnsi"/>
          <w:b/>
        </w:rPr>
        <w:t>ICERD</w:t>
      </w:r>
      <w:r w:rsidR="00A31FBE">
        <w:rPr>
          <w:rFonts w:cstheme="minorHAnsi"/>
        </w:rPr>
        <w:t>, č. 95/1974 Sb.)</w:t>
      </w:r>
      <w:r w:rsidRPr="00152F20">
        <w:rPr>
          <w:rFonts w:cstheme="minorHAnsi"/>
        </w:rPr>
        <w:t>;</w:t>
      </w:r>
    </w:p>
    <w:p w14:paraId="59275DBB" w14:textId="6A578786" w:rsidR="009313D6" w:rsidRPr="00152F20" w:rsidRDefault="009313D6" w:rsidP="00152F20">
      <w:pPr>
        <w:pStyle w:val="Odstavecseseznamem"/>
        <w:numPr>
          <w:ilvl w:val="0"/>
          <w:numId w:val="8"/>
        </w:num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</w:rPr>
        <w:t>Mezinárodní pakt o občanských a politických p</w:t>
      </w:r>
      <w:r w:rsidR="00A31FBE">
        <w:rPr>
          <w:rFonts w:cstheme="minorHAnsi"/>
        </w:rPr>
        <w:t>rávech (</w:t>
      </w:r>
      <w:r w:rsidR="00A31FBE" w:rsidRPr="00A31FBE">
        <w:rPr>
          <w:rFonts w:cstheme="minorHAnsi"/>
          <w:b/>
        </w:rPr>
        <w:t>ICCPR</w:t>
      </w:r>
      <w:r w:rsidR="00A31FBE">
        <w:rPr>
          <w:rFonts w:cstheme="minorHAnsi"/>
        </w:rPr>
        <w:t>, č. 120/1976 Sb.)</w:t>
      </w:r>
      <w:r w:rsidRPr="00152F20">
        <w:rPr>
          <w:rFonts w:cstheme="minorHAnsi"/>
        </w:rPr>
        <w:t>;</w:t>
      </w:r>
    </w:p>
    <w:p w14:paraId="5643C5FE" w14:textId="56F3CF40" w:rsidR="009313D6" w:rsidRPr="00152F20" w:rsidRDefault="009313D6" w:rsidP="00152F20">
      <w:pPr>
        <w:pStyle w:val="Odstavecseseznamem"/>
        <w:numPr>
          <w:ilvl w:val="0"/>
          <w:numId w:val="8"/>
        </w:num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</w:rPr>
        <w:t>Mezinárodní pakt o hospodářských, sociálních a kulturních právech (</w:t>
      </w:r>
      <w:r w:rsidRPr="00A31FBE">
        <w:rPr>
          <w:rFonts w:cstheme="minorHAnsi"/>
          <w:b/>
        </w:rPr>
        <w:t>ICESCR</w:t>
      </w:r>
      <w:r w:rsidR="00A31FBE">
        <w:rPr>
          <w:rFonts w:cstheme="minorHAnsi"/>
        </w:rPr>
        <w:t>, č. 120/1976 Sb.)</w:t>
      </w:r>
      <w:r w:rsidRPr="00152F20">
        <w:rPr>
          <w:rFonts w:cstheme="minorHAnsi"/>
        </w:rPr>
        <w:t>;</w:t>
      </w:r>
    </w:p>
    <w:p w14:paraId="010F932B" w14:textId="29780AA6" w:rsidR="009313D6" w:rsidRPr="00152F20" w:rsidRDefault="009313D6" w:rsidP="00152F20">
      <w:pPr>
        <w:pStyle w:val="Odstavecseseznamem"/>
        <w:numPr>
          <w:ilvl w:val="0"/>
          <w:numId w:val="8"/>
        </w:num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</w:rPr>
        <w:t>Úmluva o odstranění všech forem diskriminace žen (</w:t>
      </w:r>
      <w:r w:rsidRPr="00A31FBE">
        <w:rPr>
          <w:rFonts w:cstheme="minorHAnsi"/>
          <w:b/>
        </w:rPr>
        <w:t>CEDAW</w:t>
      </w:r>
      <w:r w:rsidR="00A31FBE">
        <w:rPr>
          <w:rFonts w:cstheme="minorHAnsi"/>
        </w:rPr>
        <w:t>, č. 62/1987 Sb.)</w:t>
      </w:r>
      <w:r w:rsidRPr="00152F20">
        <w:rPr>
          <w:rFonts w:cstheme="minorHAnsi"/>
        </w:rPr>
        <w:t>;</w:t>
      </w:r>
    </w:p>
    <w:p w14:paraId="4D8D8FB1" w14:textId="0BAA2D52" w:rsidR="009313D6" w:rsidRPr="00152F20" w:rsidRDefault="009313D6" w:rsidP="00152F20">
      <w:pPr>
        <w:pStyle w:val="Odstavecseseznamem"/>
        <w:numPr>
          <w:ilvl w:val="0"/>
          <w:numId w:val="8"/>
        </w:num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</w:rPr>
        <w:t>Úmluva proti mučení a jinému krutému, nelidskému či ponižujícímu zacházení nebo trestání (</w:t>
      </w:r>
      <w:r w:rsidRPr="00A31FBE">
        <w:rPr>
          <w:rFonts w:cstheme="minorHAnsi"/>
          <w:b/>
        </w:rPr>
        <w:t>CAT</w:t>
      </w:r>
      <w:r w:rsidR="00A31FBE">
        <w:rPr>
          <w:rFonts w:cstheme="minorHAnsi"/>
        </w:rPr>
        <w:t>, č. 143/1988 Sb.)</w:t>
      </w:r>
      <w:r w:rsidRPr="00152F20">
        <w:rPr>
          <w:rFonts w:cstheme="minorHAnsi"/>
        </w:rPr>
        <w:t>;</w:t>
      </w:r>
    </w:p>
    <w:p w14:paraId="4ACE668C" w14:textId="74B3164B" w:rsidR="009313D6" w:rsidRPr="00152F20" w:rsidRDefault="009313D6" w:rsidP="00152F20">
      <w:pPr>
        <w:pStyle w:val="Odstavecseseznamem"/>
        <w:numPr>
          <w:ilvl w:val="0"/>
          <w:numId w:val="8"/>
        </w:num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</w:rPr>
        <w:t>Úmluva o právech dítěte (</w:t>
      </w:r>
      <w:r w:rsidRPr="00A31FBE">
        <w:rPr>
          <w:rFonts w:cstheme="minorHAnsi"/>
          <w:b/>
        </w:rPr>
        <w:t>CRC</w:t>
      </w:r>
      <w:r w:rsidR="00A31FBE">
        <w:rPr>
          <w:rFonts w:cstheme="minorHAnsi"/>
        </w:rPr>
        <w:t>, č. 104/1991 Sb.)</w:t>
      </w:r>
      <w:r w:rsidRPr="00152F20">
        <w:rPr>
          <w:rFonts w:cstheme="minorHAnsi"/>
        </w:rPr>
        <w:t>;</w:t>
      </w:r>
    </w:p>
    <w:p w14:paraId="6B40E7B7" w14:textId="32658B1F" w:rsidR="009313D6" w:rsidRPr="00152F20" w:rsidRDefault="009313D6" w:rsidP="00152F20">
      <w:pPr>
        <w:pStyle w:val="Odstavecseseznamem"/>
        <w:numPr>
          <w:ilvl w:val="0"/>
          <w:numId w:val="8"/>
        </w:num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</w:rPr>
        <w:t>Úmluva o právech osob se zdravotním postižením (</w:t>
      </w:r>
      <w:r w:rsidRPr="00A31FBE">
        <w:rPr>
          <w:rFonts w:cstheme="minorHAnsi"/>
          <w:b/>
        </w:rPr>
        <w:t>CRPD</w:t>
      </w:r>
      <w:r w:rsidR="00A31FBE">
        <w:rPr>
          <w:rFonts w:cstheme="minorHAnsi"/>
        </w:rPr>
        <w:t>, č. 10/2010 Sb. m. s.)</w:t>
      </w:r>
      <w:r w:rsidRPr="00152F20">
        <w:rPr>
          <w:rFonts w:cstheme="minorHAnsi"/>
        </w:rPr>
        <w:t>;</w:t>
      </w:r>
    </w:p>
    <w:p w14:paraId="34065609" w14:textId="10014F23" w:rsidR="009313D6" w:rsidRPr="00152F20" w:rsidRDefault="009313D6" w:rsidP="00152F20">
      <w:pPr>
        <w:pStyle w:val="Odstavecseseznamem"/>
        <w:numPr>
          <w:ilvl w:val="0"/>
          <w:numId w:val="8"/>
        </w:num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</w:rPr>
        <w:t>Mezinárodní úmluva na ochranu všech osob před nuceným zmizením (</w:t>
      </w:r>
      <w:r w:rsidRPr="00A31FBE">
        <w:rPr>
          <w:rFonts w:cstheme="minorHAnsi"/>
          <w:b/>
        </w:rPr>
        <w:t>CPED</w:t>
      </w:r>
      <w:r w:rsidR="00A31FBE">
        <w:rPr>
          <w:rFonts w:cstheme="minorHAnsi"/>
        </w:rPr>
        <w:t>, č. 13/2017 Sb. m. s.)</w:t>
      </w:r>
      <w:r w:rsidRPr="00152F20">
        <w:rPr>
          <w:rFonts w:cstheme="minorHAnsi"/>
        </w:rPr>
        <w:t>.</w:t>
      </w:r>
    </w:p>
    <w:p w14:paraId="721F692A" w14:textId="77777777" w:rsidR="009313D6" w:rsidRPr="00152F20" w:rsidRDefault="009313D6" w:rsidP="00152F20">
      <w:pPr>
        <w:spacing w:line="252" w:lineRule="auto"/>
        <w:jc w:val="both"/>
        <w:rPr>
          <w:rFonts w:cstheme="minorHAnsi"/>
          <w:b/>
        </w:rPr>
      </w:pPr>
      <w:r w:rsidRPr="00152F20">
        <w:rPr>
          <w:rFonts w:cstheme="minorHAnsi"/>
          <w:b/>
        </w:rPr>
        <w:t>Na (regionální) úrovni Rady Evropy se jedná o následující úmluvy:</w:t>
      </w:r>
    </w:p>
    <w:p w14:paraId="3A125E8E" w14:textId="53D498F5" w:rsidR="009313D6" w:rsidRPr="00152F20" w:rsidRDefault="009313D6" w:rsidP="00152F20">
      <w:pPr>
        <w:pStyle w:val="Odstavecseseznamem"/>
        <w:numPr>
          <w:ilvl w:val="0"/>
          <w:numId w:val="8"/>
        </w:num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</w:rPr>
        <w:t>Evropská úmluva o zabránění mučení a nelidskému nebo ponižujícímu zacházení nebo trestání (</w:t>
      </w:r>
      <w:r w:rsidR="00A31FBE" w:rsidRPr="00A31FBE">
        <w:rPr>
          <w:rFonts w:cstheme="minorHAnsi"/>
          <w:b/>
        </w:rPr>
        <w:t>ECPT</w:t>
      </w:r>
      <w:r w:rsidR="00A31FBE">
        <w:rPr>
          <w:rFonts w:cstheme="minorHAnsi"/>
        </w:rPr>
        <w:t>, č. 9/1996 Sb.)</w:t>
      </w:r>
      <w:r w:rsidRPr="00152F20">
        <w:rPr>
          <w:rFonts w:cstheme="minorHAnsi"/>
        </w:rPr>
        <w:t>;</w:t>
      </w:r>
    </w:p>
    <w:p w14:paraId="6DC22F72" w14:textId="4CD94C4E" w:rsidR="009313D6" w:rsidRPr="00152F20" w:rsidRDefault="009313D6" w:rsidP="00152F20">
      <w:pPr>
        <w:pStyle w:val="Odstavecseseznamem"/>
        <w:numPr>
          <w:ilvl w:val="0"/>
          <w:numId w:val="8"/>
        </w:num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</w:rPr>
        <w:t>Rámcová úmluva o ochraně národnostních menšin (</w:t>
      </w:r>
      <w:r w:rsidR="00A31FBE" w:rsidRPr="00A31FBE">
        <w:rPr>
          <w:rFonts w:cstheme="minorHAnsi"/>
          <w:b/>
        </w:rPr>
        <w:t>FCNM</w:t>
      </w:r>
      <w:r w:rsidR="00A31FBE">
        <w:rPr>
          <w:rFonts w:cstheme="minorHAnsi"/>
        </w:rPr>
        <w:t>, č. 96/1998 Sb.)</w:t>
      </w:r>
      <w:r w:rsidRPr="00152F20">
        <w:rPr>
          <w:rFonts w:cstheme="minorHAnsi"/>
        </w:rPr>
        <w:t>;</w:t>
      </w:r>
    </w:p>
    <w:p w14:paraId="4DA31BA7" w14:textId="669059CB" w:rsidR="009313D6" w:rsidRPr="00152F20" w:rsidRDefault="009313D6" w:rsidP="00152F20">
      <w:pPr>
        <w:pStyle w:val="Odstavecseseznamem"/>
        <w:numPr>
          <w:ilvl w:val="0"/>
          <w:numId w:val="8"/>
        </w:num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</w:rPr>
        <w:t>Evropská sociální charta (</w:t>
      </w:r>
      <w:r w:rsidR="00A31FBE" w:rsidRPr="00A31FBE">
        <w:rPr>
          <w:rFonts w:cstheme="minorHAnsi"/>
          <w:b/>
        </w:rPr>
        <w:t>ESC</w:t>
      </w:r>
      <w:r w:rsidR="00A31FBE">
        <w:rPr>
          <w:rFonts w:cstheme="minorHAnsi"/>
        </w:rPr>
        <w:t>, č. 14/2000 Sb. m. s.)</w:t>
      </w:r>
      <w:r w:rsidRPr="00152F20">
        <w:rPr>
          <w:rFonts w:cstheme="minorHAnsi"/>
        </w:rPr>
        <w:t>;</w:t>
      </w:r>
    </w:p>
    <w:p w14:paraId="0568BD99" w14:textId="56B5E0B9" w:rsidR="009313D6" w:rsidRPr="00152F20" w:rsidRDefault="009313D6" w:rsidP="00152F20">
      <w:pPr>
        <w:pStyle w:val="Odstavecseseznamem"/>
        <w:numPr>
          <w:ilvl w:val="0"/>
          <w:numId w:val="8"/>
        </w:num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</w:rPr>
        <w:t>Evropská charta regi</w:t>
      </w:r>
      <w:r w:rsidR="00A31FBE">
        <w:rPr>
          <w:rFonts w:cstheme="minorHAnsi"/>
        </w:rPr>
        <w:t xml:space="preserve">onálních či menšinových jazyků </w:t>
      </w:r>
      <w:r w:rsidRPr="00152F20">
        <w:rPr>
          <w:rFonts w:cstheme="minorHAnsi"/>
        </w:rPr>
        <w:t>(</w:t>
      </w:r>
      <w:r w:rsidRPr="00152F20">
        <w:rPr>
          <w:rFonts w:cstheme="minorHAnsi"/>
          <w:b/>
        </w:rPr>
        <w:t>ECRML</w:t>
      </w:r>
      <w:r w:rsidRPr="00152F20">
        <w:rPr>
          <w:rFonts w:cstheme="minorHAnsi"/>
        </w:rPr>
        <w:t>);</w:t>
      </w:r>
    </w:p>
    <w:p w14:paraId="1E3E4796" w14:textId="42D53692" w:rsidR="009313D6" w:rsidRPr="00152F20" w:rsidRDefault="009313D6" w:rsidP="00152F20">
      <w:pPr>
        <w:pStyle w:val="Odstavecseseznamem"/>
        <w:numPr>
          <w:ilvl w:val="0"/>
          <w:numId w:val="8"/>
        </w:num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</w:rPr>
        <w:t>Úmluva Rady Evropy o potírání obchodu s lidmi (</w:t>
      </w:r>
      <w:r w:rsidR="00A31FBE" w:rsidRPr="00A31FBE">
        <w:rPr>
          <w:rFonts w:cstheme="minorHAnsi"/>
          <w:b/>
        </w:rPr>
        <w:t>CATHB</w:t>
      </w:r>
      <w:r w:rsidR="00A31FBE">
        <w:rPr>
          <w:rFonts w:cstheme="minorHAnsi"/>
        </w:rPr>
        <w:t>, č. 33/2017 Sb. m. s.)</w:t>
      </w:r>
      <w:r w:rsidRPr="00152F20">
        <w:rPr>
          <w:rFonts w:cstheme="minorHAnsi"/>
        </w:rPr>
        <w:t>.</w:t>
      </w:r>
    </w:p>
    <w:p w14:paraId="564D1763" w14:textId="77777777" w:rsidR="009313D6" w:rsidRPr="00152F20" w:rsidRDefault="009313D6" w:rsidP="00152F20">
      <w:p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</w:rPr>
        <w:t>Výše uvedený přehled je možné doplnit dvěma oblastmi (po jedné z univerzální a regionální úrovně) ponechávanými stranou, u nichž se nepředpokládá přijetí zvláštních závazků na základě ratifikace příslušné úmluvy daným státem, jelikož monitorování vyplývá již přímo ze samotného členství v příslušné mezinárodní organizaci:</w:t>
      </w:r>
    </w:p>
    <w:p w14:paraId="66871F42" w14:textId="77777777" w:rsidR="009313D6" w:rsidRPr="00152F20" w:rsidRDefault="009313D6" w:rsidP="00152F20">
      <w:pPr>
        <w:pStyle w:val="Odstavecseseznamem"/>
        <w:numPr>
          <w:ilvl w:val="0"/>
          <w:numId w:val="9"/>
        </w:num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</w:rPr>
        <w:t>univerzální periodický přezkum (</w:t>
      </w:r>
      <w:r w:rsidRPr="00152F20">
        <w:rPr>
          <w:rFonts w:cstheme="minorHAnsi"/>
          <w:b/>
        </w:rPr>
        <w:t>UPR</w:t>
      </w:r>
      <w:r w:rsidRPr="00152F20">
        <w:rPr>
          <w:rFonts w:cstheme="minorHAnsi"/>
        </w:rPr>
        <w:t>), jehož monitorovací cyklus probíhá před Radou OSN pro lidská práva (</w:t>
      </w:r>
      <w:r w:rsidRPr="00152F20">
        <w:rPr>
          <w:rFonts w:cstheme="minorHAnsi"/>
          <w:b/>
        </w:rPr>
        <w:t>HRC</w:t>
      </w:r>
      <w:r w:rsidRPr="00152F20">
        <w:rPr>
          <w:rFonts w:cstheme="minorHAnsi"/>
        </w:rPr>
        <w:t>) – tento proces má (na rozdíl od procesů před smluvními orgány OSN) politickou povahu a univerzální charakter (vyplývající ze samotného členství v OSN);</w:t>
      </w:r>
    </w:p>
    <w:p w14:paraId="68C70F33" w14:textId="77777777" w:rsidR="009313D6" w:rsidRPr="00152F20" w:rsidRDefault="009313D6" w:rsidP="00152F20">
      <w:pPr>
        <w:pStyle w:val="Odstavecseseznamem"/>
        <w:numPr>
          <w:ilvl w:val="0"/>
          <w:numId w:val="9"/>
        </w:numPr>
        <w:spacing w:line="252" w:lineRule="auto"/>
        <w:jc w:val="both"/>
        <w:rPr>
          <w:rFonts w:cstheme="minorHAnsi"/>
        </w:rPr>
      </w:pPr>
      <w:r w:rsidRPr="00152F20">
        <w:rPr>
          <w:rFonts w:cstheme="minorHAnsi"/>
        </w:rPr>
        <w:t>monitorovací činnost Evropské komise proti rasismu a nesnášenlivosti (</w:t>
      </w:r>
      <w:r w:rsidRPr="00152F20">
        <w:rPr>
          <w:rFonts w:cstheme="minorHAnsi"/>
          <w:b/>
        </w:rPr>
        <w:t>ECRI</w:t>
      </w:r>
      <w:r w:rsidRPr="00152F20">
        <w:rPr>
          <w:rFonts w:cstheme="minorHAnsi"/>
        </w:rPr>
        <w:t>), jejímž cílem je bojovat proti rasismu, xenofobii, antisemitismu a nesnášenlivosti na celoevropské úrovni a z pohledu ochrany lidských práv – tento proces vyplývá ze samotného členství v Radě Evropy.</w:t>
      </w:r>
    </w:p>
    <w:p w14:paraId="7821F5B9" w14:textId="77777777" w:rsidR="009313D6" w:rsidRPr="00152F20" w:rsidRDefault="009313D6" w:rsidP="00152F20">
      <w:pPr>
        <w:spacing w:line="252" w:lineRule="auto"/>
        <w:jc w:val="both"/>
        <w:rPr>
          <w:rFonts w:cstheme="minorHAnsi"/>
        </w:rPr>
      </w:pPr>
    </w:p>
    <w:sectPr w:rsidR="009313D6" w:rsidRPr="00152F20" w:rsidSect="009C6524"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DE2009" w14:textId="77777777" w:rsidR="003C4B2F" w:rsidRDefault="003C4B2F" w:rsidP="00D02982">
      <w:pPr>
        <w:spacing w:after="0" w:line="240" w:lineRule="auto"/>
      </w:pPr>
      <w:r>
        <w:separator/>
      </w:r>
    </w:p>
  </w:endnote>
  <w:endnote w:type="continuationSeparator" w:id="0">
    <w:p w14:paraId="316C3490" w14:textId="77777777" w:rsidR="003C4B2F" w:rsidRDefault="003C4B2F" w:rsidP="00D02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1542215"/>
      <w:docPartObj>
        <w:docPartGallery w:val="Page Numbers (Bottom of Page)"/>
        <w:docPartUnique/>
      </w:docPartObj>
    </w:sdtPr>
    <w:sdtEndPr/>
    <w:sdtContent>
      <w:p w14:paraId="4558D2BF" w14:textId="0AF6A273" w:rsidR="00152F20" w:rsidRDefault="00152F20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0158">
          <w:rPr>
            <w:noProof/>
          </w:rPr>
          <w:t>2</w:t>
        </w:r>
        <w:r>
          <w:fldChar w:fldCharType="end"/>
        </w:r>
      </w:p>
    </w:sdtContent>
  </w:sdt>
  <w:p w14:paraId="0C3AC0F0" w14:textId="77777777" w:rsidR="00152F20" w:rsidRDefault="00152F2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4517890"/>
      <w:docPartObj>
        <w:docPartGallery w:val="Page Numbers (Bottom of Page)"/>
        <w:docPartUnique/>
      </w:docPartObj>
    </w:sdtPr>
    <w:sdtEndPr/>
    <w:sdtContent>
      <w:p w14:paraId="5552F37F" w14:textId="687343F5" w:rsidR="00656773" w:rsidRDefault="00656773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0158">
          <w:rPr>
            <w:noProof/>
          </w:rPr>
          <w:t>1</w:t>
        </w:r>
        <w:r>
          <w:fldChar w:fldCharType="end"/>
        </w:r>
      </w:p>
    </w:sdtContent>
  </w:sdt>
  <w:p w14:paraId="00506F41" w14:textId="77777777" w:rsidR="00656773" w:rsidRDefault="0065677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DBC741" w14:textId="77777777" w:rsidR="003C4B2F" w:rsidRDefault="003C4B2F" w:rsidP="00D02982">
      <w:pPr>
        <w:spacing w:after="0" w:line="240" w:lineRule="auto"/>
      </w:pPr>
      <w:r>
        <w:separator/>
      </w:r>
    </w:p>
  </w:footnote>
  <w:footnote w:type="continuationSeparator" w:id="0">
    <w:p w14:paraId="2B947A3F" w14:textId="77777777" w:rsidR="003C4B2F" w:rsidRDefault="003C4B2F" w:rsidP="00D02982">
      <w:pPr>
        <w:spacing w:after="0" w:line="240" w:lineRule="auto"/>
      </w:pPr>
      <w:r>
        <w:continuationSeparator/>
      </w:r>
    </w:p>
  </w:footnote>
  <w:footnote w:id="1">
    <w:p w14:paraId="7A840F95" w14:textId="77777777" w:rsidR="005F5C69" w:rsidRPr="009C6524" w:rsidRDefault="005F5C69" w:rsidP="005F5C69">
      <w:pPr>
        <w:pStyle w:val="Textpoznpodarou"/>
        <w:rPr>
          <w:sz w:val="18"/>
          <w:szCs w:val="18"/>
        </w:rPr>
      </w:pPr>
      <w:r w:rsidRPr="009C6524">
        <w:rPr>
          <w:rStyle w:val="Znakapoznpodarou"/>
          <w:sz w:val="18"/>
          <w:szCs w:val="18"/>
        </w:rPr>
        <w:footnoteRef/>
      </w:r>
      <w:r w:rsidRPr="009C6524">
        <w:rPr>
          <w:sz w:val="18"/>
          <w:szCs w:val="18"/>
        </w:rPr>
        <w:t xml:space="preserve"> Článek byl vypracován jako součást projektu Posílení aktivit veřejného ochránce práv v ochraně lidských práv (směrem k ustavení Národní lidskoprávní instituce v ČR), číslo projektu: LP-PDP3-001. Tento projekt je financován z prostředků Fondů EHP a Norska 2014–2021 a státního rozpočtu ČR.</w:t>
      </w:r>
    </w:p>
  </w:footnote>
  <w:footnote w:id="2">
    <w:p w14:paraId="1D462E2B" w14:textId="53C0764A" w:rsidR="00FE31E7" w:rsidRPr="009C6524" w:rsidRDefault="00FE31E7">
      <w:pPr>
        <w:pStyle w:val="Textpoznpodarou"/>
        <w:rPr>
          <w:sz w:val="18"/>
          <w:szCs w:val="18"/>
        </w:rPr>
      </w:pPr>
      <w:r w:rsidRPr="009C6524">
        <w:rPr>
          <w:rStyle w:val="Znakapoznpodarou"/>
          <w:sz w:val="18"/>
          <w:szCs w:val="18"/>
        </w:rPr>
        <w:footnoteRef/>
      </w:r>
      <w:r w:rsidRPr="009C6524">
        <w:rPr>
          <w:sz w:val="18"/>
          <w:szCs w:val="18"/>
        </w:rPr>
        <w:t xml:space="preserve"> Rezoluce Valného shromáždění OSN A/RES/48/134 přijatá dne 20. 12. 1993. Dostupné v angličtině např. </w:t>
      </w:r>
      <w:hyperlink r:id="rId1" w:history="1">
        <w:r w:rsidRPr="009C6524">
          <w:rPr>
            <w:rStyle w:val="Hypertextovodkaz"/>
            <w:sz w:val="18"/>
            <w:szCs w:val="18"/>
          </w:rPr>
          <w:t>zde</w:t>
        </w:r>
      </w:hyperlink>
      <w:r w:rsidRPr="009C6524">
        <w:rPr>
          <w:sz w:val="18"/>
          <w:szCs w:val="18"/>
        </w:rPr>
        <w:t>.</w:t>
      </w:r>
    </w:p>
  </w:footnote>
  <w:footnote w:id="3">
    <w:p w14:paraId="650FA835" w14:textId="4A06988B" w:rsidR="00700E3D" w:rsidRPr="009C6524" w:rsidRDefault="00700E3D">
      <w:pPr>
        <w:pStyle w:val="Textpoznpodarou"/>
        <w:rPr>
          <w:sz w:val="18"/>
          <w:szCs w:val="18"/>
        </w:rPr>
      </w:pPr>
      <w:r w:rsidRPr="009C6524">
        <w:rPr>
          <w:rStyle w:val="Znakapoznpodarou"/>
          <w:sz w:val="18"/>
          <w:szCs w:val="18"/>
        </w:rPr>
        <w:footnoteRef/>
      </w:r>
      <w:r w:rsidRPr="009C6524">
        <w:rPr>
          <w:sz w:val="18"/>
          <w:szCs w:val="18"/>
        </w:rPr>
        <w:t xml:space="preserve"> </w:t>
      </w:r>
      <w:r w:rsidR="00117C32" w:rsidRPr="009C6524">
        <w:rPr>
          <w:sz w:val="18"/>
          <w:szCs w:val="18"/>
        </w:rPr>
        <w:t>Snaha norské</w:t>
      </w:r>
      <w:r w:rsidRPr="009C6524">
        <w:rPr>
          <w:sz w:val="18"/>
          <w:szCs w:val="18"/>
        </w:rPr>
        <w:t xml:space="preserve"> NHRI shrnout Pařížské principy do uživatelsky přívětivé podoby.</w:t>
      </w:r>
    </w:p>
  </w:footnote>
  <w:footnote w:id="4">
    <w:p w14:paraId="1B3E5434" w14:textId="120CB1F8" w:rsidR="00D02982" w:rsidRPr="009C6524" w:rsidRDefault="00D02982">
      <w:pPr>
        <w:pStyle w:val="Textpoznpodarou"/>
        <w:rPr>
          <w:sz w:val="18"/>
          <w:szCs w:val="18"/>
        </w:rPr>
      </w:pPr>
      <w:r w:rsidRPr="009C6524">
        <w:rPr>
          <w:rStyle w:val="Znakapoznpodarou"/>
          <w:sz w:val="18"/>
          <w:szCs w:val="18"/>
        </w:rPr>
        <w:footnoteRef/>
      </w:r>
      <w:r w:rsidRPr="009C6524">
        <w:rPr>
          <w:sz w:val="18"/>
          <w:szCs w:val="18"/>
        </w:rPr>
        <w:t xml:space="preserve"> Viz též </w:t>
      </w:r>
      <w:r w:rsidR="00626F32" w:rsidRPr="009C6524">
        <w:rPr>
          <w:sz w:val="18"/>
          <w:szCs w:val="18"/>
        </w:rPr>
        <w:t xml:space="preserve">tiskovou zprávu k uskutečněnému kulatému stolu k problematice aktuálních otázek v souvislosti se zřízením NHRI v ČR (18. září 2023). Dostupné </w:t>
      </w:r>
      <w:hyperlink r:id="rId2" w:history="1">
        <w:r w:rsidRPr="009C6524">
          <w:rPr>
            <w:rStyle w:val="Hypertextovodkaz"/>
            <w:sz w:val="18"/>
            <w:szCs w:val="18"/>
          </w:rPr>
          <w:t>zde</w:t>
        </w:r>
      </w:hyperlink>
      <w:r w:rsidRPr="009C6524">
        <w:rPr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21528" w14:textId="57AFB2D7" w:rsidR="009C6524" w:rsidRDefault="009C6524">
    <w:pPr>
      <w:pStyle w:val="Zhlav"/>
    </w:pPr>
    <w:r w:rsidRPr="00AC0326">
      <w:rPr>
        <w:noProof/>
        <w:lang w:eastAsia="cs-CZ"/>
      </w:rPr>
      <w:drawing>
        <wp:anchor distT="0" distB="0" distL="114300" distR="114300" simplePos="0" relativeHeight="251659264" behindDoc="0" locked="0" layoutInCell="1" allowOverlap="1" wp14:anchorId="36D23DA1" wp14:editId="1EDD8564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2476500" cy="619125"/>
          <wp:effectExtent l="0" t="0" r="0" b="9525"/>
          <wp:wrapNone/>
          <wp:docPr id="2" name="Obrázek 2" descr="S:\Sektretariát VOP a ZVOP\VIZUÁLNÍ STYL (loga, šablony)\Logo\1) Ombudsman\ombudsma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:\Sektretariát VOP a ZVOP\VIZUÁLNÍ STYL (loga, šablony)\Logo\1) Ombudsman\ombudsman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cs-CZ"/>
      </w:rPr>
      <w:drawing>
        <wp:inline distT="0" distB="0" distL="0" distR="0" wp14:anchorId="1D84C23E" wp14:editId="58801E59">
          <wp:extent cx="553842" cy="626745"/>
          <wp:effectExtent l="0" t="0" r="0" b="1905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889" cy="63019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32B2"/>
    <w:multiLevelType w:val="hybridMultilevel"/>
    <w:tmpl w:val="42B0DD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C6A8E"/>
    <w:multiLevelType w:val="hybridMultilevel"/>
    <w:tmpl w:val="0C96235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664C3"/>
    <w:multiLevelType w:val="hybridMultilevel"/>
    <w:tmpl w:val="94342B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C48C4"/>
    <w:multiLevelType w:val="hybridMultilevel"/>
    <w:tmpl w:val="B6F2DCCA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90353"/>
    <w:multiLevelType w:val="hybridMultilevel"/>
    <w:tmpl w:val="7244F7AE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1177A"/>
    <w:multiLevelType w:val="hybridMultilevel"/>
    <w:tmpl w:val="A0CE92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A2B1D"/>
    <w:multiLevelType w:val="hybridMultilevel"/>
    <w:tmpl w:val="5E9C0F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513E3"/>
    <w:multiLevelType w:val="hybridMultilevel"/>
    <w:tmpl w:val="4992CAFE"/>
    <w:lvl w:ilvl="0" w:tplc="92EA8C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902AB"/>
    <w:multiLevelType w:val="hybridMultilevel"/>
    <w:tmpl w:val="07D255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0C"/>
    <w:rsid w:val="00113C24"/>
    <w:rsid w:val="00117C32"/>
    <w:rsid w:val="00126CDB"/>
    <w:rsid w:val="00152F20"/>
    <w:rsid w:val="00183DD2"/>
    <w:rsid w:val="001F2A65"/>
    <w:rsid w:val="001F347A"/>
    <w:rsid w:val="00211855"/>
    <w:rsid w:val="00284868"/>
    <w:rsid w:val="002A5D0C"/>
    <w:rsid w:val="00325D67"/>
    <w:rsid w:val="00340808"/>
    <w:rsid w:val="003B0DAF"/>
    <w:rsid w:val="003C4B2F"/>
    <w:rsid w:val="00436EDC"/>
    <w:rsid w:val="00442CFD"/>
    <w:rsid w:val="00495CE8"/>
    <w:rsid w:val="004E7AD7"/>
    <w:rsid w:val="004F6C0F"/>
    <w:rsid w:val="005236D3"/>
    <w:rsid w:val="005B4F1E"/>
    <w:rsid w:val="005F5C69"/>
    <w:rsid w:val="00626F32"/>
    <w:rsid w:val="00656773"/>
    <w:rsid w:val="006743DE"/>
    <w:rsid w:val="00700E3D"/>
    <w:rsid w:val="00761CB2"/>
    <w:rsid w:val="007E3F05"/>
    <w:rsid w:val="00815E0C"/>
    <w:rsid w:val="00834F93"/>
    <w:rsid w:val="00907F3B"/>
    <w:rsid w:val="009313D6"/>
    <w:rsid w:val="0094715E"/>
    <w:rsid w:val="009B6596"/>
    <w:rsid w:val="009C6524"/>
    <w:rsid w:val="009D125A"/>
    <w:rsid w:val="009D41C1"/>
    <w:rsid w:val="00A226C0"/>
    <w:rsid w:val="00A31FBE"/>
    <w:rsid w:val="00A35BE6"/>
    <w:rsid w:val="00A65E68"/>
    <w:rsid w:val="00AE4329"/>
    <w:rsid w:val="00B0732B"/>
    <w:rsid w:val="00B3191C"/>
    <w:rsid w:val="00BB080B"/>
    <w:rsid w:val="00C31F11"/>
    <w:rsid w:val="00C350D9"/>
    <w:rsid w:val="00D02982"/>
    <w:rsid w:val="00D651D4"/>
    <w:rsid w:val="00DB10E7"/>
    <w:rsid w:val="00DD3E75"/>
    <w:rsid w:val="00E272AC"/>
    <w:rsid w:val="00E90158"/>
    <w:rsid w:val="00F9164B"/>
    <w:rsid w:val="00FA6F7D"/>
    <w:rsid w:val="00FC5EE3"/>
    <w:rsid w:val="00FC7E7C"/>
    <w:rsid w:val="00FE31E7"/>
    <w:rsid w:val="00FF0EB1"/>
    <w:rsid w:val="00FF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F4D6C"/>
  <w15:chartTrackingRefBased/>
  <w15:docId w15:val="{C7FB45E6-183A-4C06-B3EF-566ADAD9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95CE8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D02982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D02982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D02982"/>
    <w:rPr>
      <w:vertAlign w:val="superscript"/>
    </w:rPr>
  </w:style>
  <w:style w:type="character" w:styleId="Hypertextovodkaz">
    <w:name w:val="Hyperlink"/>
    <w:basedOn w:val="Standardnpsmoodstavce"/>
    <w:uiPriority w:val="99"/>
    <w:unhideWhenUsed/>
    <w:rsid w:val="00BB080B"/>
    <w:rPr>
      <w:color w:val="0563C1" w:themeColor="hyperlink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FE31E7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152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2F20"/>
  </w:style>
  <w:style w:type="paragraph" w:styleId="Zpat">
    <w:name w:val="footer"/>
    <w:basedOn w:val="Normln"/>
    <w:link w:val="ZpatChar"/>
    <w:uiPriority w:val="99"/>
    <w:unhideWhenUsed/>
    <w:rsid w:val="00152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2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riminace.netventic.net/logi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hri.no/en/recommenda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ti.ochrance.cz/media/umluva_o_pravech_ditete_web_pdf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ochrance.cz/aktualne/dozvuky_ombudsmanskeho_setkani_expertu_na_lidska_prava_narodni_lidskopravni_instituce_nhri_si_jako_nezavisly_prostrednik_mezi_statem_obcanskou_spolecnosti_i_verejnosti_musi_nejdrive_ziskat_jejich_duveru/" TargetMode="External"/><Relationship Id="rId1" Type="http://schemas.openxmlformats.org/officeDocument/2006/relationships/hyperlink" Target="https://www.ohchr.org/en/instruments-mechanisms/instruments/principles-relating-status-national-institutions-pari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75752-AB1E-4498-83B4-EB6CABE98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2159</Words>
  <Characters>12741</Characters>
  <Application>Microsoft Office Word</Application>
  <DocSecurity>4</DocSecurity>
  <Lines>106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Zapletal Roman, Mgr.</dc:creator>
  <cp:keywords/>
  <dc:description/>
  <cp:lastModifiedBy>Bádrová Pavlína, Mgr.</cp:lastModifiedBy>
  <cp:revision>2</cp:revision>
  <dcterms:created xsi:type="dcterms:W3CDTF">2023-12-18T07:18:00Z</dcterms:created>
  <dcterms:modified xsi:type="dcterms:W3CDTF">2023-12-18T07:18:00Z</dcterms:modified>
</cp:coreProperties>
</file>