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0664rlui5gq" w:id="0"/>
      <w:bookmarkEnd w:id="0"/>
      <w:r w:rsidDel="00000000" w:rsidR="00000000" w:rsidRPr="00000000">
        <w:rPr>
          <w:rtl w:val="0"/>
        </w:rPr>
        <w:t xml:space="preserve">Test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google solar api did not pickup the main house(green highlighter) only the secondary garage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main house was built in 2019 and the secondary garage sometime in the 80’s, this could be indicative of inherent problems with using Google Solar API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solar model was from 2016 so almost 10 years old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le60ct9y8kfd" w:id="1"/>
      <w:bookmarkEnd w:id="1"/>
      <w:r w:rsidDel="00000000" w:rsidR="00000000" w:rsidRPr="00000000">
        <w:rPr>
          <w:rtl w:val="0"/>
        </w:rPr>
        <w:t xml:space="preserve">Test 2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google solar api did not pickup the roof correctly added the neighbors sheds as part of the property when they are not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These buildings were built back in the 60’s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