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B" w:val="clear"/>
            <w:tcMar>
              <w:top w:type="dxa" w:w="320"/>
              <w:left w:type="dxa" w:w="400"/>
              <w:bottom w:type="dxa" w:w="320"/>
              <w:right w:type="dxa" w:w="400"/>
            </w:tcMar>
          </w:tcPr>
          <w:p>
            <w:pPr>
              <w:jc w:val="center"/>
            </w:pPr>
            <w:r>
              <w:rPr>
                <w:rFonts w:ascii="Arial" w:cs="Arial" w:eastAsia="Arial" w:hAnsi="Arial"/>
                <w:b/>
                <w:bCs/>
                <w:color w:val="FFFFFF"/>
                <w:sz w:val="52"/>
                <w:szCs w:val="52"/>
              </w:rPr>
              <w:t xml:space="preserve">CoreVault AI</w:t>
            </w:r>
          </w:p>
          <w:p>
            <w:pPr>
              <w:jc w:val="center"/>
            </w:pPr>
            <w:r>
              <w:rPr>
                <w:rFonts w:ascii="Arial" w:cs="Arial" w:eastAsia="Arial" w:hAnsi="Arial"/>
                <w:color w:val="A8C8F0"/>
                <w:sz w:val="30"/>
                <w:szCs w:val="30"/>
              </w:rPr>
              <w:t xml:space="preserve">Technology Decision Record</w:t>
            </w:r>
          </w:p>
          <w:p>
            <w:pPr>
              <w:spacing w:before="120"/>
              <w:jc w:val="center"/>
            </w:pPr>
            <w:r>
              <w:rPr>
                <w:rFonts w:ascii="Arial" w:cs="Arial" w:eastAsia="Arial" w:hAnsi="Arial"/>
                <w:color w:val="7aafd4"/>
                <w:sz w:val="20"/>
                <w:szCs w:val="20"/>
              </w:rPr>
              <w:t xml:space="preserve">AI-Native Core Banking Platform  |  Version 1.0  |  2026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7" w:val="clear"/>
            <w:tcMar>
              <w:top w:type="dxa" w:w="120"/>
              <w:left w:type="dxa" w:w="160"/>
              <w:bottom w:type="dxa" w:w="120"/>
              <w:right w:type="dxa" w:w="120"/>
            </w:tcMar>
          </w:tcPr>
          <w:p>
            <w:r>
              <w:rPr>
                <w:rFonts w:ascii="Arial" w:cs="Arial" w:eastAsia="Arial" w:hAnsi="Arial"/>
                <w:b/>
                <w:bCs/>
                <w:color w:val="1A3C6B"/>
                <w:sz w:val="20"/>
                <w:szCs w:val="20"/>
              </w:rPr>
              <w:t xml:space="preserve">Purpose</w:t>
            </w:r>
          </w:p>
        </w:tc>
        <w:tc>
          <w:tcPr>
            <w:tcW w:type="dxa" w:w="8160"/>
            <w:tcBorders>
              <w:top w:val="none" w:color="FFFFFF" w:sz="0"/>
              <w:left w:val="none" w:color="FFFFFF" w:sz="0"/>
              <w:bottom w:val="none" w:color="FFFFFF" w:sz="0"/>
              <w:right w:val="none" w:color="FFFFFF" w:sz="0"/>
            </w:tcBorders>
            <w:shd w:fill="D6E4F7" w:val="clear"/>
            <w:tcMar>
              <w:top w:type="dxa" w:w="120"/>
              <w:left w:type="dxa" w:w="120"/>
              <w:bottom w:type="dxa" w:w="120"/>
              <w:right w:type="dxa" w:w="160"/>
            </w:tcMar>
          </w:tcPr>
          <w:p>
            <w:r>
              <w:rPr>
                <w:rFonts w:ascii="Arial" w:cs="Arial" w:eastAsia="Arial" w:hAnsi="Arial"/>
                <w:color w:val="2C2C2A"/>
                <w:sz w:val="20"/>
                <w:szCs w:val="20"/>
              </w:rPr>
              <w:t xml:space="preserve">This document records the architectural and technology decisions made for CoreVault AI. Each decision includes the alternatives evaluated and the trade-off reasoning. This document is intended for technical reviewers, hiring managers, and engineering teams assessing the platform.</w:t>
            </w:r>
          </w:p>
        </w:tc>
      </w:tr>
    </w:tbl>
    <w:p>
      <w:pPr>
        <w:spacing w:after="0" w:before="200"/>
      </w:pPr>
      <w:r>
        <w:t xml:space="preserve"/>
      </w:r>
    </w:p>
    <w:p>
      <w:pPr>
        <w:pStyle w:val="Heading1"/>
        <w:spacing w:after="160" w:before="320"/>
      </w:pPr>
      <w:r>
        <w:rPr>
          <w:rFonts w:ascii="Arial" w:cs="Arial" w:eastAsia="Arial" w:hAnsi="Arial"/>
          <w:b/>
          <w:bCs/>
          <w:color w:val="1A3C6B"/>
          <w:sz w:val="32"/>
          <w:szCs w:val="32"/>
        </w:rPr>
        <w:t xml:space="preserve">1. Project overview</w:t>
      </w:r>
    </w:p>
    <w:p>
      <w:pPr>
        <w:spacing w:after="60" w:before="60"/>
      </w:pPr>
      <w:r>
        <w:rPr>
          <w:rFonts w:ascii="Arial" w:cs="Arial" w:eastAsia="Arial" w:hAnsi="Arial"/>
          <w:color w:val="2C2C2A"/>
          <w:sz w:val="22"/>
          <w:szCs w:val="22"/>
        </w:rPr>
        <w:t xml:space="preserve">CoreVault AI is an AI-native, cloud-native core banking platform built on a microservices architecture. It is designed to demonstrate the fourth-generation banking system patterns that tier-one consultancies such as Accenture and HTC Global Services deliver to financial institutions undergoing digital core transformation.</w:t>
      </w:r>
    </w:p>
    <w:p>
      <w:pPr>
        <w:spacing w:after="0" w:before="80"/>
      </w:pPr>
      <w:r>
        <w:t xml:space="preserve"/>
      </w:r>
    </w:p>
    <w:p>
      <w:pPr>
        <w:spacing w:after="60" w:before="60"/>
      </w:pPr>
      <w:r>
        <w:rPr>
          <w:rFonts w:ascii="Arial" w:cs="Arial" w:eastAsia="Arial" w:hAnsi="Arial"/>
          <w:color w:val="2C2C2A"/>
          <w:sz w:val="22"/>
          <w:szCs w:val="22"/>
        </w:rPr>
        <w:t xml:space="preserve">The platform is built to production-grade standards, covering: domain-driven design, CQRS with event sourcing, agentic AI workflows, open banking API compliance, and full observability.</w:t>
      </w:r>
    </w:p>
    <w:p>
      <w:pPr>
        <w:spacing w:after="0" w:before="160"/>
      </w:pPr>
      <w:r>
        <w:t xml:space="preserve"/>
      </w:r>
    </w:p>
    <w:p>
      <w:pPr>
        <w:pStyle w:val="Heading1"/>
        <w:spacing w:after="160" w:before="320"/>
      </w:pPr>
      <w:r>
        <w:rPr>
          <w:rFonts w:ascii="Arial" w:cs="Arial" w:eastAsia="Arial" w:hAnsi="Arial"/>
          <w:b/>
          <w:bCs/>
          <w:color w:val="1A3C6B"/>
          <w:sz w:val="32"/>
          <w:szCs w:val="32"/>
        </w:rPr>
        <w:t xml:space="preserve">2. Architecture decisions</w:t>
      </w:r>
    </w:p>
    <w:p>
      <w:pPr>
        <w:pStyle w:val="Heading2"/>
        <w:pBdr>
          <w:bottom w:val="single" w:color="D6E4F7" w:sz="4" w:space="4"/>
        </w:pBdr>
        <w:spacing w:after="120" w:before="280"/>
      </w:pPr>
      <w:r>
        <w:rPr>
          <w:rFonts w:ascii="Arial" w:cs="Arial" w:eastAsia="Arial" w:hAnsi="Arial"/>
          <w:b/>
          <w:bCs/>
          <w:color w:val="1A3C6B"/>
          <w:sz w:val="26"/>
          <w:szCs w:val="26"/>
        </w:rPr>
        <w:t xml:space="preserve">ADR-001: Clean Architecture per service</w:t>
      </w:r>
    </w:p>
    <w:p>
      <w:pPr>
        <w:spacing w:after="80" w:before="200"/>
      </w:pPr>
      <w:r>
        <w:rPr>
          <w:rFonts w:ascii="Arial" w:cs="Arial" w:eastAsia="Arial" w:hAnsi="Arial"/>
          <w:b/>
          <w:bCs/>
          <w:color w:val="0F6E56"/>
          <w:sz w:val="22"/>
          <w:szCs w:val="22"/>
        </w:rPr>
        <w:t xml:space="preserve">Decision</w:t>
      </w:r>
    </w:p>
    <w:p>
      <w:pPr>
        <w:spacing w:after="60" w:before="60"/>
      </w:pPr>
      <w:r>
        <w:rPr>
          <w:rFonts w:ascii="Arial" w:cs="Arial" w:eastAsia="Arial" w:hAnsi="Arial"/>
          <w:color w:val="2C2C2A"/>
          <w:sz w:val="22"/>
          <w:szCs w:val="22"/>
        </w:rPr>
        <w:t xml:space="preserve">Each microservice is internally structured using Clean Architecture with four layers: Domain, Application, Infrastructure, and API.</w:t>
      </w:r>
    </w:p>
    <w:p>
      <w:pPr>
        <w:spacing w:after="80" w:before="200"/>
      </w:pPr>
      <w:r>
        <w:rPr>
          <w:rFonts w:ascii="Arial" w:cs="Arial" w:eastAsia="Arial" w:hAnsi="Arial"/>
          <w:b/>
          <w:bCs/>
          <w:color w:val="0F6E56"/>
          <w:sz w:val="22"/>
          <w:szCs w:val="22"/>
        </w:rPr>
        <w:t xml:space="preserve">Alternatives considered</w:t>
      </w:r>
    </w:p>
    <w:p>
      <w:pPr>
        <w:pStyle w:val="ListParagraph"/>
        <w:numPr>
          <w:ilvl w:val="0"/>
          <w:numId w:val="2"/>
        </w:numPr>
        <w:spacing w:after="40" w:before="40"/>
      </w:pPr>
      <w:r>
        <w:rPr>
          <w:rFonts w:ascii="Arial" w:cs="Arial" w:eastAsia="Arial" w:hAnsi="Arial"/>
          <w:b w:val="false"/>
          <w:bCs w:val="false"/>
          <w:color w:val="2C2C2A"/>
          <w:sz w:val="22"/>
          <w:szCs w:val="22"/>
        </w:rPr>
        <w:t xml:space="preserve">Layered (N-tier) architecture</w:t>
      </w:r>
    </w:p>
    <w:p>
      <w:pPr>
        <w:pStyle w:val="ListParagraph"/>
        <w:numPr>
          <w:ilvl w:val="0"/>
          <w:numId w:val="2"/>
        </w:numPr>
        <w:spacing w:after="40" w:before="40"/>
      </w:pPr>
      <w:r>
        <w:rPr>
          <w:rFonts w:ascii="Arial" w:cs="Arial" w:eastAsia="Arial" w:hAnsi="Arial"/>
          <w:b w:val="false"/>
          <w:bCs w:val="false"/>
          <w:color w:val="2C2C2A"/>
          <w:sz w:val="22"/>
          <w:szCs w:val="22"/>
        </w:rPr>
        <w:t xml:space="preserve">Vertical slice architecture</w:t>
      </w:r>
    </w:p>
    <w:p>
      <w:pPr>
        <w:spacing w:after="80" w:before="200"/>
      </w:pPr>
      <w:r>
        <w:rPr>
          <w:rFonts w:ascii="Arial" w:cs="Arial" w:eastAsia="Arial" w:hAnsi="Arial"/>
          <w:b/>
          <w:bCs/>
          <w:color w:val="0F6E56"/>
          <w:sz w:val="22"/>
          <w:szCs w:val="22"/>
        </w:rPr>
        <w:t xml:space="preserve">Rationale</w:t>
      </w:r>
    </w:p>
    <w:p>
      <w:pPr>
        <w:spacing w:after="60" w:before="60"/>
      </w:pPr>
      <w:r>
        <w:rPr>
          <w:rFonts w:ascii="Arial" w:cs="Arial" w:eastAsia="Arial" w:hAnsi="Arial"/>
          <w:color w:val="2C2C2A"/>
          <w:sz w:val="22"/>
          <w:szCs w:val="22"/>
        </w:rPr>
        <w:t xml:space="preserve">Clean Architecture enforces dependency inversion — outer layers depend on inner layers, never the reverse. Domain logic is fully isolated from infrastructure concerns such as Entity Framework Core, RabbitMQ, and HTTP. This means the core business rules of a bank can be unit tested without spinning up a database or message broker, which is critical for a regulated domain where correctness must be verifiable. Vertical slice was considered but rejected as it optimises for feature delivery speed over domain modelling clarity, which is the wrong trade-off in a financial domain where the domain model is the product.</w:t>
      </w:r>
    </w:p>
    <w:p>
      <w:pPr>
        <w:spacing w:after="0" w:before="120"/>
      </w:pPr>
      <w:r>
        <w:t xml:space="preserve"/>
      </w:r>
    </w:p>
    <w:p>
      <w:pPr>
        <w:pStyle w:val="Heading2"/>
        <w:pBdr>
          <w:bottom w:val="single" w:color="D6E4F7" w:sz="4" w:space="4"/>
        </w:pBdr>
        <w:spacing w:after="120" w:before="280"/>
      </w:pPr>
      <w:r>
        <w:rPr>
          <w:rFonts w:ascii="Arial" w:cs="Arial" w:eastAsia="Arial" w:hAnsi="Arial"/>
          <w:b/>
          <w:bCs/>
          <w:color w:val="1A3C6B"/>
          <w:sz w:val="26"/>
          <w:szCs w:val="26"/>
        </w:rPr>
        <w:t xml:space="preserve">ADR-002: Microservices with bounded context alignment</w:t>
      </w:r>
    </w:p>
    <w:p>
      <w:pPr>
        <w:spacing w:after="80" w:before="200"/>
      </w:pPr>
      <w:r>
        <w:rPr>
          <w:rFonts w:ascii="Arial" w:cs="Arial" w:eastAsia="Arial" w:hAnsi="Arial"/>
          <w:b/>
          <w:bCs/>
          <w:color w:val="0F6E56"/>
          <w:sz w:val="22"/>
          <w:szCs w:val="22"/>
        </w:rPr>
        <w:t xml:space="preserve">Decision</w:t>
      </w:r>
    </w:p>
    <w:p>
      <w:pPr>
        <w:spacing w:after="60" w:before="60"/>
      </w:pPr>
      <w:r>
        <w:rPr>
          <w:rFonts w:ascii="Arial" w:cs="Arial" w:eastAsia="Arial" w:hAnsi="Arial"/>
          <w:color w:val="2C2C2A"/>
          <w:sz w:val="22"/>
          <w:szCs w:val="22"/>
        </w:rPr>
        <w:t xml:space="preserve">Nine independent services, each owning one bounded context and one database. Services communicate exclusively via events through RabbitMQ.</w:t>
      </w:r>
    </w:p>
    <w:p>
      <w:pPr>
        <w:spacing w:after="80" w:before="200"/>
      </w:pPr>
      <w:r>
        <w:rPr>
          <w:rFonts w:ascii="Arial" w:cs="Arial" w:eastAsia="Arial" w:hAnsi="Arial"/>
          <w:b/>
          <w:bCs/>
          <w:color w:val="0F6E56"/>
          <w:sz w:val="22"/>
          <w:szCs w:val="22"/>
        </w:rPr>
        <w:t xml:space="preserve">Alternatives considered</w:t>
      </w:r>
    </w:p>
    <w:p>
      <w:pPr>
        <w:pStyle w:val="ListParagraph"/>
        <w:numPr>
          <w:ilvl w:val="0"/>
          <w:numId w:val="2"/>
        </w:numPr>
        <w:spacing w:after="40" w:before="40"/>
      </w:pPr>
      <w:r>
        <w:rPr>
          <w:rFonts w:ascii="Arial" w:cs="Arial" w:eastAsia="Arial" w:hAnsi="Arial"/>
          <w:b w:val="false"/>
          <w:bCs w:val="false"/>
          <w:color w:val="2C2C2A"/>
          <w:sz w:val="22"/>
          <w:szCs w:val="22"/>
        </w:rPr>
        <w:t xml:space="preserve">Monolith-first with deferred extraction</w:t>
      </w:r>
    </w:p>
    <w:p>
      <w:pPr>
        <w:pStyle w:val="ListParagraph"/>
        <w:numPr>
          <w:ilvl w:val="0"/>
          <w:numId w:val="2"/>
        </w:numPr>
        <w:spacing w:after="40" w:before="40"/>
      </w:pPr>
      <w:r>
        <w:rPr>
          <w:rFonts w:ascii="Arial" w:cs="Arial" w:eastAsia="Arial" w:hAnsi="Arial"/>
          <w:b w:val="false"/>
          <w:bCs w:val="false"/>
          <w:color w:val="2C2C2A"/>
          <w:sz w:val="22"/>
          <w:szCs w:val="22"/>
        </w:rPr>
        <w:t xml:space="preserve">Modular monolith</w:t>
      </w:r>
    </w:p>
    <w:p>
      <w:pPr>
        <w:spacing w:after="80" w:before="200"/>
      </w:pPr>
      <w:r>
        <w:rPr>
          <w:rFonts w:ascii="Arial" w:cs="Arial" w:eastAsia="Arial" w:hAnsi="Arial"/>
          <w:b/>
          <w:bCs/>
          <w:color w:val="0F6E56"/>
          <w:sz w:val="22"/>
          <w:szCs w:val="22"/>
        </w:rPr>
        <w:t xml:space="preserve">Rationale</w:t>
      </w:r>
    </w:p>
    <w:p>
      <w:pPr>
        <w:spacing w:after="60" w:before="60"/>
      </w:pPr>
      <w:r>
        <w:rPr>
          <w:rFonts w:ascii="Arial" w:cs="Arial" w:eastAsia="Arial" w:hAnsi="Arial"/>
          <w:color w:val="2C2C2A"/>
          <w:sz w:val="22"/>
          <w:szCs w:val="22"/>
        </w:rPr>
        <w:t xml:space="preserve">The bounded context boundaries were identified through domain-driven design analysis before a single line of code was written. Because the contexts have fundamentally different data ownership, scaling requirements, and deployment cadences — for example, the Transaction service requires high-availability horizontal scaling while the Audit service requires append-only write guarantees — they were separated from the start. A modular monolith was considered as a stepping stone but rejected because the data isolation requirements (different retention policies, different backup strategies, different compliance scopes per database) made a shared runtime impractical regardless of code modularity.</w:t>
      </w:r>
    </w:p>
    <w:p>
      <w:pPr>
        <w:spacing w:after="0" w:before="120"/>
      </w:pPr>
      <w:r>
        <w:t xml:space="preserve"/>
      </w:r>
    </w:p>
    <w:p>
      <w:pPr>
        <w:pStyle w:val="Heading2"/>
        <w:pBdr>
          <w:bottom w:val="single" w:color="D6E4F7" w:sz="4" w:space="4"/>
        </w:pBdr>
        <w:spacing w:after="120" w:before="280"/>
      </w:pPr>
      <w:r>
        <w:rPr>
          <w:rFonts w:ascii="Arial" w:cs="Arial" w:eastAsia="Arial" w:hAnsi="Arial"/>
          <w:b/>
          <w:bCs/>
          <w:color w:val="1A3C6B"/>
          <w:sz w:val="26"/>
          <w:szCs w:val="26"/>
        </w:rPr>
        <w:t xml:space="preserve">ADR-003: Event-driven communication via RabbitMQ</w:t>
      </w:r>
    </w:p>
    <w:p>
      <w:pPr>
        <w:spacing w:after="80" w:before="200"/>
      </w:pPr>
      <w:r>
        <w:rPr>
          <w:rFonts w:ascii="Arial" w:cs="Arial" w:eastAsia="Arial" w:hAnsi="Arial"/>
          <w:b/>
          <w:bCs/>
          <w:color w:val="0F6E56"/>
          <w:sz w:val="22"/>
          <w:szCs w:val="22"/>
        </w:rPr>
        <w:t xml:space="preserve">Decision</w:t>
      </w:r>
    </w:p>
    <w:p>
      <w:pPr>
        <w:spacing w:after="60" w:before="60"/>
      </w:pPr>
      <w:r>
        <w:rPr>
          <w:rFonts w:ascii="Arial" w:cs="Arial" w:eastAsia="Arial" w:hAnsi="Arial"/>
          <w:color w:val="2C2C2A"/>
          <w:sz w:val="22"/>
          <w:szCs w:val="22"/>
        </w:rPr>
        <w:t xml:space="preserve">All inter-service communication for non-query flows uses asynchronous events via RabbitMQ, using topic and fanout exchange patterns.</w:t>
      </w:r>
    </w:p>
    <w:p>
      <w:pPr>
        <w:spacing w:after="80" w:before="200"/>
      </w:pPr>
      <w:r>
        <w:rPr>
          <w:rFonts w:ascii="Arial" w:cs="Arial" w:eastAsia="Arial" w:hAnsi="Arial"/>
          <w:b/>
          <w:bCs/>
          <w:color w:val="0F6E56"/>
          <w:sz w:val="22"/>
          <w:szCs w:val="22"/>
        </w:rPr>
        <w:t xml:space="preserve">Alternatives considered</w:t>
      </w:r>
    </w:p>
    <w:p>
      <w:pPr>
        <w:pStyle w:val="ListParagraph"/>
        <w:numPr>
          <w:ilvl w:val="0"/>
          <w:numId w:val="2"/>
        </w:numPr>
        <w:spacing w:after="40" w:before="40"/>
      </w:pPr>
      <w:r>
        <w:rPr>
          <w:rFonts w:ascii="Arial" w:cs="Arial" w:eastAsia="Arial" w:hAnsi="Arial"/>
          <w:b w:val="false"/>
          <w:bCs w:val="false"/>
          <w:color w:val="2C2C2A"/>
          <w:sz w:val="22"/>
          <w:szCs w:val="22"/>
        </w:rPr>
        <w:t xml:space="preserve">gRPC synchronous calls between services</w:t>
      </w:r>
    </w:p>
    <w:p>
      <w:pPr>
        <w:pStyle w:val="ListParagraph"/>
        <w:numPr>
          <w:ilvl w:val="0"/>
          <w:numId w:val="2"/>
        </w:numPr>
        <w:spacing w:after="40" w:before="40"/>
      </w:pPr>
      <w:r>
        <w:rPr>
          <w:rFonts w:ascii="Arial" w:cs="Arial" w:eastAsia="Arial" w:hAnsi="Arial"/>
          <w:b w:val="false"/>
          <w:bCs w:val="false"/>
          <w:color w:val="2C2C2A"/>
          <w:sz w:val="22"/>
          <w:szCs w:val="22"/>
        </w:rPr>
        <w:t xml:space="preserve">Apache Kafka</w:t>
      </w:r>
    </w:p>
    <w:p>
      <w:pPr>
        <w:pStyle w:val="ListParagraph"/>
        <w:numPr>
          <w:ilvl w:val="0"/>
          <w:numId w:val="2"/>
        </w:numPr>
        <w:spacing w:after="40" w:before="40"/>
      </w:pPr>
      <w:r>
        <w:rPr>
          <w:rFonts w:ascii="Arial" w:cs="Arial" w:eastAsia="Arial" w:hAnsi="Arial"/>
          <w:b w:val="false"/>
          <w:bCs w:val="false"/>
          <w:color w:val="2C2C2A"/>
          <w:sz w:val="22"/>
          <w:szCs w:val="22"/>
        </w:rPr>
        <w:t xml:space="preserve">Azure Service Bus</w:t>
      </w:r>
    </w:p>
    <w:p>
      <w:pPr>
        <w:spacing w:after="80" w:before="200"/>
      </w:pPr>
      <w:r>
        <w:rPr>
          <w:rFonts w:ascii="Arial" w:cs="Arial" w:eastAsia="Arial" w:hAnsi="Arial"/>
          <w:b/>
          <w:bCs/>
          <w:color w:val="0F6E56"/>
          <w:sz w:val="22"/>
          <w:szCs w:val="22"/>
        </w:rPr>
        <w:t xml:space="preserve">Rationale</w:t>
      </w:r>
    </w:p>
    <w:p>
      <w:pPr>
        <w:spacing w:after="60" w:before="60"/>
      </w:pPr>
      <w:r>
        <w:rPr>
          <w:rFonts w:ascii="Arial" w:cs="Arial" w:eastAsia="Arial" w:hAnsi="Arial"/>
          <w:color w:val="2C2C2A"/>
          <w:sz w:val="22"/>
          <w:szCs w:val="22"/>
        </w:rPr>
        <w:t xml:space="preserve">Temporal decoupling is non-negotiable in a banking platform. If the AI Intelligence service is unavailable, transaction processing must continue — the event is held in the queue until the consumer recovers. gRPC synchronous calls would create tight temporal coupling and cascade failures. Kafka was evaluated but its operational complexity (ZooKeeper/KRaft, partition management, consumer group rebalancing) is disproportionate for a portfolio-scale platform. RabbitMQ provides sufficient throughput, proven reliability, and runs locally in Docker with zero cost. Azure Service Bus is the production migration path when the platform moves to Azure, and the abstraction layer built over the message broker makes this switch a configuration change rather than a code change.</w:t>
      </w:r>
    </w:p>
    <w:p>
      <w:pPr>
        <w:spacing w:after="0" w:before="120"/>
      </w:pPr>
      <w:r>
        <w:t xml:space="preserve"/>
      </w:r>
    </w:p>
    <w:p>
      <w:pPr>
        <w:pStyle w:val="Heading2"/>
        <w:pBdr>
          <w:bottom w:val="single" w:color="D6E4F7" w:sz="4" w:space="4"/>
        </w:pBdr>
        <w:spacing w:after="120" w:before="280"/>
      </w:pPr>
      <w:r>
        <w:rPr>
          <w:rFonts w:ascii="Arial" w:cs="Arial" w:eastAsia="Arial" w:hAnsi="Arial"/>
          <w:b/>
          <w:bCs/>
          <w:color w:val="1A3C6B"/>
          <w:sz w:val="26"/>
          <w:szCs w:val="26"/>
        </w:rPr>
        <w:t xml:space="preserve">ADR-004: Outbox Pattern for guaranteed event delivery</w:t>
      </w:r>
    </w:p>
    <w:p>
      <w:pPr>
        <w:spacing w:after="80" w:before="200"/>
      </w:pPr>
      <w:r>
        <w:rPr>
          <w:rFonts w:ascii="Arial" w:cs="Arial" w:eastAsia="Arial" w:hAnsi="Arial"/>
          <w:b/>
          <w:bCs/>
          <w:color w:val="0F6E56"/>
          <w:sz w:val="22"/>
          <w:szCs w:val="22"/>
        </w:rPr>
        <w:t xml:space="preserve">Decision</w:t>
      </w:r>
    </w:p>
    <w:p>
      <w:pPr>
        <w:spacing w:after="60" w:before="60"/>
      </w:pPr>
      <w:r>
        <w:rPr>
          <w:rFonts w:ascii="Arial" w:cs="Arial" w:eastAsia="Arial" w:hAnsi="Arial"/>
          <w:color w:val="2C2C2A"/>
          <w:sz w:val="22"/>
          <w:szCs w:val="22"/>
        </w:rPr>
        <w:t xml:space="preserve">All services persist domain events to an Outbox table in the same database transaction as business data. A background publisher service reads and delivers these events to RabbitMQ.</w:t>
      </w:r>
    </w:p>
    <w:p>
      <w:pPr>
        <w:spacing w:after="80" w:before="200"/>
      </w:pPr>
      <w:r>
        <w:rPr>
          <w:rFonts w:ascii="Arial" w:cs="Arial" w:eastAsia="Arial" w:hAnsi="Arial"/>
          <w:b/>
          <w:bCs/>
          <w:color w:val="0F6E56"/>
          <w:sz w:val="22"/>
          <w:szCs w:val="22"/>
        </w:rPr>
        <w:t xml:space="preserve">Alternatives considered</w:t>
      </w:r>
    </w:p>
    <w:p>
      <w:pPr>
        <w:pStyle w:val="ListParagraph"/>
        <w:numPr>
          <w:ilvl w:val="0"/>
          <w:numId w:val="2"/>
        </w:numPr>
        <w:spacing w:after="40" w:before="40"/>
      </w:pPr>
      <w:r>
        <w:rPr>
          <w:rFonts w:ascii="Arial" w:cs="Arial" w:eastAsia="Arial" w:hAnsi="Arial"/>
          <w:b w:val="false"/>
          <w:bCs w:val="false"/>
          <w:color w:val="2C2C2A"/>
          <w:sz w:val="22"/>
          <w:szCs w:val="22"/>
        </w:rPr>
        <w:t xml:space="preserve">Publish directly to RabbitMQ inside the business transaction</w:t>
      </w:r>
    </w:p>
    <w:p>
      <w:pPr>
        <w:pStyle w:val="ListParagraph"/>
        <w:numPr>
          <w:ilvl w:val="0"/>
          <w:numId w:val="2"/>
        </w:numPr>
        <w:spacing w:after="40" w:before="40"/>
      </w:pPr>
      <w:r>
        <w:rPr>
          <w:rFonts w:ascii="Arial" w:cs="Arial" w:eastAsia="Arial" w:hAnsi="Arial"/>
          <w:b w:val="false"/>
          <w:bCs w:val="false"/>
          <w:color w:val="2C2C2A"/>
          <w:sz w:val="22"/>
          <w:szCs w:val="22"/>
        </w:rPr>
        <w:t xml:space="preserve">Two-phase commit (distributed transaction)</w:t>
      </w:r>
    </w:p>
    <w:p>
      <w:pPr>
        <w:spacing w:after="80" w:before="200"/>
      </w:pPr>
      <w:r>
        <w:rPr>
          <w:rFonts w:ascii="Arial" w:cs="Arial" w:eastAsia="Arial" w:hAnsi="Arial"/>
          <w:b/>
          <w:bCs/>
          <w:color w:val="0F6E56"/>
          <w:sz w:val="22"/>
          <w:szCs w:val="22"/>
        </w:rPr>
        <w:t xml:space="preserve">Rationale</w:t>
      </w:r>
    </w:p>
    <w:p>
      <w:pPr>
        <w:spacing w:after="60" w:before="60"/>
      </w:pPr>
      <w:r>
        <w:rPr>
          <w:rFonts w:ascii="Arial" w:cs="Arial" w:eastAsia="Arial" w:hAnsi="Arial"/>
          <w:color w:val="2C2C2A"/>
          <w:sz w:val="22"/>
          <w:szCs w:val="22"/>
        </w:rPr>
        <w:t xml:space="preserve">Direct publish creates a dual-write problem — if the application crashes between saving to the database and publishing to RabbitMQ, money moves but the audit trail, fraud scoring, and notifications never fire. In a bank, this is a regulatory violation, not merely a bug. Two-phase commit was rejected as it reintroduces distributed coupling at the protocol level and is operationally fragile. The Outbox Pattern provides at-least-once delivery with exactly-once business semantics, using only a single database transaction — the same ACID guarantee that has underpinned banking systems for decades.</w:t>
      </w:r>
    </w:p>
    <w:p>
      <w:pPr>
        <w:spacing w:after="0" w:before="200"/>
      </w:pPr>
      <w:r>
        <w:t xml:space="preserve"/>
      </w:r>
    </w:p>
    <w:p>
      <w:pPr>
        <w:pStyle w:val="Heading1"/>
        <w:spacing w:after="160" w:before="320"/>
      </w:pPr>
      <w:r>
        <w:rPr>
          <w:rFonts w:ascii="Arial" w:cs="Arial" w:eastAsia="Arial" w:hAnsi="Arial"/>
          <w:b/>
          <w:bCs/>
          <w:color w:val="1A3C6B"/>
          <w:sz w:val="32"/>
          <w:szCs w:val="32"/>
        </w:rPr>
        <w:t xml:space="preserve">3. Technology stack decisions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rPr>
          <w:tblHeader/>
        </w:trPr>
        <w:tc>
          <w:tcPr>
            <w:tcW w:type="dxa" w:w="28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8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Chosen</w:t>
            </w:r>
          </w:p>
        </w:tc>
        <w:tc>
          <w:tcPr>
            <w:tcW w:type="dxa" w:w="228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Alternatives considered</w:t>
            </w:r>
          </w:p>
        </w:tc>
        <w:tc>
          <w:tcPr>
            <w:tcW w:type="dxa" w:w="2000"/>
            <w:tcBorders>
              <w:top w:val="single" w:color="CCCCCC" w:sz="1"/>
              <w:left w:val="single" w:color="CCCCCC" w:sz="1"/>
              <w:bottom w:val="single" w:color="CCCCCC" w:sz="1"/>
              <w:right w:val="single" w:color="CCCCCC" w:sz="1"/>
            </w:tcBorders>
            <w:shd w:fill="1A3C6B" w:val="clear"/>
            <w:tcMar>
              <w:top w:type="dxa" w:w="80"/>
              <w:left w:type="dxa" w:w="120"/>
              <w:bottom w:type="dxa" w:w="80"/>
              <w:right w:type="dxa" w:w="120"/>
            </w:tcMar>
          </w:tcPr>
          <w:p>
            <w:r>
              <w:rPr>
                <w:rFonts w:ascii="Arial" w:cs="Arial" w:eastAsia="Arial" w:hAnsi="Arial"/>
                <w:b/>
                <w:bCs/>
                <w:color w:val="FFFFFF"/>
                <w:sz w:val="20"/>
                <w:szCs w:val="20"/>
              </w:rPr>
              <w:t xml:space="preserve">Decision 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Runtime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.NET 8 / ASP.NET Core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.NET 6, Node.js, Java Spring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.NET 8 LTS provides performance gains from the previous generation, minimal APIs for lightweight service endpoints, and native AOT compilation readiness. The Malaysian enterprise market and target employers (Accenture, HTC) primarily run .NET stacks.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ORM</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Entity Framework Core 8</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Dapper, NHibernate, raw ADO.NET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EF Core 8 provides migration management, concurrency tokens (RowVersion) for optimistic locking on account balances, value converters for money types, and interceptors for audit logging. Dapper was considered for read-heavy paths and is used selectively for read model projections where raw SQL performance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CQRS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MediatR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Custom mediator, NServiceBus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MediatR is the de facto standard for CQRS in the .NET ecosystem, provides pipeline behaviours for cross-cutting concerns (validation, logging, auth), and has zero runtime cost. Pipeline behaviours replace the need for decorator chains or AOP frameworks.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Message broker</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RabbitMQ</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Apache Kafka, Azure Service Bus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See ADR-003. RabbitMQ runs in Docker at zero cost, provides topic and fanout exchanges natively, and has a production-equivalent Azure Service Bus migration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Caching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Redis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In-memory cache, Memcached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Redis provides distributed caching across service instances, is used as the idempotency key store for the Transaction service, and backs rate limiting in the API Gateway. In-memory cache does not survive pod restarts in a containerised environment.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API Gateway</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YARP (Microsoft)</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Ocelot, Kong, AWS API Gateway</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YARP is Microsoft's official reverse proxy library, runs in-process with the gateway service (no separate process), and is configurable via JSON with no code changes needed for routing updates. Ocelot is less actively maintained. Kong adds operational complexity disproportionate to portfolio scale.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Auth</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ASP.NET Core Identity + JWT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Keycloak, Auth0, IdentityServer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ASP.NET Core Identity provides the full user management stack. Custom JWT issuance gives full control over claim design and token lifetimes. Keycloak was considered for OAuth 2.0 server capabilities but adds infrastructure complexity; the OAuth 2.0 consent server for Open Banking is implemented directly in the Identity service to keep dependencies minimal.</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AI reasoning</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Claude API (Anthropic)</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OpenAI GPT-4, Azure OpenAI, local LLM</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Claude's context window and instruction-following capability make it well-suited for structured JSON output from complex financial prompts. A vendor abstraction interface (IReasoningEngine) means the underlying model is swappable without changing agent logic. A rule-based fallback engine activates via circuit breaker when the API is unavailable, ensuring the platform degrades gracefully rather than failing.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Observability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OpenTelemetry + Serilog + Seq</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Datadog, New Relic, ELK Stack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OpenTelemetry is the vendor-neutral standard for distributed tracing, now adopted by all major cloud providers. Serilog provides structured logging with enrichers. Seq runs locally in Docker with a free tier and provides a queryable log UI. This stack maps 1:1 to Azure Monitor + Application Insights in production.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Containerisation</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Docker + Docker Compose</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Podman, bare metal, VMs</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Docker Compose brings up all nine services, RabbitMQ, Redis, SQL Server, and Seq with a single command. This eliminates environment inconsistency and makes the platform immediately runnable for any reviewer cloning the repository.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CI/CD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GitHub Actions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Azure DevOps, Jenkins, CircleCI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GitHub Actions is free for public repositories, co-located with the source code, and has native Docker build and push actions. Pipeline configuration is YAML-based and reviewable alongside application code.</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Frontend</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React + TypeScript</w:t>
            </w:r>
          </w:p>
        </w:tc>
        <w:tc>
          <w:tcPr>
            <w:tcW w:type="dxa" w:w="2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Angular, Blazor, Vue</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2C2C2A"/>
                <w:sz w:val="20"/>
                <w:szCs w:val="20"/>
              </w:rPr>
              <w:t xml:space="preserve">React is the dominant choice in the Malaysian tech market. TypeScript adds type safety that mirrors the strongly-typed discipline of the .NET backend. The Open Banking developer portal and compliance dashboard are React applications, building on the structured React learning curriculum already in progress.</w:t>
            </w:r>
          </w:p>
        </w:tc>
      </w:tr>
    </w:tbl>
    <w:p>
      <w:pPr>
        <w:spacing w:after="0" w:before="200"/>
      </w:pPr>
      <w:r>
        <w:t xml:space="preserve"/>
      </w:r>
    </w:p>
    <w:p>
      <w:pPr>
        <w:pStyle w:val="Heading1"/>
        <w:spacing w:after="160" w:before="320"/>
      </w:pPr>
      <w:r>
        <w:rPr>
          <w:rFonts w:ascii="Arial" w:cs="Arial" w:eastAsia="Arial" w:hAnsi="Arial"/>
          <w:b/>
          <w:bCs/>
          <w:color w:val="1A3C6B"/>
          <w:sz w:val="32"/>
          <w:szCs w:val="32"/>
        </w:rPr>
        <w:t xml:space="preserve">4. Data architecture decisions</w:t>
      </w:r>
    </w:p>
    <w:p>
      <w:pPr>
        <w:pStyle w:val="Heading2"/>
        <w:pBdr>
          <w:bottom w:val="single" w:color="D6E4F7" w:sz="4" w:space="4"/>
        </w:pBdr>
        <w:spacing w:after="120" w:before="280"/>
      </w:pPr>
      <w:r>
        <w:rPr>
          <w:rFonts w:ascii="Arial" w:cs="Arial" w:eastAsia="Arial" w:hAnsi="Arial"/>
          <w:b/>
          <w:bCs/>
          <w:color w:val="1A3C6B"/>
          <w:sz w:val="26"/>
          <w:szCs w:val="26"/>
        </w:rPr>
        <w:t xml:space="preserve">ADR-005: Database per service</w:t>
      </w:r>
    </w:p>
    <w:p>
      <w:pPr>
        <w:spacing w:after="60" w:before="60"/>
      </w:pPr>
      <w:r>
        <w:rPr>
          <w:rFonts w:ascii="Arial" w:cs="Arial" w:eastAsia="Arial" w:hAnsi="Arial"/>
          <w:color w:val="2C2C2A"/>
          <w:sz w:val="22"/>
          <w:szCs w:val="22"/>
        </w:rPr>
        <w:t xml:space="preserve">Each service owns exactly one SQL Server database. No service connects to another service's database directly. Cross-service data needs are resolved through event-driven read model projections, not shared tables or distributed joins.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DC" w:val="clear"/>
            <w:tcMar>
              <w:top w:type="dxa" w:w="120"/>
              <w:left w:type="dxa" w:w="160"/>
              <w:bottom w:type="dxa" w:w="120"/>
              <w:right w:type="dxa" w:w="120"/>
            </w:tcMar>
          </w:tcPr>
          <w:p>
            <w:r>
              <w:rPr>
                <w:rFonts w:ascii="Arial" w:cs="Arial" w:eastAsia="Arial" w:hAnsi="Arial"/>
                <w:b/>
                <w:bCs/>
                <w:color w:val="854F0B"/>
                <w:sz w:val="20"/>
                <w:szCs w:val="20"/>
              </w:rPr>
              <w:t xml:space="preserve">Why SQL Server?</w:t>
            </w:r>
          </w:p>
        </w:tc>
        <w:tc>
          <w:tcPr>
            <w:tcW w:type="dxa" w:w="8160"/>
            <w:tcBorders>
              <w:top w:val="none" w:color="FFFFFF" w:sz="0"/>
              <w:left w:val="none" w:color="FFFFFF" w:sz="0"/>
              <w:bottom w:val="none" w:color="FFFFFF" w:sz="0"/>
              <w:right w:val="none" w:color="FFFFFF" w:sz="0"/>
            </w:tcBorders>
            <w:shd w:fill="FEF3DC" w:val="clear"/>
            <w:tcMar>
              <w:top w:type="dxa" w:w="120"/>
              <w:left w:type="dxa" w:w="120"/>
              <w:bottom w:type="dxa" w:w="120"/>
              <w:right w:type="dxa" w:w="160"/>
            </w:tcMar>
          </w:tcPr>
          <w:p>
            <w:r>
              <w:rPr>
                <w:rFonts w:ascii="Arial" w:cs="Arial" w:eastAsia="Arial" w:hAnsi="Arial"/>
                <w:color w:val="2C2C2A"/>
                <w:sz w:val="20"/>
                <w:szCs w:val="20"/>
              </w:rPr>
              <w:t xml:space="preserve">SQL Server Express is free. ACID compliance is non-negotiable for financial data. EF Core has first-class SQL Server support. Azure SQL is the production migration path. PostgreSQL is an equivalent alternative and the abstraction layer supports either.</w:t>
            </w:r>
          </w:p>
        </w:tc>
      </w:tr>
    </w:tbl>
    <w:p>
      <w:pPr>
        <w:spacing w:after="0" w:before="120"/>
      </w:pPr>
      <w:r>
        <w:t xml:space="preserve"/>
      </w:r>
    </w:p>
    <w:p>
      <w:pPr>
        <w:pStyle w:val="Heading2"/>
        <w:pBdr>
          <w:bottom w:val="single" w:color="D6E4F7" w:sz="4" w:space="4"/>
        </w:pBdr>
        <w:spacing w:after="120" w:before="280"/>
      </w:pPr>
      <w:r>
        <w:rPr>
          <w:rFonts w:ascii="Arial" w:cs="Arial" w:eastAsia="Arial" w:hAnsi="Arial"/>
          <w:b/>
          <w:bCs/>
          <w:color w:val="1A3C6B"/>
          <w:sz w:val="26"/>
          <w:szCs w:val="26"/>
        </w:rPr>
        <w:t xml:space="preserve">ADR-006: CQRS read models for cross-service queries</w:t>
      </w:r>
    </w:p>
    <w:p>
      <w:pPr>
        <w:spacing w:after="60" w:before="60"/>
      </w:pPr>
      <w:r>
        <w:rPr>
          <w:rFonts w:ascii="Arial" w:cs="Arial" w:eastAsia="Arial" w:hAnsi="Arial"/>
          <w:color w:val="2C2C2A"/>
          <w:sz w:val="22"/>
          <w:szCs w:val="22"/>
        </w:rPr>
        <w:t xml:space="preserve">The Audit service builds and maintains read model projection tables by consuming events from all other services. Dashboard and reporting queries read from these projections rather than making synchronous calls across service boundaries.</w:t>
      </w:r>
    </w:p>
    <w:p>
      <w:pPr>
        <w:spacing w:after="0" w:before="80"/>
      </w:pPr>
      <w:r>
        <w:t xml:space="preserve"/>
      </w:r>
    </w:p>
    <w:p>
      <w:pPr>
        <w:spacing w:after="60" w:before="60"/>
      </w:pPr>
      <w:r>
        <w:rPr>
          <w:rFonts w:ascii="Arial" w:cs="Arial" w:eastAsia="Arial" w:hAnsi="Arial"/>
          <w:color w:val="2C2C2A"/>
          <w:sz w:val="22"/>
          <w:szCs w:val="22"/>
        </w:rPr>
        <w:t xml:space="preserve">This introduces eventual consistency — projections are updated within milliseconds of events being processed, not instantaneously. This is acceptable for compliance dashboards and reporting. Real-time balance checks for transaction authorisation use the Account service's API directly.</w:t>
      </w:r>
    </w:p>
    <w:p>
      <w:pPr>
        <w:spacing w:after="0" w:before="120"/>
      </w:pPr>
      <w:r>
        <w:t xml:space="preserve"/>
      </w:r>
    </w:p>
    <w:p>
      <w:pPr>
        <w:pStyle w:val="Heading2"/>
        <w:pBdr>
          <w:bottom w:val="single" w:color="D6E4F7" w:sz="4" w:space="4"/>
        </w:pBdr>
        <w:spacing w:after="120" w:before="280"/>
      </w:pPr>
      <w:r>
        <w:rPr>
          <w:rFonts w:ascii="Arial" w:cs="Arial" w:eastAsia="Arial" w:hAnsi="Arial"/>
          <w:b/>
          <w:bCs/>
          <w:color w:val="1A3C6B"/>
          <w:sz w:val="26"/>
          <w:szCs w:val="26"/>
        </w:rPr>
        <w:t xml:space="preserve">ADR-007: Append-only Audit database</w:t>
      </w:r>
    </w:p>
    <w:p>
      <w:pPr>
        <w:spacing w:after="60" w:before="60"/>
      </w:pPr>
      <w:r>
        <w:rPr>
          <w:rFonts w:ascii="Arial" w:cs="Arial" w:eastAsia="Arial" w:hAnsi="Arial"/>
          <w:color w:val="2C2C2A"/>
          <w:sz w:val="22"/>
          <w:szCs w:val="22"/>
        </w:rPr>
        <w:t xml:space="preserve">The AuditDb has UPDATE and DELETE permissions denied at the database level via SQL Server security roles. All records are immutable once written. This is enforced at the infrastructure level, not just by application convention.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7" w:val="clear"/>
            <w:tcMar>
              <w:top w:type="dxa" w:w="120"/>
              <w:left w:type="dxa" w:w="160"/>
              <w:bottom w:type="dxa" w:w="120"/>
              <w:right w:type="dxa" w:w="120"/>
            </w:tcMar>
          </w:tcPr>
          <w:p>
            <w:r>
              <w:rPr>
                <w:rFonts w:ascii="Arial" w:cs="Arial" w:eastAsia="Arial" w:hAnsi="Arial"/>
                <w:b/>
                <w:bCs/>
                <w:color w:val="1A3C6B"/>
                <w:sz w:val="20"/>
                <w:szCs w:val="20"/>
              </w:rPr>
              <w:t xml:space="preserve">Regulatory context</w:t>
            </w:r>
          </w:p>
        </w:tc>
        <w:tc>
          <w:tcPr>
            <w:tcW w:type="dxa" w:w="8160"/>
            <w:tcBorders>
              <w:top w:val="none" w:color="FFFFFF" w:sz="0"/>
              <w:left w:val="none" w:color="FFFFFF" w:sz="0"/>
              <w:bottom w:val="none" w:color="FFFFFF" w:sz="0"/>
              <w:right w:val="none" w:color="FFFFFF" w:sz="0"/>
            </w:tcBorders>
            <w:shd w:fill="D6E4F7" w:val="clear"/>
            <w:tcMar>
              <w:top w:type="dxa" w:w="120"/>
              <w:left w:type="dxa" w:w="120"/>
              <w:bottom w:type="dxa" w:w="120"/>
              <w:right w:type="dxa" w:w="160"/>
            </w:tcMar>
          </w:tcPr>
          <w:p>
            <w:r>
              <w:rPr>
                <w:rFonts w:ascii="Arial" w:cs="Arial" w:eastAsia="Arial" w:hAnsi="Arial"/>
                <w:color w:val="2C2C2A"/>
                <w:sz w:val="20"/>
                <w:szCs w:val="20"/>
              </w:rPr>
              <w:t xml:space="preserve">Bank Negara Malaysia's RMiT framework and PDPA requirements mandate that financial audit records are retained for a minimum of seven years and cannot be altered. Enforcement at the database permission level means no application bug or developer error can accidentally violate this requirement.</w:t>
            </w:r>
          </w:p>
        </w:tc>
      </w:tr>
    </w:tbl>
    <w:p>
      <w:pPr>
        <w:spacing w:after="0" w:before="200"/>
      </w:pPr>
      <w:r>
        <w:t xml:space="preserve"/>
      </w:r>
    </w:p>
    <w:p>
      <w:pPr>
        <w:pStyle w:val="Heading1"/>
        <w:spacing w:after="160" w:before="320"/>
      </w:pPr>
      <w:r>
        <w:rPr>
          <w:rFonts w:ascii="Arial" w:cs="Arial" w:eastAsia="Arial" w:hAnsi="Arial"/>
          <w:b/>
          <w:bCs/>
          <w:color w:val="1A3C6B"/>
          <w:sz w:val="32"/>
          <w:szCs w:val="32"/>
        </w:rPr>
        <w:t xml:space="preserve">5. AI agent architecture decisions</w:t>
      </w:r>
    </w:p>
    <w:p>
      <w:pPr>
        <w:pStyle w:val="Heading2"/>
        <w:pBdr>
          <w:bottom w:val="single" w:color="D6E4F7" w:sz="4" w:space="4"/>
        </w:pBdr>
        <w:spacing w:after="120" w:before="280"/>
      </w:pPr>
      <w:r>
        <w:rPr>
          <w:rFonts w:ascii="Arial" w:cs="Arial" w:eastAsia="Arial" w:hAnsi="Arial"/>
          <w:b/>
          <w:bCs/>
          <w:color w:val="1A3C6B"/>
          <w:sz w:val="26"/>
          <w:szCs w:val="26"/>
        </w:rPr>
        <w:t xml:space="preserve">ADR-008: BaseAgent abstraction with circuit breaker fallback</w:t>
      </w:r>
    </w:p>
    <w:p>
      <w:pPr>
        <w:spacing w:after="60" w:before="60"/>
      </w:pPr>
      <w:r>
        <w:rPr>
          <w:rFonts w:ascii="Arial" w:cs="Arial" w:eastAsia="Arial" w:hAnsi="Arial"/>
          <w:color w:val="2C2C2A"/>
          <w:sz w:val="22"/>
          <w:szCs w:val="22"/>
        </w:rPr>
        <w:t xml:space="preserve">All four AI agents (KYC, Fraud, Loan, Compliance) extend a common BaseAgent&lt;TInput, TOutput&gt; abstract class. The base class handles context gathering, prompt construction, Claude API invocation, structured response parsing, fallback activation, and audit logging in a consistent pipeline.</w:t>
      </w:r>
    </w:p>
    <w:p>
      <w:pPr>
        <w:spacing w:after="0" w:before="80"/>
      </w:pPr>
      <w:r>
        <w:t xml:space="preserve"/>
      </w:r>
    </w:p>
    <w:p>
      <w:pPr>
        <w:spacing w:after="60" w:before="60"/>
      </w:pPr>
      <w:r>
        <w:rPr>
          <w:rFonts w:ascii="Arial" w:cs="Arial" w:eastAsia="Arial" w:hAnsi="Arial"/>
          <w:color w:val="2C2C2A"/>
          <w:sz w:val="22"/>
          <w:szCs w:val="22"/>
        </w:rPr>
        <w:t xml:space="preserve">When the Claude API is unavailable, a Polly circuit breaker trips and routes the decision to a deterministic rule engine implemented per agent. The fallback decision is logged with a lower confidence score and a flag indicating that the AI reasoning layer was not used, which may trigger a mandatory human review requirement depending on decision type.</w:t>
      </w:r>
    </w:p>
    <w:p>
      <w:pPr>
        <w:spacing w:after="0" w:before="120"/>
      </w:pPr>
      <w:r>
        <w:t xml:space="preserve"/>
      </w:r>
    </w:p>
    <w:p>
      <w:pPr>
        <w:pStyle w:val="Heading2"/>
        <w:pBdr>
          <w:bottom w:val="single" w:color="D6E4F7" w:sz="4" w:space="4"/>
        </w:pBdr>
        <w:spacing w:after="120" w:before="280"/>
      </w:pPr>
      <w:r>
        <w:rPr>
          <w:rFonts w:ascii="Arial" w:cs="Arial" w:eastAsia="Arial" w:hAnsi="Arial"/>
          <w:b/>
          <w:bCs/>
          <w:color w:val="1A3C6B"/>
          <w:sz w:val="26"/>
          <w:szCs w:val="26"/>
        </w:rPr>
        <w:t xml:space="preserve">ADR-009: Explainability as a first-class concern</w:t>
      </w:r>
    </w:p>
    <w:p>
      <w:pPr>
        <w:spacing w:after="60" w:before="60"/>
      </w:pPr>
      <w:r>
        <w:rPr>
          <w:rFonts w:ascii="Arial" w:cs="Arial" w:eastAsia="Arial" w:hAnsi="Arial"/>
          <w:color w:val="2C2C2A"/>
          <w:sz w:val="22"/>
          <w:szCs w:val="22"/>
        </w:rPr>
        <w:t xml:space="preserve">Every agent decision — whether made by Claude or the fallback engine — is persisted to the AIDb with the full context gathered, the prompt sent, the raw response received, the parsed decision, and the confidence score. A dedicated API endpoint exposes this data for compliance review.</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6E4F7" w:val="clear"/>
            <w:tcMar>
              <w:top w:type="dxa" w:w="120"/>
              <w:left w:type="dxa" w:w="160"/>
              <w:bottom w:type="dxa" w:w="120"/>
              <w:right w:type="dxa" w:w="120"/>
            </w:tcMar>
          </w:tcPr>
          <w:p>
            <w:r>
              <w:rPr>
                <w:rFonts w:ascii="Arial" w:cs="Arial" w:eastAsia="Arial" w:hAnsi="Arial"/>
                <w:b/>
                <w:bCs/>
                <w:color w:val="1A3C6B"/>
                <w:sz w:val="20"/>
                <w:szCs w:val="20"/>
              </w:rPr>
              <w:t xml:space="preserve">Regulatory driver</w:t>
            </w:r>
          </w:p>
        </w:tc>
        <w:tc>
          <w:tcPr>
            <w:tcW w:type="dxa" w:w="8160"/>
            <w:tcBorders>
              <w:top w:val="none" w:color="FFFFFF" w:sz="0"/>
              <w:left w:val="none" w:color="FFFFFF" w:sz="0"/>
              <w:bottom w:val="none" w:color="FFFFFF" w:sz="0"/>
              <w:right w:val="none" w:color="FFFFFF" w:sz="0"/>
            </w:tcBorders>
            <w:shd w:fill="D6E4F7" w:val="clear"/>
            <w:tcMar>
              <w:top w:type="dxa" w:w="120"/>
              <w:left w:type="dxa" w:w="120"/>
              <w:bottom w:type="dxa" w:w="120"/>
              <w:right w:type="dxa" w:w="160"/>
            </w:tcMar>
          </w:tcPr>
          <w:p>
            <w:r>
              <w:rPr>
                <w:rFonts w:ascii="Arial" w:cs="Arial" w:eastAsia="Arial" w:hAnsi="Arial"/>
                <w:color w:val="2C2C2A"/>
                <w:sz w:val="20"/>
                <w:szCs w:val="20"/>
              </w:rPr>
              <w:t xml:space="preserve">BNM's guidelines on Responsible AI in Financial Services require that automated credit and fraud decisions be explainable and auditable. The explainability endpoint means that any decision can be reconstructed and justified to a regulator, an auditor, or a customer who disputes the outcome.</w:t>
            </w:r>
          </w:p>
        </w:tc>
      </w:tr>
    </w:tbl>
    <w:p>
      <w:pPr>
        <w:spacing w:after="0" w:before="200"/>
      </w:pPr>
      <w:r>
        <w:t xml:space="preserve"/>
      </w:r>
    </w:p>
    <w:p>
      <w:pPr>
        <w:pStyle w:val="Heading1"/>
        <w:spacing w:after="160" w:before="320"/>
      </w:pPr>
      <w:r>
        <w:rPr>
          <w:rFonts w:ascii="Arial" w:cs="Arial" w:eastAsia="Arial" w:hAnsi="Arial"/>
          <w:b/>
          <w:bCs/>
          <w:color w:val="1A3C6B"/>
          <w:sz w:val="32"/>
          <w:szCs w:val="32"/>
        </w:rPr>
        <w:t xml:space="preserve">6. Known trade-offs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34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348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Trade-off accepted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Eventual consistency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Services scale and fail independently. The Audit service can be down without affecting transaction processing.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Compliance dashboards show data that is milliseconds behind real-time. Accepted — dashboards are read-only views, not transaction-critical paths.</w:t>
            </w:r>
          </w:p>
        </w:tc>
      </w:tr>
      <w:tr>
        <w:tc>
          <w:tcPr>
            <w:tcW w:type="dxa" w:w="2400"/>
            <w:tcBorders>
              <w:top w:val="single" w:color="CCCCCC" w:sz="1"/>
              <w:left w:val="single" w:color="CCCCCC" w:sz="1"/>
              <w:bottom w:val="single" w:color="CCCCCC" w:sz="1"/>
              <w:right w:val="single" w:color="CCCCCC" w:sz="1"/>
            </w:tcBorders>
            <w:shd w:fill="D9F0EA" w:val="clear"/>
            <w:tcMar>
              <w:top w:type="dxa" w:w="80"/>
              <w:left w:type="dxa" w:w="120"/>
              <w:bottom w:type="dxa" w:w="80"/>
              <w:right w:type="dxa" w:w="120"/>
            </w:tcMar>
          </w:tcPr>
          <w:p>
            <w:r>
              <w:rPr>
                <w:rFonts w:ascii="Arial" w:cs="Arial" w:eastAsia="Arial" w:hAnsi="Arial"/>
                <w:color w:val="2C2C2A"/>
                <w:sz w:val="20"/>
                <w:szCs w:val="20"/>
              </w:rPr>
              <w:t xml:space="preserve">At-least-once delivery</w:t>
            </w:r>
          </w:p>
        </w:tc>
        <w:tc>
          <w:tcPr>
            <w:tcW w:type="dxa" w:w="3480"/>
            <w:tcBorders>
              <w:top w:val="single" w:color="CCCCCC" w:sz="1"/>
              <w:left w:val="single" w:color="CCCCCC" w:sz="1"/>
              <w:bottom w:val="single" w:color="CCCCCC" w:sz="1"/>
              <w:right w:val="single" w:color="CCCCCC" w:sz="1"/>
            </w:tcBorders>
            <w:shd w:fill="D9F0EA" w:val="clear"/>
            <w:tcMar>
              <w:top w:type="dxa" w:w="80"/>
              <w:left w:type="dxa" w:w="120"/>
              <w:bottom w:type="dxa" w:w="80"/>
              <w:right w:type="dxa" w:w="120"/>
            </w:tcMar>
          </w:tcPr>
          <w:p>
            <w:r>
              <w:rPr>
                <w:rFonts w:ascii="Arial" w:cs="Arial" w:eastAsia="Arial" w:hAnsi="Arial"/>
                <w:color w:val="2C2C2A"/>
                <w:sz w:val="20"/>
                <w:szCs w:val="20"/>
              </w:rPr>
              <w:t xml:space="preserve">The Outbox Pattern guarantees no events are lost, even on application crash.</w:t>
            </w:r>
          </w:p>
        </w:tc>
        <w:tc>
          <w:tcPr>
            <w:tcW w:type="dxa" w:w="3480"/>
            <w:tcBorders>
              <w:top w:val="single" w:color="CCCCCC" w:sz="1"/>
              <w:left w:val="single" w:color="CCCCCC" w:sz="1"/>
              <w:bottom w:val="single" w:color="CCCCCC" w:sz="1"/>
              <w:right w:val="single" w:color="CCCCCC" w:sz="1"/>
            </w:tcBorders>
            <w:shd w:fill="D9F0EA" w:val="clear"/>
            <w:tcMar>
              <w:top w:type="dxa" w:w="80"/>
              <w:left w:type="dxa" w:w="120"/>
              <w:bottom w:type="dxa" w:w="80"/>
              <w:right w:type="dxa" w:w="120"/>
            </w:tcMar>
          </w:tcPr>
          <w:p>
            <w:r>
              <w:rPr>
                <w:rFonts w:ascii="Arial" w:cs="Arial" w:eastAsia="Arial" w:hAnsi="Arial"/>
                <w:color w:val="2C2C2A"/>
                <w:sz w:val="20"/>
                <w:szCs w:val="20"/>
              </w:rPr>
              <w:t xml:space="preserve">Consumers must be idempotent — they may receive the same event more than once. Each consumer checks for duplicate event IDs before processing.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Claude API dependency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AI decisions are contextual, explainable, and improve with model updates without code changes.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AI features degrade to rule-based fallback when the API is unreachable. Fallback decisions are flagged for human review. Latency depends on API response time (~800ms p95).</w:t>
            </w:r>
          </w:p>
        </w:tc>
      </w:tr>
      <w:tr>
        <w:tc>
          <w:tcPr>
            <w:tcW w:type="dxa" w:w="2400"/>
            <w:tcBorders>
              <w:top w:val="single" w:color="CCCCCC" w:sz="1"/>
              <w:left w:val="single" w:color="CCCCCC" w:sz="1"/>
              <w:bottom w:val="single" w:color="CCCCCC" w:sz="1"/>
              <w:right w:val="single" w:color="CCCCCC" w:sz="1"/>
            </w:tcBorders>
            <w:shd w:fill="D9F0EA" w:val="clear"/>
            <w:tcMar>
              <w:top w:type="dxa" w:w="80"/>
              <w:left w:type="dxa" w:w="120"/>
              <w:bottom w:type="dxa" w:w="80"/>
              <w:right w:type="dxa" w:w="120"/>
            </w:tcMar>
          </w:tcPr>
          <w:p>
            <w:r>
              <w:rPr>
                <w:rFonts w:ascii="Arial" w:cs="Arial" w:eastAsia="Arial" w:hAnsi="Arial"/>
                <w:color w:val="2C2C2A"/>
                <w:sz w:val="20"/>
                <w:szCs w:val="20"/>
              </w:rPr>
              <w:t xml:space="preserve">Nine databases</w:t>
            </w:r>
          </w:p>
        </w:tc>
        <w:tc>
          <w:tcPr>
            <w:tcW w:type="dxa" w:w="3480"/>
            <w:tcBorders>
              <w:top w:val="single" w:color="CCCCCC" w:sz="1"/>
              <w:left w:val="single" w:color="CCCCCC" w:sz="1"/>
              <w:bottom w:val="single" w:color="CCCCCC" w:sz="1"/>
              <w:right w:val="single" w:color="CCCCCC" w:sz="1"/>
            </w:tcBorders>
            <w:shd w:fill="D9F0EA" w:val="clear"/>
            <w:tcMar>
              <w:top w:type="dxa" w:w="80"/>
              <w:left w:type="dxa" w:w="120"/>
              <w:bottom w:type="dxa" w:w="80"/>
              <w:right w:type="dxa" w:w="120"/>
            </w:tcMar>
          </w:tcPr>
          <w:p>
            <w:r>
              <w:rPr>
                <w:rFonts w:ascii="Arial" w:cs="Arial" w:eastAsia="Arial" w:hAnsi="Arial"/>
                <w:color w:val="2C2C2A"/>
                <w:sz w:val="20"/>
                <w:szCs w:val="20"/>
              </w:rPr>
              <w:t xml:space="preserve">Full data isolation, independent backup and retention policies, no cross-service schema coupling.</w:t>
            </w:r>
          </w:p>
        </w:tc>
        <w:tc>
          <w:tcPr>
            <w:tcW w:type="dxa" w:w="3480"/>
            <w:tcBorders>
              <w:top w:val="single" w:color="CCCCCC" w:sz="1"/>
              <w:left w:val="single" w:color="CCCCCC" w:sz="1"/>
              <w:bottom w:val="single" w:color="CCCCCC" w:sz="1"/>
              <w:right w:val="single" w:color="CCCCCC" w:sz="1"/>
            </w:tcBorders>
            <w:shd w:fill="D9F0EA" w:val="clear"/>
            <w:tcMar>
              <w:top w:type="dxa" w:w="80"/>
              <w:left w:type="dxa" w:w="120"/>
              <w:bottom w:type="dxa" w:w="80"/>
              <w:right w:type="dxa" w:w="120"/>
            </w:tcMar>
          </w:tcPr>
          <w:p>
            <w:r>
              <w:rPr>
                <w:rFonts w:ascii="Arial" w:cs="Arial" w:eastAsia="Arial" w:hAnsi="Arial"/>
                <w:color w:val="2C2C2A"/>
                <w:sz w:val="20"/>
                <w:szCs w:val="20"/>
              </w:rPr>
              <w:t xml:space="preserve">Operational overhead of managing nine connection strings, nine migration pipelines, nine backup schedules. Mitigated by Docker Compose and automated migrations on startup.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Microservices complexity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Independent deployability, fault isolation, per-service scaling, and technology flexibility.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Higher local development setup cost. Mitigated by a single docker-compose up command that brings up the full platform. Not appropriate for a two-person startup — appropriate for a bank.</w:t>
            </w:r>
          </w:p>
        </w:tc>
      </w:tr>
    </w:tbl>
    <w:p>
      <w:pPr>
        <w:spacing w:after="0" w:before="200"/>
      </w:pPr>
      <w:r>
        <w:t xml:space="preserve"/>
      </w:r>
    </w:p>
    <w:p>
      <w:pPr>
        <w:pStyle w:val="Heading1"/>
        <w:spacing w:after="160" w:before="320"/>
      </w:pPr>
      <w:r>
        <w:rPr>
          <w:rFonts w:ascii="Arial" w:cs="Arial" w:eastAsia="Arial" w:hAnsi="Arial"/>
          <w:b/>
          <w:bCs/>
          <w:color w:val="1A3C6B"/>
          <w:sz w:val="32"/>
          <w:szCs w:val="32"/>
        </w:rPr>
        <w:t xml:space="preserve">7. Future migration path</w:t>
      </w:r>
    </w:p>
    <w:p>
      <w:pPr>
        <w:spacing w:after="60" w:before="60"/>
      </w:pPr>
      <w:r>
        <w:rPr>
          <w:rFonts w:ascii="Arial" w:cs="Arial" w:eastAsia="Arial" w:hAnsi="Arial"/>
          <w:color w:val="2C2C2A"/>
          <w:sz w:val="22"/>
          <w:szCs w:val="22"/>
        </w:rPr>
        <w:t xml:space="preserve">CoreVault AI is designed to move from local Docker development to Azure cloud deployment with minimal code changes. The migration path is:</w:t>
      </w:r>
    </w:p>
    <w:p>
      <w:pPr>
        <w:spacing w:after="0" w:before="80"/>
      </w:pPr>
      <w:r>
        <w:t xml:space="preserve"/>
      </w:r>
    </w:p>
    <w:p>
      <w:pPr>
        <w:pStyle w:val="ListParagraph"/>
        <w:numPr>
          <w:ilvl w:val="0"/>
          <w:numId w:val="2"/>
        </w:numPr>
        <w:spacing w:after="40" w:before="40"/>
      </w:pPr>
      <w:r>
        <w:rPr>
          <w:rFonts w:ascii="Arial" w:cs="Arial" w:eastAsia="Arial" w:hAnsi="Arial"/>
          <w:b w:val="false"/>
          <w:bCs w:val="false"/>
          <w:color w:val="2C2C2A"/>
          <w:sz w:val="22"/>
          <w:szCs w:val="22"/>
        </w:rPr>
        <w:t xml:space="preserve">RabbitMQ → Azure Service Bus (configuration change in the messaging abstraction layer)</w:t>
      </w:r>
    </w:p>
    <w:p>
      <w:pPr>
        <w:pStyle w:val="ListParagraph"/>
        <w:numPr>
          <w:ilvl w:val="0"/>
          <w:numId w:val="2"/>
        </w:numPr>
        <w:spacing w:after="40" w:before="40"/>
      </w:pPr>
      <w:r>
        <w:rPr>
          <w:rFonts w:ascii="Arial" w:cs="Arial" w:eastAsia="Arial" w:hAnsi="Arial"/>
          <w:b w:val="false"/>
          <w:bCs w:val="false"/>
          <w:color w:val="2C2C2A"/>
          <w:sz w:val="22"/>
          <w:szCs w:val="22"/>
        </w:rPr>
        <w:t xml:space="preserve">SQL Server Express → Azure SQL (connection string change, same EF Core migrations)</w:t>
      </w:r>
    </w:p>
    <w:p>
      <w:pPr>
        <w:pStyle w:val="ListParagraph"/>
        <w:numPr>
          <w:ilvl w:val="0"/>
          <w:numId w:val="2"/>
        </w:numPr>
        <w:spacing w:after="40" w:before="40"/>
      </w:pPr>
      <w:r>
        <w:rPr>
          <w:rFonts w:ascii="Arial" w:cs="Arial" w:eastAsia="Arial" w:hAnsi="Arial"/>
          <w:b w:val="false"/>
          <w:bCs w:val="false"/>
          <w:color w:val="2C2C2A"/>
          <w:sz w:val="22"/>
          <w:szCs w:val="22"/>
        </w:rPr>
        <w:t xml:space="preserve">Redis local → Azure Cache for Redis (connection string change)</w:t>
      </w:r>
    </w:p>
    <w:p>
      <w:pPr>
        <w:pStyle w:val="ListParagraph"/>
        <w:numPr>
          <w:ilvl w:val="0"/>
          <w:numId w:val="2"/>
        </w:numPr>
        <w:spacing w:after="40" w:before="40"/>
      </w:pPr>
      <w:r>
        <w:rPr>
          <w:rFonts w:ascii="Arial" w:cs="Arial" w:eastAsia="Arial" w:hAnsi="Arial"/>
          <w:b w:val="false"/>
          <w:bCs w:val="false"/>
          <w:color w:val="2C2C2A"/>
          <w:sz w:val="22"/>
          <w:szCs w:val="22"/>
        </w:rPr>
        <w:t xml:space="preserve">Seq → Azure Monitor + Application Insights (OpenTelemetry exporter change)</w:t>
      </w:r>
    </w:p>
    <w:p>
      <w:pPr>
        <w:pStyle w:val="ListParagraph"/>
        <w:numPr>
          <w:ilvl w:val="0"/>
          <w:numId w:val="2"/>
        </w:numPr>
        <w:spacing w:after="40" w:before="40"/>
      </w:pPr>
      <w:r>
        <w:rPr>
          <w:rFonts w:ascii="Arial" w:cs="Arial" w:eastAsia="Arial" w:hAnsi="Arial"/>
          <w:b w:val="false"/>
          <w:bCs w:val="false"/>
          <w:color w:val="2C2C2A"/>
          <w:sz w:val="22"/>
          <w:szCs w:val="22"/>
        </w:rPr>
        <w:t xml:space="preserve">Docker Compose → Azure Kubernetes Service (Kubernetes manifests in /infrastructure/k8s)</w:t>
      </w:r>
    </w:p>
    <w:p>
      <w:pPr>
        <w:pStyle w:val="ListParagraph"/>
        <w:numPr>
          <w:ilvl w:val="0"/>
          <w:numId w:val="2"/>
        </w:numPr>
        <w:spacing w:after="40" w:before="40"/>
      </w:pPr>
      <w:r>
        <w:rPr>
          <w:rFonts w:ascii="Arial" w:cs="Arial" w:eastAsia="Arial" w:hAnsi="Arial"/>
          <w:b w:val="false"/>
          <w:bCs w:val="false"/>
          <w:color w:val="2C2C2A"/>
          <w:sz w:val="22"/>
          <w:szCs w:val="22"/>
        </w:rPr>
        <w:t xml:space="preserve">GitHub Actions → Azure DevOps (pipeline YAML already structured for compatibility)</w:t>
      </w:r>
    </w:p>
    <w:p>
      <w:pPr>
        <w:spacing w:after="0" w:before="80"/>
      </w:pPr>
      <w:r>
        <w:t xml:space="preserve"/>
      </w:r>
    </w:p>
    <w:p>
      <w:pPr>
        <w:spacing w:after="60" w:before="60"/>
      </w:pPr>
      <w:r>
        <w:rPr>
          <w:rFonts w:ascii="Arial" w:cs="Arial" w:eastAsia="Arial" w:hAnsi="Arial"/>
          <w:color w:val="2C2C2A"/>
          <w:sz w:val="22"/>
          <w:szCs w:val="22"/>
        </w:rPr>
        <w:t xml:space="preserve">This migration path aligns with the Azure AZ-204 certification learning roadmap and demonstrates cloud-native design discipline to Azure-aligned employers.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B" w:val="clear"/>
            <w:tcMar>
              <w:top w:type="dxa" w:w="240"/>
              <w:left w:type="dxa" w:w="400"/>
              <w:bottom w:type="dxa" w:w="240"/>
              <w:right w:type="dxa" w:w="400"/>
            </w:tcMar>
          </w:tcPr>
          <w:p>
            <w:pPr>
              <w:jc w:val="center"/>
            </w:pPr>
            <w:r>
              <w:rPr>
                <w:rFonts w:ascii="Arial" w:cs="Arial" w:eastAsia="Arial" w:hAnsi="Arial"/>
                <w:color w:val="A8C8F0"/>
                <w:sz w:val="20"/>
                <w:szCs w:val="20"/>
              </w:rPr>
              <w:t xml:space="preserve">Designed and documented by</w:t>
            </w:r>
          </w:p>
          <w:p>
            <w:pPr>
              <w:jc w:val="center"/>
            </w:pPr>
            <w:r>
              <w:rPr>
                <w:rFonts w:ascii="Arial" w:cs="Arial" w:eastAsia="Arial" w:hAnsi="Arial"/>
                <w:b/>
                <w:bCs/>
                <w:color w:val="FFFFFF"/>
                <w:sz w:val="32"/>
                <w:szCs w:val="32"/>
              </w:rPr>
              <w:t xml:space="preserve">Lucky Okorodiden</w:t>
            </w:r>
          </w:p>
          <w:p>
            <w:pPr>
              <w:jc w:val="center"/>
            </w:pPr>
            <w:r>
              <w:rPr>
                <w:rFonts w:ascii="Arial" w:cs="Arial" w:eastAsia="Arial" w:hAnsi="Arial"/>
                <w:color w:val="A8C8F0"/>
                <w:sz w:val="20"/>
                <w:szCs w:val="20"/>
              </w:rPr>
              <w:t xml:space="preserve">Senior .NET Software Engineer  |  6+ years  |  Banking &amp; Fintech</w:t>
            </w:r>
          </w:p>
          <w:p>
            <w:pPr>
              <w:spacing w:before="80"/>
              <w:jc w:val="center"/>
            </w:pPr>
            <w:r>
              <w:rPr>
                <w:rFonts w:ascii="Arial" w:cs="Arial" w:eastAsia="Arial" w:hAnsi="Arial"/>
                <w:color w:val="7aafd4"/>
                <w:sz w:val="20"/>
                <w:szCs w:val="20"/>
              </w:rPr>
              <w:t xml:space="preserve">github.com/ochukolucky  |  Kuala Lumpur, Malaysia</w:t>
            </w:r>
          </w:p>
        </w:tc>
      </w:tr>
    </w:tbl>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F5E5A"/>
        <w:sz w:val="18"/>
        <w:szCs w:val="18"/>
      </w:rPr>
      <w:t xml:space="preserve">CoreVault AI — Technology Decision Record  |  Confidential</w:t>
    </w:r>
    <w:r>
      <w:rPr>
        <w:rFonts w:ascii="Arial" w:cs="Arial" w:eastAsia="Arial" w:hAnsi="Arial"/>
        <w:sz w:val="18"/>
        <w:szCs w:val="18"/>
      </w:rPr>
      <w:t xml:space="preserve">	</w:t>
    </w:r>
    <w:r>
      <w:rPr>
        <w:rFonts w:ascii="Arial" w:cs="Arial" w:eastAsia="Arial" w:hAnsi="Arial"/>
        <w:color w:val="5F5E5A"/>
        <w:sz w:val="18"/>
        <w:szCs w:val="18"/>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2026-05-01T06:54:38.605Z</dcterms:created>
  <dcterms:modified xsi:type="dcterms:W3CDTF">2026-05-01T06:54:38.605Z</dcterms:modified>
</cp:coreProperties>
</file>

<file path=docProps/custom.xml><?xml version="1.0" encoding="utf-8"?>
<Properties xmlns="http://schemas.openxmlformats.org/officeDocument/2006/custom-properties" xmlns:vt="http://schemas.openxmlformats.org/officeDocument/2006/docPropsVTypes"/>
</file>