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1F3864"/>
          <w:sz w:val="54"/>
          <w:szCs w:val="54"/>
        </w:rPr>
        <w:t xml:space="preserve">Migration Runbook</w:t>
      </w:r>
    </w:p>
    <w:p>
      <w:pPr>
        <w:spacing w:before="140"/>
        <w:jc w:val="center"/>
      </w:pPr>
      <w:r>
        <w:rPr>
          <w:color w:val="2E75B6"/>
          <w:sz w:val="27"/>
          <w:szCs w:val="27"/>
        </w:rPr>
        <w:t xml:space="preserve">Hardening the CIS Landing Zone into an SCCA-Aligned EBLZ</w:t>
      </w:r>
    </w:p>
    <w:p>
      <w:pPr>
        <w:spacing w:before="260"/>
        <w:jc w:val="center"/>
      </w:pPr>
      <w:r>
        <w:rPr>
          <w:i/>
          <w:iCs/>
          <w:color w:val="595959"/>
          <w:sz w:val="20"/>
          <w:szCs w:val="20"/>
        </w:rPr>
        <w:t xml:space="preserve">Compartment re-parenting, RBAC re-scoping, and guardrail enforcement</w:t>
      </w:r>
    </w:p>
    <w:p>
      <w:pPr>
        <w:spacing w:before="1100"/>
        <w:jc w:val="center"/>
      </w:pPr>
      <w:r>
        <w:rPr>
          <w:b/>
          <w:bCs/>
          <w:color w:val="1F6F6F"/>
          <w:sz w:val="19"/>
          <w:szCs w:val="19"/>
        </w:rPr>
        <w:t xml:space="preserve">OC2 Realm  |  FedRAMP High  |  DISA IL4  |  US Gov East (Ashburn)</w:t>
      </w:r>
    </w:p>
    <w:p>
      <w:pPr>
        <w:spacing w:before="200"/>
        <w:jc w:val="center"/>
      </w:pPr>
      <w:r>
        <w:rPr>
          <w:color w:val="595959"/>
          <w:sz w:val="17"/>
          <w:szCs w:val="17"/>
        </w:rPr>
        <w:t xml:space="preserve">Applications in scope: DataWalk (OKE)  ·  HyperScience (dedicated GPU)</w:t>
      </w:r>
    </w:p>
    <w:p>
      <w:pPr>
        <w:spacing w:before="900"/>
        <w:jc w:val="center"/>
      </w:pPr>
      <w:r>
        <w:rPr>
          <w:i/>
          <w:iCs/>
          <w:color w:val="C0392B"/>
          <w:sz w:val="16"/>
          <w:szCs w:val="16"/>
        </w:rPr>
        <w:t xml:space="preserve">No disaster-recovery region in scope — single-region design (see §2.3 risk acceptance)</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pPr>
      <w:r>
        <w:t xml:space="preserve">This runbook provides the ordered, gated procedure for transitioning an existing CIS Landing Zone (LZ) tenancy into an SCCA-aligned Enterprise Baseline Landing Zone (EBLZ) without rebuilding the environment. It covers provisioning the new compartment and IAM structure, re-parenting existing resources into it, and enforcing the guardrails that make the architecture self-defending.</w:t>
      </w:r>
    </w:p>
    <w:p>
      <w:pPr>
        <w:pStyle w:val="Heading2"/>
      </w:pPr>
      <w:r>
        <w:t xml:space="preserve">1.1 In Scope</w:t>
      </w:r>
    </w:p>
    <w:p>
      <w:pPr>
        <w:pStyle w:val="ListParagraph"/>
        <w:numPr>
          <w:ilvl w:val="0"/>
          <w:numId w:val="2"/>
        </w:numPr>
        <w:spacing w:after="60"/>
      </w:pPr>
      <w:r>
        <w:t xml:space="preserve">Provisioning the EBLZ compartment tree, groups, policies, quotas, budgets and tag namespaces from the populated CD3 workbook.</w:t>
      </w:r>
    </w:p>
    <w:p>
      <w:pPr>
        <w:pStyle w:val="ListParagraph"/>
        <w:numPr>
          <w:ilvl w:val="0"/>
          <w:numId w:val="2"/>
        </w:numPr>
        <w:spacing w:after="60"/>
      </w:pPr>
      <w:r>
        <w:t xml:space="preserve">Re-parenting existing CIS LZ resources into the new VDSS, VDMS, workload and shared-services compartments.</w:t>
      </w:r>
    </w:p>
    <w:p>
      <w:pPr>
        <w:pStyle w:val="ListParagraph"/>
        <w:numPr>
          <w:ilvl w:val="0"/>
          <w:numId w:val="2"/>
        </w:numPr>
        <w:spacing w:after="60"/>
      </w:pPr>
      <w:r>
        <w:t xml:space="preserve">Re-scoping RBAC so that access is governed by the new compartment boundaries.</w:t>
      </w:r>
    </w:p>
    <w:p>
      <w:pPr>
        <w:pStyle w:val="ListParagraph"/>
        <w:numPr>
          <w:ilvl w:val="0"/>
          <w:numId w:val="2"/>
        </w:numPr>
        <w:spacing w:after="60"/>
      </w:pPr>
      <w:r>
        <w:t xml:space="preserve">Standing up the developer sandbox outside the accreditation boundary.</w:t>
      </w:r>
    </w:p>
    <w:p>
      <w:pPr>
        <w:pStyle w:val="ListParagraph"/>
        <w:numPr>
          <w:ilvl w:val="0"/>
          <w:numId w:val="2"/>
        </w:numPr>
        <w:spacing w:after="60"/>
      </w:pPr>
      <w:r>
        <w:t xml:space="preserve">Collecting migration evidence for the authorization package.</w:t>
      </w:r>
    </w:p>
    <w:p>
      <w:pPr>
        <w:pStyle w:val="Heading2"/>
      </w:pPr>
      <w:r>
        <w:t xml:space="preserve">1.2 Out of Scope</w:t>
      </w:r>
    </w:p>
    <w:p>
      <w:pPr>
        <w:pStyle w:val="ListParagraph"/>
        <w:numPr>
          <w:ilvl w:val="0"/>
          <w:numId w:val="2"/>
        </w:numPr>
        <w:spacing w:after="60"/>
      </w:pPr>
      <w:r>
        <w:t xml:space="preserve">Disaster recovery to a second region. The design is deliberately single-region; see §2.3.</w:t>
      </w:r>
    </w:p>
    <w:p>
      <w:pPr>
        <w:pStyle w:val="ListParagraph"/>
        <w:numPr>
          <w:ilvl w:val="0"/>
          <w:numId w:val="2"/>
        </w:numPr>
        <w:spacing w:after="60"/>
      </w:pPr>
      <w:r>
        <w:t xml:space="preserve">Application-level migration (Docker Swarm to Kubernetes conversion) — covered by the separate application migration plans.</w:t>
      </w:r>
    </w:p>
    <w:p>
      <w:pPr>
        <w:pStyle w:val="ListParagraph"/>
        <w:numPr>
          <w:ilvl w:val="0"/>
          <w:numId w:val="2"/>
        </w:numPr>
        <w:spacing w:after="60"/>
      </w:pPr>
      <w:r>
        <w:t xml:space="preserve">Network re-addressing. Compartment moves do not change IP addressing or routing.</w:t>
      </w:r>
    </w:p>
    <w:p>
      <w:pPr>
        <w:pStyle w:val="Heading2"/>
      </w:pPr>
      <w:r>
        <w:t xml:space="preserve">1.3 The Central Principle</w:t>
      </w:r>
    </w:p>
    <w:p>
      <w:pPr>
        <w:shd w:fill="EAF2FB" w:val="clear"/>
        <w:spacing w:after="0" w:before="160"/>
      </w:pPr>
      <w:r>
        <w:rPr>
          <w:b/>
          <w:bCs/>
          <w:color w:val="2E75B6"/>
          <w:sz w:val="19"/>
          <w:szCs w:val="19"/>
        </w:rPr>
        <w:t xml:space="preserve">  Compartment moves change the control plane, not the data plane</w:t>
      </w:r>
    </w:p>
    <w:p>
      <w:pPr>
        <w:shd w:fill="EAF2FB" w:val="clear"/>
        <w:spacing w:after="160"/>
      </w:pPr>
      <w:r>
        <w:rPr>
          <w:color w:val="333333"/>
          <w:sz w:val="18"/>
          <w:szCs w:val="18"/>
        </w:rPr>
        <w:t xml:space="preserve">  Moving a resource between compartments does not stop it, re-IP it, or interrupt its traffic. What changes is which policies govern it, which quotas apply, and which principals can manage it. Every failure mode in this runbook is therefore an IAM or automation failure, not a workload outage — provided the destination authorisations exist before the move.</w:t>
      </w:r>
    </w:p>
    <w:p>
      <w:r>
        <w:br w:type="page"/>
      </w:r>
    </w:p>
    <w:p>
      <w:pPr>
        <w:pStyle w:val="Heading1"/>
      </w:pPr>
      <w:r>
        <w:t xml:space="preserve">2. Prerequisites and Assumptions</w:t>
      </w:r>
    </w:p>
    <w:p>
      <w:pPr>
        <w:pStyle w:val="Heading2"/>
      </w:pPr>
      <w:r>
        <w:t xml:space="preserve">2.1 Must be true before Wave 0</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24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w:t>
            </w:r>
          </w:p>
        </w:tc>
        <w:tc>
          <w:tcPr>
            <w:tcW w:type="dxa" w:w="46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Prerequisite</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Owner</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P1</w:t>
            </w:r>
          </w:p>
        </w:tc>
        <w:tc>
          <w:tcPr>
            <w:tcW w:type="dxa" w:w="4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Populated CD3 workbook reviewed and all &lt;EDIT:...&gt; placeholders replaced with real values (region identifier, admin/dev CIDRs, key OCIDs, FinOps distribution list).</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Architecture</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P2</w:t>
            </w:r>
          </w:p>
        </w:tc>
        <w:tc>
          <w:tcPr>
            <w:tcW w:type="dxa" w:w="4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Confirmed exact OC2 home-region identifier and that the tenancy is subscribed only to the intended region.</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Cloud Ops</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P3</w:t>
            </w:r>
          </w:p>
        </w:tc>
        <w:tc>
          <w:tcPr>
            <w:tcW w:type="dxa" w:w="4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Full inventory of existing CIS LZ resources exported, with current compartment, OCID, resource type and owning application.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Cloud Ops</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P4</w:t>
            </w:r>
          </w:p>
        </w:tc>
        <w:tc>
          <w:tcPr>
            <w:tcW w:type="dxa" w:w="4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Terraform state for the existing CIS LZ located, backed up, and its ownership confirmed. See §2.2.</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Platform Eng</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P5</w:t>
            </w:r>
          </w:p>
        </w:tc>
        <w:tc>
          <w:tcPr>
            <w:tcW w:type="dxa" w:w="4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Quota family names validated against the live tenancy (GPU and bare-metal quota names vary by shape generation).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Cloud Ops</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P6</w:t>
            </w:r>
          </w:p>
        </w:tc>
        <w:tc>
          <w:tcPr>
            <w:tcW w:type="dxa" w:w="4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Federation and group mapping confirmed — the new grp-* groups must be mappable to existing IdP groups.</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Identity</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P7</w:t>
            </w:r>
          </w:p>
        </w:tc>
        <w:tc>
          <w:tcPr>
            <w:tcW w:type="dxa" w:w="4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Change window approved; rollback authority and go/no-go decision maker named.</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Program</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P8</w:t>
            </w:r>
          </w:p>
        </w:tc>
        <w:tc>
          <w:tcPr>
            <w:tcW w:type="dxa" w:w="46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Break-glass account tested and its access verified independent of the groups being changed.</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Security</w:t>
            </w:r>
          </w:p>
        </w:tc>
      </w:tr>
    </w:tbl>
    <w:p>
      <w:pPr>
        <w:spacing w:after="120"/>
      </w:pPr>
      <w:r>
        <w:t xml:space="preserve"/>
      </w:r>
    </w:p>
    <w:p>
      <w:pPr>
        <w:pStyle w:val="Heading2"/>
      </w:pPr>
      <w:r>
        <w:t xml:space="preserve">2.2 Terraform State — the largest non-obvious risk</w:t>
      </w:r>
    </w:p>
    <w:p>
      <w:pPr>
        <w:spacing w:after="120"/>
      </w:pPr>
      <w:r>
        <w:t xml:space="preserve">If the existing CIS LZ was deployed and is still managed by Terraform, moving compartments out-of-band through the console or CLI will cause state drift. On the next plan, Terraform will observe a changed compartment_id and may propose to destroy and recreate resources.</w:t>
      </w:r>
    </w:p>
    <w:p>
      <w:pPr>
        <w:shd w:fill="FDF2F0" w:val="clear"/>
        <w:spacing w:after="0" w:before="160"/>
      </w:pPr>
      <w:r>
        <w:rPr>
          <w:b/>
          <w:bCs/>
          <w:color w:val="C0392B"/>
          <w:sz w:val="19"/>
          <w:szCs w:val="19"/>
        </w:rPr>
        <w:t xml:space="preserve">  Mandatory before any move</w:t>
      </w:r>
    </w:p>
    <w:p>
      <w:pPr>
        <w:shd w:fill="FDF2F0" w:val="clear"/>
        <w:spacing w:after="160"/>
      </w:pPr>
      <w:r>
        <w:rPr>
          <w:color w:val="333333"/>
          <w:sz w:val="18"/>
          <w:szCs w:val="18"/>
        </w:rPr>
        <w:t xml:space="preserve">  Decide and document the automation strategy for every resource class: (a) update the Terraform configuration and re-import to the new compartment, (b) remove the resource from state and manage it declaratively in the new EBLZ codebase, or (c) freeze the old pipeline entirely. Do not begin Wave 1 until this decision is made and the old pipeline is disabled or reconciled. An unattended pipeline run mid-migration is the single most destructive event this runbook can encounter.</w:t>
      </w:r>
    </w:p>
    <w:p>
      <w:pPr>
        <w:pStyle w:val="Heading2"/>
      </w:pPr>
      <w:r>
        <w:t xml:space="preserve">2.3 Accepted Risk — No DR Region</w:t>
      </w:r>
    </w:p>
    <w:p>
      <w:pPr>
        <w:spacing w:after="120"/>
      </w:pPr>
      <w:r>
        <w:t xml:space="preserve">The target design is single-region (Ashburn) with no warm standby. This is a deliberate scope decision, not an oversight, and must be recorded as an accepted risk with an authorising official signature.</w:t>
      </w:r>
    </w:p>
    <w:p>
      <w:pPr>
        <w:pStyle w:val="ListParagraph"/>
        <w:numPr>
          <w:ilvl w:val="0"/>
          <w:numId w:val="2"/>
        </w:numPr>
        <w:spacing w:after="60"/>
      </w:pPr>
      <w:r>
        <w:t xml:space="preserve">Region-level loss is unrecoverable within the current design; recovery reverts to backup-and-restore from Object Storage.</w:t>
      </w:r>
    </w:p>
    <w:p>
      <w:pPr>
        <w:pStyle w:val="ListParagraph"/>
        <w:numPr>
          <w:ilvl w:val="0"/>
          <w:numId w:val="2"/>
        </w:numPr>
        <w:spacing w:after="60"/>
      </w:pPr>
      <w:r>
        <w:t xml:space="preserve">Contingency planning controls (CP family) still require an answer. Document the backup/restore RTO and RPO explicitly, even though no standby region exists.</w:t>
      </w:r>
    </w:p>
    <w:p>
      <w:pPr>
        <w:pStyle w:val="ListParagraph"/>
        <w:numPr>
          <w:ilvl w:val="0"/>
          <w:numId w:val="2"/>
        </w:numPr>
        <w:spacing w:after="60"/>
      </w:pPr>
      <w:r>
        <w:t xml:space="preserve">If the authorising official does not accept this, the Phoenix warm-standby leg must be reinstated before authorisation — it is an additive change to this runbook, not a redesign.</w:t>
      </w:r>
    </w:p>
    <w:p>
      <w:r>
        <w:br w:type="page"/>
      </w:r>
    </w:p>
    <w:p>
      <w:pPr>
        <w:pStyle w:val="Heading1"/>
      </w:pPr>
      <w:r>
        <w:t xml:space="preserve">3. Migration Risk Register</w:t>
      </w:r>
    </w:p>
    <w:p>
      <w:pPr>
        <w:spacing w:after="120"/>
      </w:pPr>
      <w:r>
        <w:t xml:space="preserve">These are the failure modes specific to compartment re-parenting. Each is mitigated by a gate in the wave procedures.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30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Risk</w:t>
            </w:r>
          </w:p>
        </w:tc>
        <w:tc>
          <w:tcPr>
            <w:tcW w:type="dxa" w:w="3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Why it happens</w:t>
            </w:r>
          </w:p>
        </w:tc>
        <w:tc>
          <w:tcPr>
            <w:tcW w:type="dxa" w:w="23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Mitigation / Gate</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Instance principals lose permission mid-move</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Dynamic group rules match on instance.compartment.id. When an instance moves, its compartment OCID changes and it silently leaves the old dynamic group.</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New dynamic groups and their policies must exist and be verified BEFORE the instance moves. Gate G3.</w:t>
            </w:r>
          </w:p>
        </w:tc>
      </w:tr>
      <w:tr>
        <w:trPr>
          <w:tblHeader w:val="false"/>
        </w:trP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Encrypted volumes fail to attach</w:t>
            </w:r>
          </w:p>
        </w:tc>
        <w:tc>
          <w:tcPr>
            <w:tcW w:type="dxa" w:w="3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Customer-managed-key encryption depends on the service-to-KMS policy resolving in the destination compartment.</w:t>
            </w:r>
          </w:p>
        </w:tc>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pol-services-use-cmk provisioned in Wave 1 and validated before any encrypted workload moves. Gate G2.</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Administrators locked out</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Policies are re-scoped to new compartments; if the old policy is removed before the new one propagates, admins lose access.</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Run old and new policies in parallel through each wave; remove old policies only in Wave 8. Break-glass verified in P8.</w:t>
            </w:r>
          </w:p>
        </w:tc>
      </w:tr>
      <w:tr>
        <w:trPr>
          <w:tblHeader w:val="false"/>
        </w:trP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Terraform destroys and recreates</w:t>
            </w:r>
          </w:p>
        </w:tc>
        <w:tc>
          <w:tcPr>
            <w:tcW w:type="dxa" w:w="3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Out-of-band compartment change causes state drift.</w:t>
            </w:r>
          </w:p>
        </w:tc>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§2.2 decision required before Wave 1; old pipeline disabled.</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Quota blocks post-move scaling</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Quotas govern creation, not existing resources. A moved workload may already exceed its new quota and then cannot scale or self-heal.</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Reconcile actual consumption against quota values before each workload wave. Gate G4.</w:t>
            </w:r>
          </w:p>
        </w:tc>
      </w:tr>
      <w:tr>
        <w:trPr>
          <w:tblHeader w:val="false"/>
        </w:trP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Policy propagation delay</w:t>
            </w:r>
          </w:p>
        </w:tc>
        <w:tc>
          <w:tcPr>
            <w:tcW w:type="dxa" w:w="3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IAM changes are eventually consistent; validation immediately after a change can produce false failures.</w:t>
            </w:r>
          </w:p>
        </w:tc>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Allow a settle period after each policy change before validating. Gate G1.</w:t>
            </w:r>
          </w:p>
        </w:tc>
      </w:tr>
      <w:tr>
        <w:trPr>
          <w:tblHeader w:val="false"/>
        </w:trP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Audit trail discontinuity</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Assessors expect continuous audit evidence across the transition.</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Logging moved first (Wave 1) and continuity verified; export audit events before and after each wave.</w:t>
            </w:r>
          </w:p>
        </w:tc>
      </w:tr>
      <w:tr>
        <w:trPr>
          <w:tblHeader w:val="false"/>
        </w:trPr>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VCN moves as a unit</w:t>
            </w:r>
          </w:p>
        </w:tc>
        <w:tc>
          <w:tcPr>
            <w:tcW w:type="dxa" w:w="3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Subnets, gateways and route tables move with the parent VCN and cannot be split across compartments.</w:t>
            </w:r>
          </w:p>
        </w:tc>
        <w:tc>
          <w:tcPr>
            <w:tcW w:type="dxa" w:w="2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Plan network moves at VCN granularity, not subnet granularity. Wave 2.</w:t>
            </w:r>
          </w:p>
        </w:tc>
      </w:tr>
    </w:tbl>
    <w:p>
      <w:r>
        <w:br w:type="page"/>
      </w:r>
    </w:p>
    <w:p>
      <w:pPr>
        <w:pStyle w:val="Heading1"/>
      </w:pPr>
      <w:r>
        <w:t xml:space="preserve">4. Wave Plan</w:t>
      </w:r>
    </w:p>
    <w:p>
      <w:pPr>
        <w:spacing w:after="120"/>
      </w:pPr>
      <w:r>
        <w:t xml:space="preserve">Waves run in strict order. Each wave has entry criteria, execution steps, a validation gate, and a rollback position. Do not begin a wave until the prior gate has passed and been recorded.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300"/>
        <w:gridCol w:w="21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Wave</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Scope</w:t>
            </w:r>
          </w:p>
        </w:tc>
        <w:tc>
          <w:tcPr>
            <w:tcW w:type="dxa" w:w="33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Rationale for position</w:t>
            </w:r>
          </w:p>
        </w:tc>
        <w:tc>
          <w:tcPr>
            <w:tcW w:type="dxa" w:w="21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Gate</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0</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Provision EBLZ structure (no moves)</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Destination must exist and be authorised before anything arrives.</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G1</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Security &amp; management services to VDMS</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Vault, keys and logging must be reachable under new policy before encrypted or audited workloads move.</w:t>
            </w:r>
          </w:p>
        </w:tc>
        <w:tc>
          <w:tcPr>
            <w:tcW w:type="dxa" w:w="2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G2</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2</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Network hub to VDSS</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Hub must be governed correctly before spokes re-parent. Data plane unaffected.</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G2</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Shared services</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Registry must be readable by workloads before workloads move.</w:t>
            </w:r>
          </w:p>
        </w:tc>
        <w:tc>
          <w:tcPr>
            <w:tcW w:type="dxa" w:w="2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G2</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4</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DataWalk non-production</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Lowest-consequence workload; proves the pattern end to end.</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G3</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DataWalk production</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Pattern already proven in Wave 4.</w:t>
            </w:r>
          </w:p>
        </w:tc>
        <w:tc>
          <w:tcPr>
            <w:tcW w:type="dxa" w:w="2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G3+G4</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6</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HyperScience non-production</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Repeat proven pattern for the second application.</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G3</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HyperScience production</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Final workload move.</w:t>
            </w:r>
          </w:p>
        </w:tc>
        <w:tc>
          <w:tcPr>
            <w:tcW w:type="dxa" w:w="2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G3+G4</w:t>
            </w:r>
          </w:p>
        </w:tc>
      </w:tr>
      <w:tr>
        <w:trPr>
          <w:tblHeader w:val="false"/>
        </w:trPr>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8</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Sandbox provisioning</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New build, no migration. Deliberately last so it never competes with production waves.</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G1</w:t>
            </w:r>
          </w:p>
        </w:tc>
      </w:tr>
      <w:tr>
        <w:trPr>
          <w:tblHeader w:val="false"/>
        </w:trPr>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Decommission and evidence</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Remove superseded policies and empty compartments; collect authorisation evidence.</w:t>
            </w:r>
          </w:p>
        </w:tc>
        <w:tc>
          <w:tcPr>
            <w:tcW w:type="dxa" w:w="21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G5</w:t>
            </w:r>
          </w:p>
        </w:tc>
      </w:tr>
    </w:tbl>
    <w:p>
      <w:pPr>
        <w:spacing w:after="120"/>
      </w:pPr>
      <w:r>
        <w:t xml:space="preserve"/>
      </w:r>
    </w:p>
    <w:p>
      <w:pPr>
        <w:pStyle w:val="Heading1"/>
      </w:pPr>
      <w:r>
        <w:t xml:space="preserve">5. Validation Gates</w:t>
      </w:r>
    </w:p>
    <w:p>
      <w:pPr>
        <w:spacing w:after="120"/>
      </w:pPr>
      <w:r>
        <w:t xml:space="preserve">A gate is a pass/fail checkpoint. Record the result, the operator, and the timestamp for each. A failed gate stops the migration and triggers the rollback position for that wave.</w:t>
      </w:r>
    </w:p>
    <w:p>
      <w:pPr>
        <w:pStyle w:val="Heading3"/>
      </w:pPr>
      <w:r>
        <w:t xml:space="preserve">Gate G1 — Structure and authorisation</w:t>
      </w:r>
    </w:p>
    <w:p>
      <w:pPr>
        <w:pStyle w:val="ListParagraph"/>
        <w:numPr>
          <w:ilvl w:val="0"/>
          <w:numId w:val="2"/>
        </w:numPr>
        <w:spacing w:after="60"/>
      </w:pPr>
      <w:r>
        <w:t xml:space="preserve">All compartments exist with the correct parent, verified against the CD3 workbook tree.</w:t>
      </w:r>
    </w:p>
    <w:p>
      <w:pPr>
        <w:pStyle w:val="ListParagraph"/>
        <w:numPr>
          <w:ilvl w:val="0"/>
          <w:numId w:val="2"/>
        </w:numPr>
        <w:spacing w:after="60"/>
      </w:pPr>
      <w:r>
        <w:t xml:space="preserve">All groups exist and are mapped to the correct federated IdP groups.</w:t>
      </w:r>
    </w:p>
    <w:p>
      <w:pPr>
        <w:pStyle w:val="ListParagraph"/>
        <w:numPr>
          <w:ilvl w:val="0"/>
          <w:numId w:val="2"/>
        </w:numPr>
        <w:spacing w:after="60"/>
      </w:pPr>
      <w:r>
        <w:t xml:space="preserve">All policies exist; a settle period has elapsed since the last IAM change.</w:t>
      </w:r>
    </w:p>
    <w:p>
      <w:pPr>
        <w:pStyle w:val="ListParagraph"/>
        <w:numPr>
          <w:ilvl w:val="0"/>
          <w:numId w:val="2"/>
        </w:numPr>
        <w:spacing w:after="60"/>
      </w:pPr>
      <w:r>
        <w:t xml:space="preserve">A representative member of each group can perform one expected action and is denied one unauthorised action.</w:t>
      </w:r>
    </w:p>
    <w:p>
      <w:pPr>
        <w:pStyle w:val="Heading3"/>
      </w:pPr>
      <w:r>
        <w:t xml:space="preserve">Gate G2 — Platform services reachable</w:t>
      </w:r>
    </w:p>
    <w:p>
      <w:pPr>
        <w:pStyle w:val="ListParagraph"/>
        <w:numPr>
          <w:ilvl w:val="0"/>
          <w:numId w:val="2"/>
        </w:numPr>
        <w:spacing w:after="60"/>
      </w:pPr>
      <w:r>
        <w:t xml:space="preserve">Vault and keys are readable from the destination compartment context.</w:t>
      </w:r>
    </w:p>
    <w:p>
      <w:pPr>
        <w:pStyle w:val="ListParagraph"/>
        <w:numPr>
          <w:ilvl w:val="0"/>
          <w:numId w:val="2"/>
        </w:numPr>
        <w:spacing w:after="60"/>
      </w:pPr>
      <w:r>
        <w:t xml:space="preserve">Service-to-KMS policy resolves: a test encrypted volume can be created and attached in the destination.</w:t>
      </w:r>
    </w:p>
    <w:p>
      <w:pPr>
        <w:pStyle w:val="ListParagraph"/>
        <w:numPr>
          <w:ilvl w:val="0"/>
          <w:numId w:val="2"/>
        </w:numPr>
        <w:spacing w:after="60"/>
      </w:pPr>
      <w:r>
        <w:t xml:space="preserve">Log ingestion is continuous — no gap in the audit stream across the move.</w:t>
      </w:r>
    </w:p>
    <w:p>
      <w:pPr>
        <w:pStyle w:val="Heading3"/>
      </w:pPr>
      <w:r>
        <w:t xml:space="preserve">Gate G3 — Workload integrity</w:t>
      </w:r>
    </w:p>
    <w:p>
      <w:pPr>
        <w:pStyle w:val="ListParagraph"/>
        <w:numPr>
          <w:ilvl w:val="0"/>
          <w:numId w:val="2"/>
        </w:numPr>
        <w:spacing w:after="60"/>
      </w:pPr>
      <w:r>
        <w:t xml:space="preserve">Every instance in the moved set is matched by the new dynamic group.</w:t>
      </w:r>
    </w:p>
    <w:p>
      <w:pPr>
        <w:pStyle w:val="ListParagraph"/>
        <w:numPr>
          <w:ilvl w:val="0"/>
          <w:numId w:val="2"/>
        </w:numPr>
        <w:spacing w:after="60"/>
      </w:pPr>
      <w:r>
        <w:t xml:space="preserve">Instance principals can perform their required actions (volume attach, registry pull, key use).</w:t>
      </w:r>
    </w:p>
    <w:p>
      <w:pPr>
        <w:pStyle w:val="ListParagraph"/>
        <w:numPr>
          <w:ilvl w:val="0"/>
          <w:numId w:val="2"/>
        </w:numPr>
        <w:spacing w:after="60"/>
      </w:pPr>
      <w:r>
        <w:t xml:space="preserve">Application health checks pass; for DataWalk, the OKE cluster is reachable and node pools are healthy.</w:t>
      </w:r>
    </w:p>
    <w:p>
      <w:pPr>
        <w:pStyle w:val="ListParagraph"/>
        <w:numPr>
          <w:ilvl w:val="0"/>
          <w:numId w:val="2"/>
        </w:numPr>
        <w:spacing w:after="60"/>
      </w:pPr>
      <w:r>
        <w:t xml:space="preserve">No unexpected denials in audit events during the observation period following the move.</w:t>
      </w:r>
    </w:p>
    <w:p>
      <w:pPr>
        <w:pStyle w:val="Heading3"/>
      </w:pPr>
      <w:r>
        <w:t xml:space="preserve">Gate G4 — Capacity and quota reconciliation</w:t>
      </w:r>
    </w:p>
    <w:p>
      <w:pPr>
        <w:pStyle w:val="ListParagraph"/>
        <w:numPr>
          <w:ilvl w:val="0"/>
          <w:numId w:val="2"/>
        </w:numPr>
        <w:spacing w:after="60"/>
      </w:pPr>
      <w:r>
        <w:t xml:space="preserve">Actual consumption in the destination compartment is below the configured quota.</w:t>
      </w:r>
    </w:p>
    <w:p>
      <w:pPr>
        <w:pStyle w:val="ListParagraph"/>
        <w:numPr>
          <w:ilvl w:val="0"/>
          <w:numId w:val="2"/>
        </w:numPr>
        <w:spacing w:after="60"/>
      </w:pPr>
      <w:r>
        <w:t xml:space="preserve">The workload can still scale — a test scale-up succeeds and is then reverted.</w:t>
      </w:r>
    </w:p>
    <w:p>
      <w:pPr>
        <w:pStyle w:val="ListParagraph"/>
        <w:numPr>
          <w:ilvl w:val="0"/>
          <w:numId w:val="2"/>
        </w:numPr>
        <w:spacing w:after="60"/>
      </w:pPr>
      <w:r>
        <w:t xml:space="preserve">Budget alerts fire to the correct distribution list.</w:t>
      </w:r>
    </w:p>
    <w:p>
      <w:pPr>
        <w:pStyle w:val="Heading3"/>
      </w:pPr>
      <w:r>
        <w:t xml:space="preserve">Gate G5 — Closure and evidence</w:t>
      </w:r>
    </w:p>
    <w:p>
      <w:pPr>
        <w:pStyle w:val="ListParagraph"/>
        <w:numPr>
          <w:ilvl w:val="0"/>
          <w:numId w:val="2"/>
        </w:numPr>
        <w:spacing w:after="60"/>
      </w:pPr>
      <w:r>
        <w:t xml:space="preserve">No resources remain in superseded compartments.</w:t>
      </w:r>
    </w:p>
    <w:p>
      <w:pPr>
        <w:pStyle w:val="ListParagraph"/>
        <w:numPr>
          <w:ilvl w:val="0"/>
          <w:numId w:val="2"/>
        </w:numPr>
        <w:spacing w:after="60"/>
      </w:pPr>
      <w:r>
        <w:t xml:space="preserve">Superseded policies removed; no orphaned groups or dynamic groups.</w:t>
      </w:r>
    </w:p>
    <w:p>
      <w:pPr>
        <w:pStyle w:val="ListParagraph"/>
        <w:numPr>
          <w:ilvl w:val="0"/>
          <w:numId w:val="2"/>
        </w:numPr>
        <w:spacing w:after="60"/>
      </w:pPr>
      <w:r>
        <w:t xml:space="preserve">Guardrails proven: an attempt to create a GPU instance in a DataWalk compartment is denied by quota.</w:t>
      </w:r>
    </w:p>
    <w:p>
      <w:pPr>
        <w:pStyle w:val="ListParagraph"/>
        <w:numPr>
          <w:ilvl w:val="0"/>
          <w:numId w:val="2"/>
        </w:numPr>
        <w:spacing w:after="60"/>
      </w:pPr>
      <w:r>
        <w:t xml:space="preserve">Evidence package assembled per §8.</w:t>
      </w:r>
    </w:p>
    <w:p>
      <w:r>
        <w:br w:type="page"/>
      </w:r>
    </w:p>
    <w:p>
      <w:pPr>
        <w:pStyle w:val="Heading1"/>
      </w:pPr>
      <w:r>
        <w:t xml:space="preserve">6. Wave Procedures</w:t>
      </w:r>
    </w:p>
    <w:p>
      <w:pPr>
        <w:pStyle w:val="Heading2"/>
      </w:pPr>
      <w:r>
        <w:t xml:space="preserve">6.1 Wave 0 — Provision the EBLZ structure</w:t>
      </w:r>
    </w:p>
    <w:p>
      <w:pPr>
        <w:spacing w:after="120"/>
      </w:pPr>
      <w:r>
        <w:rPr>
          <w:i/>
          <w:iCs/>
        </w:rPr>
        <w:t xml:space="preserve">No existing resources are touched. This wave builds the destination.</w:t>
      </w:r>
    </w:p>
    <w:p>
      <w:pPr>
        <w:pStyle w:val="Heading3"/>
      </w:pPr>
      <w:r>
        <w:t xml:space="preserve">Execute</w:t>
      </w:r>
    </w:p>
    <w:p>
      <w:pPr>
        <w:pStyle w:val="ListParagraph"/>
        <w:numPr>
          <w:ilvl w:val="0"/>
          <w:numId w:val="3"/>
        </w:numPr>
        <w:spacing w:after="60"/>
      </w:pPr>
      <w:r>
        <w:t xml:space="preserve">Apply the CD3 workbook to generate and deploy compartments in hierarchy order: eblz, then vdss / vdms / workloads, then the application and environment children, then sandbox and its children.</w:t>
      </w:r>
    </w:p>
    <w:p>
      <w:pPr>
        <w:pStyle w:val="ListParagraph"/>
        <w:numPr>
          <w:ilvl w:val="0"/>
          <w:numId w:val="3"/>
        </w:numPr>
        <w:spacing w:after="60"/>
      </w:pPr>
      <w:r>
        <w:t xml:space="preserve">Create groups and dynamic groups. Dynamic group matching rules require the compartment OCIDs generated in the previous step — capture them and substitute before applying.</w:t>
      </w:r>
    </w:p>
    <w:p>
      <w:pPr>
        <w:pStyle w:val="ListParagraph"/>
        <w:numPr>
          <w:ilvl w:val="0"/>
          <w:numId w:val="3"/>
        </w:numPr>
        <w:spacing w:after="60"/>
      </w:pPr>
      <w:r>
        <w:t xml:space="preserve">Create network sources (ns-admin-paths, ns-developer-paths) with the real CIDR values.</w:t>
      </w:r>
    </w:p>
    <w:p>
      <w:pPr>
        <w:pStyle w:val="ListParagraph"/>
        <w:numPr>
          <w:ilvl w:val="0"/>
          <w:numId w:val="3"/>
        </w:numPr>
        <w:spacing w:after="60"/>
      </w:pPr>
      <w:r>
        <w:t xml:space="preserve">Create tag namespaces and defaults in eblz and sandbox.</w:t>
      </w:r>
    </w:p>
    <w:p>
      <w:pPr>
        <w:pStyle w:val="ListParagraph"/>
        <w:numPr>
          <w:ilvl w:val="0"/>
          <w:numId w:val="3"/>
        </w:numPr>
        <w:spacing w:after="60"/>
      </w:pPr>
      <w:r>
        <w:t xml:space="preserve">Create policies. Note that policies referencing groups and dynamic groups require those principals to exist first.</w:t>
      </w:r>
    </w:p>
    <w:p>
      <w:pPr>
        <w:pStyle w:val="ListParagraph"/>
        <w:numPr>
          <w:ilvl w:val="0"/>
          <w:numId w:val="3"/>
        </w:numPr>
        <w:spacing w:after="60"/>
      </w:pPr>
      <w:r>
        <w:t xml:space="preserve">Create quotas and budgets.</w:t>
      </w:r>
    </w:p>
    <w:p>
      <w:pPr>
        <w:pStyle w:val="ListParagraph"/>
        <w:numPr>
          <w:ilvl w:val="0"/>
          <w:numId w:val="3"/>
        </w:numPr>
        <w:spacing w:after="60"/>
      </w:pPr>
      <w:r>
        <w:t xml:space="preserve">Map federated IdP groups to the new grp-* groups.</w:t>
      </w:r>
    </w:p>
    <w:p>
      <w:pPr>
        <w:pStyle w:val="Heading3"/>
      </w:pPr>
      <w:r>
        <w:t xml:space="preserve">Validate — Gate G1</w:t>
      </w:r>
    </w:p>
    <w:p>
      <w:pPr>
        <w:shd w:fill="F5F5F5" w:val="clear"/>
        <w:spacing w:after="60"/>
      </w:pPr>
      <w:r>
        <w:rPr>
          <w:rFonts w:ascii="Consolas" w:cs="Consolas" w:eastAsia="Consolas" w:hAnsi="Consolas"/>
          <w:color w:val="1F3864"/>
          <w:sz w:val="17"/>
          <w:szCs w:val="17"/>
        </w:rPr>
        <w:t xml:space="preserve">oci iam compartment list --compartment-id-in-subtree true --all</w:t>
      </w:r>
    </w:p>
    <w:p>
      <w:pPr>
        <w:shd w:fill="F5F5F5" w:val="clear"/>
        <w:spacing w:after="60"/>
      </w:pPr>
      <w:r>
        <w:rPr>
          <w:rFonts w:ascii="Consolas" w:cs="Consolas" w:eastAsia="Consolas" w:hAnsi="Consolas"/>
          <w:color w:val="1F3864"/>
          <w:sz w:val="17"/>
          <w:szCs w:val="17"/>
        </w:rPr>
        <w:t xml:space="preserve">oci iam policy list --compartment-id &lt;tenancy-ocid&gt; --all</w:t>
      </w:r>
    </w:p>
    <w:p>
      <w:pPr>
        <w:pStyle w:val="ListParagraph"/>
        <w:numPr>
          <w:ilvl w:val="0"/>
          <w:numId w:val="2"/>
        </w:numPr>
        <w:spacing w:after="60"/>
      </w:pPr>
      <w:r>
        <w:t xml:space="preserve">Confirm the compartment tree matches the CD3 workbook exactly, including parents.</w:t>
      </w:r>
    </w:p>
    <w:p>
      <w:pPr>
        <w:pStyle w:val="ListParagraph"/>
        <w:numPr>
          <w:ilvl w:val="0"/>
          <w:numId w:val="2"/>
        </w:numPr>
        <w:spacing w:after="60"/>
      </w:pPr>
      <w:r>
        <w:t xml:space="preserve">Perform the positive/negative access test described in Gate G1 for at least: an IAM admin, a workload admin, an operator, and an auditor.</w:t>
      </w:r>
    </w:p>
    <w:p>
      <w:pPr>
        <w:pStyle w:val="Heading3"/>
      </w:pPr>
      <w:r>
        <w:t xml:space="preserve">Rollback</w:t>
      </w:r>
    </w:p>
    <w:p>
      <w:pPr>
        <w:spacing w:after="120"/>
      </w:pPr>
      <w:r>
        <w:t xml:space="preserve">Delete the newly created compartments and policies. Nothing existing has been modified, so rollback is clean and carries no workload risk.</w:t>
      </w:r>
    </w:p>
    <w:p>
      <w:pPr>
        <w:pStyle w:val="Heading2"/>
      </w:pPr>
      <w:r>
        <w:t xml:space="preserve">6.2 Wave 1 — Security and management services to VDMS</w:t>
      </w:r>
    </w:p>
    <w:p>
      <w:pPr>
        <w:spacing w:after="120"/>
      </w:pPr>
      <w:r>
        <w:rPr>
          <w:i/>
          <w:iCs/>
        </w:rPr>
        <w:t xml:space="preserve">Scope: Vault and keys, logging and log groups, bastion, Cloud Guard configuration, monitoring and notification resources.</w:t>
      </w:r>
    </w:p>
    <w:p>
      <w:pPr>
        <w:shd w:fill="FDF8E8" w:val="clear"/>
        <w:spacing w:after="0" w:before="160"/>
      </w:pPr>
      <w:r>
        <w:rPr>
          <w:b/>
          <w:bCs/>
          <w:color w:val="8A6D1F"/>
          <w:sz w:val="19"/>
          <w:szCs w:val="19"/>
        </w:rPr>
        <w:t xml:space="preserve">  Order matters most here</w:t>
      </w:r>
    </w:p>
    <w:p>
      <w:pPr>
        <w:shd w:fill="FDF8E8" w:val="clear"/>
        <w:spacing w:after="160"/>
      </w:pPr>
      <w:r>
        <w:rPr>
          <w:color w:val="333333"/>
          <w:sz w:val="18"/>
          <w:szCs w:val="18"/>
        </w:rPr>
        <w:t xml:space="preserve">  Every later wave depends on VDMS being correct. If keys are unreachable or logging is discontinuous after this wave, stop and remediate before proceeding — do not move workloads on top of a broken platform layer.</w:t>
      </w:r>
    </w:p>
    <w:p>
      <w:pPr>
        <w:pStyle w:val="Heading3"/>
      </w:pPr>
      <w:r>
        <w:t xml:space="preserve">Pre-check</w:t>
      </w:r>
    </w:p>
    <w:p>
      <w:pPr>
        <w:pStyle w:val="ListParagraph"/>
        <w:numPr>
          <w:ilvl w:val="0"/>
          <w:numId w:val="2"/>
        </w:numPr>
        <w:spacing w:after="60"/>
      </w:pPr>
      <w:r>
        <w:t xml:space="preserve">Record the current key OCIDs and which resources are encrypted with each.</w:t>
      </w:r>
    </w:p>
    <w:p>
      <w:pPr>
        <w:pStyle w:val="ListParagraph"/>
        <w:numPr>
          <w:ilvl w:val="0"/>
          <w:numId w:val="2"/>
        </w:numPr>
        <w:spacing w:after="60"/>
      </w:pPr>
      <w:r>
        <w:t xml:space="preserve">Confirm pol-services-use-cmk exists with the correct key OCID substituted.</w:t>
      </w:r>
    </w:p>
    <w:p>
      <w:pPr>
        <w:pStyle w:val="ListParagraph"/>
        <w:numPr>
          <w:ilvl w:val="0"/>
          <w:numId w:val="2"/>
        </w:numPr>
        <w:spacing w:after="60"/>
      </w:pPr>
      <w:r>
        <w:t xml:space="preserve">Export the last 24 hours of audit events as a pre-move baseline.</w:t>
      </w:r>
    </w:p>
    <w:p>
      <w:pPr>
        <w:pStyle w:val="Heading3"/>
      </w:pPr>
      <w:r>
        <w:t xml:space="preserve">Execute</w:t>
      </w:r>
    </w:p>
    <w:p>
      <w:pPr>
        <w:pStyle w:val="ListParagraph"/>
        <w:numPr>
          <w:ilvl w:val="0"/>
          <w:numId w:val="3"/>
        </w:numPr>
        <w:spacing w:after="60"/>
      </w:pPr>
      <w:r>
        <w:t xml:space="preserve">Move logging resources and log groups to vdms first, so the audit trail for subsequent moves is already governed by the new structure.</w:t>
      </w:r>
    </w:p>
    <w:p>
      <w:pPr>
        <w:pStyle w:val="ListParagraph"/>
        <w:numPr>
          <w:ilvl w:val="0"/>
          <w:numId w:val="3"/>
        </w:numPr>
        <w:spacing w:after="60"/>
      </w:pPr>
      <w:r>
        <w:t xml:space="preserve">Move Vault and keys to vdms. Note that keys in active use should be moved during a low-activity window.</w:t>
      </w:r>
    </w:p>
    <w:p>
      <w:pPr>
        <w:pStyle w:val="ListParagraph"/>
        <w:numPr>
          <w:ilvl w:val="0"/>
          <w:numId w:val="3"/>
        </w:numPr>
        <w:spacing w:after="60"/>
      </w:pPr>
      <w:r>
        <w:t xml:space="preserve">Move bastion resources to vdms.</w:t>
      </w:r>
    </w:p>
    <w:p>
      <w:pPr>
        <w:pStyle w:val="ListParagraph"/>
        <w:numPr>
          <w:ilvl w:val="0"/>
          <w:numId w:val="3"/>
        </w:numPr>
        <w:spacing w:after="60"/>
      </w:pPr>
      <w:r>
        <w:t xml:space="preserve">Move monitoring, alarms and notification topics to vdms.</w:t>
      </w:r>
    </w:p>
    <w:p>
      <w:pPr>
        <w:shd w:fill="F5F5F5" w:val="clear"/>
        <w:spacing w:after="60"/>
      </w:pPr>
      <w:r>
        <w:rPr>
          <w:rFonts w:ascii="Consolas" w:cs="Consolas" w:eastAsia="Consolas" w:hAnsi="Consolas"/>
          <w:color w:val="1F3864"/>
          <w:sz w:val="17"/>
          <w:szCs w:val="17"/>
        </w:rPr>
        <w:t xml:space="preserve">oci kms management vault change-compartment --vault-id &lt;ocid&gt; --compartment-id &lt;vdms-ocid&gt;</w:t>
      </w:r>
    </w:p>
    <w:p>
      <w:pPr>
        <w:shd w:fill="F5F5F5" w:val="clear"/>
        <w:spacing w:after="60"/>
      </w:pPr>
      <w:r>
        <w:rPr>
          <w:rFonts w:ascii="Consolas" w:cs="Consolas" w:eastAsia="Consolas" w:hAnsi="Consolas"/>
          <w:color w:val="1F3864"/>
          <w:sz w:val="17"/>
          <w:szCs w:val="17"/>
        </w:rPr>
        <w:t xml:space="preserve">oci logging log-group change-compartment --log-group-id &lt;ocid&gt; --target-compartment-id &lt;vdms-ocid&gt;</w:t>
      </w:r>
    </w:p>
    <w:p>
      <w:pPr>
        <w:pStyle w:val="Heading3"/>
      </w:pPr>
      <w:r>
        <w:t xml:space="preserve">Validate — Gate G2</w:t>
      </w:r>
    </w:p>
    <w:p>
      <w:pPr>
        <w:pStyle w:val="ListParagraph"/>
        <w:numPr>
          <w:ilvl w:val="0"/>
          <w:numId w:val="2"/>
        </w:numPr>
        <w:spacing w:after="60"/>
      </w:pPr>
      <w:r>
        <w:t xml:space="preserve">Create a test block volume with the customer-managed key in a workload compartment, attach it to a test instance, then delete. This proves the service-to-KMS path end to end.</w:t>
      </w:r>
    </w:p>
    <w:p>
      <w:pPr>
        <w:pStyle w:val="ListParagraph"/>
        <w:numPr>
          <w:ilvl w:val="0"/>
          <w:numId w:val="2"/>
        </w:numPr>
        <w:spacing w:after="60"/>
      </w:pPr>
      <w:r>
        <w:t xml:space="preserve">Confirm no gap in log ingestion by comparing pre-move and post-move audit event continuity.</w:t>
      </w:r>
    </w:p>
    <w:p>
      <w:pPr>
        <w:pStyle w:val="ListParagraph"/>
        <w:numPr>
          <w:ilvl w:val="0"/>
          <w:numId w:val="2"/>
        </w:numPr>
        <w:spacing w:after="60"/>
      </w:pPr>
      <w:r>
        <w:t xml:space="preserve">Confirm the security team can still administer Vault from an approved admin origin, and cannot from an unapproved one.</w:t>
      </w:r>
    </w:p>
    <w:p>
      <w:pPr>
        <w:pStyle w:val="Heading3"/>
      </w:pPr>
      <w:r>
        <w:t xml:space="preserve">Rollback</w:t>
      </w:r>
    </w:p>
    <w:p>
      <w:pPr>
        <w:spacing w:after="120"/>
      </w:pPr>
      <w:r>
        <w:t xml:space="preserve">Move the resources back to their original compartments. Because the original policies remain in force through Wave 8, access is restored on completion of the move-back plus a settle period.</w:t>
      </w:r>
    </w:p>
    <w:p>
      <w:pPr>
        <w:pStyle w:val="Heading2"/>
      </w:pPr>
      <w:r>
        <w:t xml:space="preserve">6.3 Wave 2 — Network hub to VDSS</w:t>
      </w:r>
    </w:p>
    <w:p>
      <w:pPr>
        <w:spacing w:after="120"/>
      </w:pPr>
      <w:r>
        <w:rPr>
          <w:i/>
          <w:iCs/>
        </w:rPr>
        <w:t xml:space="preserve">Scope: hub VCN and its subnets, DRG and attachments, network firewall, FastConnect virtual circuits, DNS resolver.</w:t>
      </w:r>
    </w:p>
    <w:p>
      <w:pPr>
        <w:pStyle w:val="Heading3"/>
      </w:pPr>
      <w:r>
        <w:t xml:space="preserve">Pre-check</w:t>
      </w:r>
    </w:p>
    <w:p>
      <w:pPr>
        <w:pStyle w:val="ListParagraph"/>
        <w:numPr>
          <w:ilvl w:val="0"/>
          <w:numId w:val="2"/>
        </w:numPr>
        <w:spacing w:after="60"/>
      </w:pPr>
      <w:r>
        <w:t xml:space="preserve">Confirm the VCN move granularity: subnets, route tables, gateways and security lists move with the parent VCN and cannot be separated.</w:t>
      </w:r>
    </w:p>
    <w:p>
      <w:pPr>
        <w:pStyle w:val="ListParagraph"/>
        <w:numPr>
          <w:ilvl w:val="0"/>
          <w:numId w:val="2"/>
        </w:numPr>
        <w:spacing w:after="60"/>
      </w:pPr>
      <w:r>
        <w:t xml:space="preserve">Record all DRG attachments and route table associations before the move.</w:t>
      </w:r>
    </w:p>
    <w:p>
      <w:pPr>
        <w:pStyle w:val="ListParagraph"/>
        <w:numPr>
          <w:ilvl w:val="0"/>
          <w:numId w:val="2"/>
        </w:numPr>
        <w:spacing w:after="60"/>
      </w:pPr>
      <w:r>
        <w:t xml:space="preserve">Confirm a maintenance window — although the data plane is unaffected, this is the highest-blast-radius wave and warrants one.</w:t>
      </w:r>
    </w:p>
    <w:p>
      <w:pPr>
        <w:pStyle w:val="Heading3"/>
      </w:pPr>
      <w:r>
        <w:t xml:space="preserve">Execute</w:t>
      </w:r>
    </w:p>
    <w:p>
      <w:pPr>
        <w:pStyle w:val="ListParagraph"/>
        <w:numPr>
          <w:ilvl w:val="0"/>
          <w:numId w:val="3"/>
        </w:numPr>
        <w:spacing w:after="60"/>
      </w:pPr>
      <w:r>
        <w:t xml:space="preserve">Move the hub VCN to vdss. Subnets and gateways follow automatically.</w:t>
      </w:r>
    </w:p>
    <w:p>
      <w:pPr>
        <w:pStyle w:val="ListParagraph"/>
        <w:numPr>
          <w:ilvl w:val="0"/>
          <w:numId w:val="3"/>
        </w:numPr>
        <w:spacing w:after="60"/>
      </w:pPr>
      <w:r>
        <w:t xml:space="preserve">Move the DRG to vdss. Attachments are OCID-based and are preserved.</w:t>
      </w:r>
    </w:p>
    <w:p>
      <w:pPr>
        <w:pStyle w:val="ListParagraph"/>
        <w:numPr>
          <w:ilvl w:val="0"/>
          <w:numId w:val="3"/>
        </w:numPr>
        <w:spacing w:after="60"/>
      </w:pPr>
      <w:r>
        <w:t xml:space="preserve">Move the network firewall and its policy to vdss.</w:t>
      </w:r>
    </w:p>
    <w:p>
      <w:pPr>
        <w:pStyle w:val="ListParagraph"/>
        <w:numPr>
          <w:ilvl w:val="0"/>
          <w:numId w:val="3"/>
        </w:numPr>
        <w:spacing w:after="60"/>
      </w:pPr>
      <w:r>
        <w:t xml:space="preserve">Move FastConnect virtual circuits to vdss.</w:t>
      </w:r>
    </w:p>
    <w:p>
      <w:pPr>
        <w:shd w:fill="F5F5F5" w:val="clear"/>
        <w:spacing w:after="60"/>
      </w:pPr>
      <w:r>
        <w:rPr>
          <w:rFonts w:ascii="Consolas" w:cs="Consolas" w:eastAsia="Consolas" w:hAnsi="Consolas"/>
          <w:color w:val="1F3864"/>
          <w:sz w:val="17"/>
          <w:szCs w:val="17"/>
        </w:rPr>
        <w:t xml:space="preserve">oci network vcn change-compartment --vcn-id &lt;ocid&gt; --compartment-id &lt;vdss-ocid&gt;</w:t>
      </w:r>
    </w:p>
    <w:p>
      <w:pPr>
        <w:shd w:fill="F5F5F5" w:val="clear"/>
        <w:spacing w:after="60"/>
      </w:pPr>
      <w:r>
        <w:rPr>
          <w:rFonts w:ascii="Consolas" w:cs="Consolas" w:eastAsia="Consolas" w:hAnsi="Consolas"/>
          <w:color w:val="1F3864"/>
          <w:sz w:val="17"/>
          <w:szCs w:val="17"/>
        </w:rPr>
        <w:t xml:space="preserve">oci network drg change-compartment --drg-id &lt;ocid&gt; --compartment-id &lt;vdss-ocid&gt;</w:t>
      </w:r>
    </w:p>
    <w:p>
      <w:pPr>
        <w:pStyle w:val="Heading3"/>
      </w:pPr>
      <w:r>
        <w:t xml:space="preserve">Validate — Gate G2</w:t>
      </w:r>
    </w:p>
    <w:p>
      <w:pPr>
        <w:pStyle w:val="ListParagraph"/>
        <w:numPr>
          <w:ilvl w:val="0"/>
          <w:numId w:val="2"/>
        </w:numPr>
        <w:spacing w:after="60"/>
      </w:pPr>
      <w:r>
        <w:t xml:space="preserve">Confirm connectivity from the government network is unbroken — traffic should be unaffected throughout.</w:t>
      </w:r>
    </w:p>
    <w:p>
      <w:pPr>
        <w:pStyle w:val="ListParagraph"/>
        <w:numPr>
          <w:ilvl w:val="0"/>
          <w:numId w:val="2"/>
        </w:numPr>
        <w:spacing w:after="60"/>
      </w:pPr>
      <w:r>
        <w:t xml:space="preserve">Confirm all DRG attachments and route associations are intact.</w:t>
      </w:r>
    </w:p>
    <w:p>
      <w:pPr>
        <w:pStyle w:val="ListParagraph"/>
        <w:numPr>
          <w:ilvl w:val="0"/>
          <w:numId w:val="2"/>
        </w:numPr>
        <w:spacing w:after="60"/>
      </w:pPr>
      <w:r>
        <w:t xml:space="preserve">Confirm the network team can manage the hub from an approved admin origin only.</w:t>
      </w:r>
    </w:p>
    <w:p>
      <w:pPr>
        <w:pStyle w:val="ListParagraph"/>
        <w:numPr>
          <w:ilvl w:val="0"/>
          <w:numId w:val="2"/>
        </w:numPr>
        <w:spacing w:after="60"/>
      </w:pPr>
      <w:r>
        <w:t xml:space="preserve">Confirm firewall inspection is still applied to the intended traffic paths.</w:t>
      </w:r>
    </w:p>
    <w:p>
      <w:pPr>
        <w:pStyle w:val="Heading3"/>
      </w:pPr>
      <w:r>
        <w:t xml:space="preserve">Rollback</w:t>
      </w:r>
    </w:p>
    <w:p>
      <w:pPr>
        <w:spacing w:after="120"/>
      </w:pPr>
      <w:r>
        <w:t xml:space="preserve">Move network resources back to the original compartment. Routing and attachments are preserved by OCID and are not affected by the move direction.</w:t>
      </w:r>
    </w:p>
    <w:p>
      <w:pPr>
        <w:pStyle w:val="Heading2"/>
      </w:pPr>
      <w:r>
        <w:t xml:space="preserve">6.4 Wave 3 — Shared services</w:t>
      </w:r>
    </w:p>
    <w:p>
      <w:pPr>
        <w:spacing w:after="120"/>
      </w:pPr>
      <w:r>
        <w:rPr>
          <w:i/>
          <w:iCs/>
        </w:rPr>
        <w:t xml:space="preserve">Scope: container registry repositories and shared artifact buckets.</w:t>
      </w:r>
    </w:p>
    <w:p>
      <w:pPr>
        <w:pStyle w:val="Heading3"/>
      </w:pPr>
      <w:r>
        <w:t xml:space="preserve">Execute</w:t>
      </w:r>
    </w:p>
    <w:p>
      <w:pPr>
        <w:pStyle w:val="ListParagraph"/>
        <w:numPr>
          <w:ilvl w:val="0"/>
          <w:numId w:val="3"/>
        </w:numPr>
        <w:spacing w:after="60"/>
      </w:pPr>
      <w:r>
        <w:t xml:space="preserve">Move registry repositories to shared-services.</w:t>
      </w:r>
    </w:p>
    <w:p>
      <w:pPr>
        <w:pStyle w:val="ListParagraph"/>
        <w:numPr>
          <w:ilvl w:val="0"/>
          <w:numId w:val="3"/>
        </w:numPr>
        <w:spacing w:after="60"/>
      </w:pPr>
      <w:r>
        <w:t xml:space="preserve">Move shared artifact buckets to shared-services.</w:t>
      </w:r>
    </w:p>
    <w:p>
      <w:pPr>
        <w:pStyle w:val="Heading3"/>
      </w:pPr>
      <w:r>
        <w:t xml:space="preserve">Validate — Gate G2</w:t>
      </w:r>
    </w:p>
    <w:p>
      <w:pPr>
        <w:pStyle w:val="ListParagraph"/>
        <w:numPr>
          <w:ilvl w:val="0"/>
          <w:numId w:val="2"/>
        </w:numPr>
        <w:spacing w:after="60"/>
      </w:pPr>
      <w:r>
        <w:t xml:space="preserve">Confirm a test image pull succeeds using an instance principal from a workload compartment, proving the cross-compartment read grant works.</w:t>
      </w:r>
    </w:p>
    <w:p>
      <w:pPr>
        <w:pStyle w:val="ListParagraph"/>
        <w:numPr>
          <w:ilvl w:val="0"/>
          <w:numId w:val="2"/>
        </w:numPr>
        <w:spacing w:after="60"/>
      </w:pPr>
      <w:r>
        <w:t xml:space="preserve">Confirm sandbox principals cannot read this registry — sandbox has its own, and the boundary must hold.</w:t>
      </w:r>
    </w:p>
    <w:p>
      <w:pPr>
        <w:pStyle w:val="Heading2"/>
      </w:pPr>
      <w:r>
        <w:t xml:space="preserve">6.5 Waves 4 and 5 — DataWalk non-production, then production</w:t>
      </w:r>
    </w:p>
    <w:p>
      <w:pPr>
        <w:spacing w:after="120"/>
      </w:pPr>
      <w:r>
        <w:rPr>
          <w:i/>
          <w:iCs/>
        </w:rPr>
        <w:t xml:space="preserve">Scope per wave: OKE cluster and node pools, worker instances, block volumes, object storage buckets, load balancers.</w:t>
      </w:r>
    </w:p>
    <w:p>
      <w:pPr>
        <w:shd w:fill="FDF2F0" w:val="clear"/>
        <w:spacing w:after="0" w:before="160"/>
      </w:pPr>
      <w:r>
        <w:rPr>
          <w:b/>
          <w:bCs/>
          <w:color w:val="C0392B"/>
          <w:sz w:val="19"/>
          <w:szCs w:val="19"/>
        </w:rPr>
        <w:t xml:space="preserve">  The dynamic group trap</w:t>
      </w:r>
    </w:p>
    <w:p>
      <w:pPr>
        <w:shd w:fill="FDF2F0" w:val="clear"/>
        <w:spacing w:after="160"/>
      </w:pPr>
      <w:r>
        <w:rPr>
          <w:color w:val="333333"/>
          <w:sz w:val="18"/>
          <w:szCs w:val="18"/>
        </w:rPr>
        <w:t xml:space="preserve">  This is where migrations most commonly fail. The moment an OKE worker instance changes compartment, it stops matching a dynamic group keyed on the old compartment OCID and loses its instance-principal permissions. Verify that dg-datawalk-oke-nodes matches the destination compartment OCIDs BEFORE moving any instance, and confirm matching immediately after the move.</w:t>
      </w:r>
    </w:p>
    <w:p>
      <w:pPr>
        <w:pStyle w:val="Heading3"/>
      </w:pPr>
      <w:r>
        <w:t xml:space="preserve">Pre-check</w:t>
      </w:r>
    </w:p>
    <w:p>
      <w:pPr>
        <w:pStyle w:val="ListParagraph"/>
        <w:numPr>
          <w:ilvl w:val="0"/>
          <w:numId w:val="2"/>
        </w:numPr>
        <w:spacing w:after="60"/>
      </w:pPr>
      <w:r>
        <w:t xml:space="preserve">Confirm dg-datawalk-oke-nodes matching rule includes the destination compartment OCID.</w:t>
      </w:r>
    </w:p>
    <w:p>
      <w:pPr>
        <w:pStyle w:val="ListParagraph"/>
        <w:numPr>
          <w:ilvl w:val="0"/>
          <w:numId w:val="2"/>
        </w:numPr>
        <w:spacing w:after="60"/>
      </w:pPr>
      <w:r>
        <w:t xml:space="preserve">Confirm pol-dg-datawalk grants the required verbs in the destination.</w:t>
      </w:r>
    </w:p>
    <w:p>
      <w:pPr>
        <w:pStyle w:val="ListParagraph"/>
        <w:numPr>
          <w:ilvl w:val="0"/>
          <w:numId w:val="2"/>
        </w:numPr>
        <w:spacing w:after="60"/>
      </w:pPr>
      <w:r>
        <w:t xml:space="preserve">Reconcile current consumption against quota-datawalk-guardrails — confirm cores, storage and object usage are below the configured caps.</w:t>
      </w:r>
    </w:p>
    <w:p>
      <w:pPr>
        <w:pStyle w:val="ListParagraph"/>
        <w:numPr>
          <w:ilvl w:val="0"/>
          <w:numId w:val="2"/>
        </w:numPr>
        <w:spacing w:after="60"/>
      </w:pPr>
      <w:r>
        <w:t xml:space="preserve">Capture application health baseline: cluster status, node pool health, query response, ingestion throughput.</w:t>
      </w:r>
    </w:p>
    <w:p>
      <w:pPr>
        <w:pStyle w:val="Heading3"/>
      </w:pPr>
      <w:r>
        <w:t xml:space="preserve">Execute</w:t>
      </w:r>
    </w:p>
    <w:p>
      <w:pPr>
        <w:pStyle w:val="ListParagraph"/>
        <w:numPr>
          <w:ilvl w:val="0"/>
          <w:numId w:val="3"/>
        </w:numPr>
        <w:spacing w:after="60"/>
      </w:pPr>
      <w:r>
        <w:t xml:space="preserve">Move block volumes and their attached instances together to avoid a split-compartment state.</w:t>
      </w:r>
    </w:p>
    <w:p>
      <w:pPr>
        <w:pStyle w:val="ListParagraph"/>
        <w:numPr>
          <w:ilvl w:val="0"/>
          <w:numId w:val="3"/>
        </w:numPr>
        <w:spacing w:after="60"/>
      </w:pPr>
      <w:r>
        <w:t xml:space="preserve">Move the OKE cluster; node pools follow the cluster.</w:t>
      </w:r>
    </w:p>
    <w:p>
      <w:pPr>
        <w:pStyle w:val="ListParagraph"/>
        <w:numPr>
          <w:ilvl w:val="0"/>
          <w:numId w:val="3"/>
        </w:numPr>
        <w:spacing w:after="60"/>
      </w:pPr>
      <w:r>
        <w:t xml:space="preserve">Move object storage buckets.</w:t>
      </w:r>
    </w:p>
    <w:p>
      <w:pPr>
        <w:pStyle w:val="ListParagraph"/>
        <w:numPr>
          <w:ilvl w:val="0"/>
          <w:numId w:val="3"/>
        </w:numPr>
        <w:spacing w:after="60"/>
      </w:pPr>
      <w:r>
        <w:t xml:space="preserve">Move load balancers.</w:t>
      </w:r>
    </w:p>
    <w:p>
      <w:pPr>
        <w:shd w:fill="F5F5F5" w:val="clear"/>
        <w:spacing w:after="60"/>
      </w:pPr>
      <w:r>
        <w:rPr>
          <w:rFonts w:ascii="Consolas" w:cs="Consolas" w:eastAsia="Consolas" w:hAnsi="Consolas"/>
          <w:color w:val="1F3864"/>
          <w:sz w:val="17"/>
          <w:szCs w:val="17"/>
        </w:rPr>
        <w:t xml:space="preserve">oci ce cluster change-compartment --cluster-id &lt;ocid&gt; --compartment-id &lt;datawalk-nonprod-ocid&gt;</w:t>
      </w:r>
    </w:p>
    <w:p>
      <w:pPr>
        <w:shd w:fill="F5F5F5" w:val="clear"/>
        <w:spacing w:after="60"/>
      </w:pPr>
      <w:r>
        <w:rPr>
          <w:rFonts w:ascii="Consolas" w:cs="Consolas" w:eastAsia="Consolas" w:hAnsi="Consolas"/>
          <w:color w:val="1F3864"/>
          <w:sz w:val="17"/>
          <w:szCs w:val="17"/>
        </w:rPr>
        <w:t xml:space="preserve">oci compute instance change-compartment --instance-id &lt;ocid&gt; --compartment-id &lt;datawalk-nonprod-ocid&gt;</w:t>
      </w:r>
    </w:p>
    <w:p>
      <w:pPr>
        <w:pStyle w:val="Heading3"/>
      </w:pPr>
      <w:r>
        <w:t xml:space="preserve">Validate — Gate G3, and G4 for production</w:t>
      </w:r>
    </w:p>
    <w:p>
      <w:pPr>
        <w:pStyle w:val="ListParagraph"/>
        <w:numPr>
          <w:ilvl w:val="0"/>
          <w:numId w:val="2"/>
        </w:numPr>
        <w:spacing w:after="60"/>
      </w:pPr>
      <w:r>
        <w:t xml:space="preserve">Confirm every moved instance is matched by the new dynamic group.</w:t>
      </w:r>
    </w:p>
    <w:p>
      <w:pPr>
        <w:pStyle w:val="ListParagraph"/>
        <w:numPr>
          <w:ilvl w:val="0"/>
          <w:numId w:val="2"/>
        </w:numPr>
        <w:spacing w:after="60"/>
      </w:pPr>
      <w:r>
        <w:t xml:space="preserve">Confirm pods schedule, volumes attach, and images pull — this exercises instance principals, CMK and the registry grant together.</w:t>
      </w:r>
    </w:p>
    <w:p>
      <w:pPr>
        <w:pStyle w:val="ListParagraph"/>
        <w:numPr>
          <w:ilvl w:val="0"/>
          <w:numId w:val="2"/>
        </w:numPr>
        <w:spacing w:after="60"/>
      </w:pPr>
      <w:r>
        <w:t xml:space="preserve">Compare application health against the pre-move baseline.</w:t>
      </w:r>
    </w:p>
    <w:p>
      <w:pPr>
        <w:pStyle w:val="ListParagraph"/>
        <w:numPr>
          <w:ilvl w:val="0"/>
          <w:numId w:val="2"/>
        </w:numPr>
        <w:spacing w:after="60"/>
      </w:pPr>
      <w:r>
        <w:t xml:space="preserve">Review audit events for unexpected denials during the observation period.</w:t>
      </w:r>
    </w:p>
    <w:p>
      <w:pPr>
        <w:pStyle w:val="ListParagraph"/>
        <w:numPr>
          <w:ilvl w:val="0"/>
          <w:numId w:val="2"/>
        </w:numPr>
        <w:spacing w:after="60"/>
      </w:pPr>
      <w:r>
        <w:t xml:space="preserve">For production only: perform a scale-up test and revert, proving quota headroom.</w:t>
      </w:r>
    </w:p>
    <w:p>
      <w:pPr>
        <w:pStyle w:val="Heading3"/>
      </w:pPr>
      <w:r>
        <w:t xml:space="preserve">Rollback</w:t>
      </w:r>
    </w:p>
    <w:p>
      <w:pPr>
        <w:spacing w:after="120"/>
      </w:pPr>
      <w:r>
        <w:t xml:space="preserve">Move resources back in reverse order. Because original policies and dynamic groups remain in force until Wave 8, the workload regains its prior authorisation state on move-back.</w:t>
      </w:r>
    </w:p>
    <w:p>
      <w:pPr>
        <w:pStyle w:val="Heading2"/>
      </w:pPr>
      <w:r>
        <w:t xml:space="preserve">6.6 Waves 6 and 7 — HyperScience non-production, then production</w:t>
      </w:r>
    </w:p>
    <w:p>
      <w:pPr>
        <w:spacing w:after="120"/>
      </w:pPr>
      <w:r>
        <w:rPr>
          <w:i/>
          <w:iCs/>
        </w:rPr>
        <w:t xml:space="preserve">Scope per wave: dedicated GPU instances, block volumes, object storage buckets.</w:t>
      </w:r>
    </w:p>
    <w:p>
      <w:pPr>
        <w:spacing w:after="120"/>
      </w:pPr>
      <w:r>
        <w:t xml:space="preserve">The procedure mirrors Waves 4 and 5, with two differences specific to HyperScience: there is no OKE cluster to move, and the GPU shape constraint must be verified against the destination quota.</w:t>
      </w:r>
    </w:p>
    <w:p>
      <w:pPr>
        <w:pStyle w:val="Heading3"/>
      </w:pPr>
      <w:r>
        <w:t xml:space="preserve">Pre-check</w:t>
      </w:r>
    </w:p>
    <w:p>
      <w:pPr>
        <w:pStyle w:val="ListParagraph"/>
        <w:numPr>
          <w:ilvl w:val="0"/>
          <w:numId w:val="2"/>
        </w:numPr>
        <w:spacing w:after="60"/>
      </w:pPr>
      <w:r>
        <w:t xml:space="preserve">Confirm dg-hyperscience-gpu matches the destination compartment OCIDs.</w:t>
      </w:r>
    </w:p>
    <w:p>
      <w:pPr>
        <w:pStyle w:val="ListParagraph"/>
        <w:numPr>
          <w:ilvl w:val="0"/>
          <w:numId w:val="2"/>
        </w:numPr>
        <w:spacing w:after="60"/>
      </w:pPr>
      <w:r>
        <w:t xml:space="preserve">Confirm the GPU quota in quota-hyperscience-guardrails permits the shape currently in use. If the deployed shape is RTX PRO bare metal, confirm the quota family name and value are correct — a mismatch here blocks recovery if an instance must be recreated.</w:t>
      </w:r>
    </w:p>
    <w:p>
      <w:pPr>
        <w:pStyle w:val="ListParagraph"/>
        <w:numPr>
          <w:ilvl w:val="0"/>
          <w:numId w:val="2"/>
        </w:numPr>
        <w:spacing w:after="60"/>
      </w:pPr>
      <w:r>
        <w:t xml:space="preserve">Capture document-processing throughput baseline.</w:t>
      </w:r>
    </w:p>
    <w:p>
      <w:pPr>
        <w:pStyle w:val="Heading3"/>
      </w:pPr>
      <w:r>
        <w:t xml:space="preserve">Execute and validate</w:t>
      </w:r>
    </w:p>
    <w:p>
      <w:pPr>
        <w:pStyle w:val="ListParagraph"/>
        <w:numPr>
          <w:ilvl w:val="0"/>
          <w:numId w:val="3"/>
        </w:numPr>
        <w:spacing w:after="60"/>
      </w:pPr>
      <w:r>
        <w:t xml:space="preserve">Move block volumes and GPU instances together.</w:t>
      </w:r>
    </w:p>
    <w:p>
      <w:pPr>
        <w:pStyle w:val="ListParagraph"/>
        <w:numPr>
          <w:ilvl w:val="0"/>
          <w:numId w:val="3"/>
        </w:numPr>
        <w:spacing w:after="60"/>
      </w:pPr>
      <w:r>
        <w:t xml:space="preserve">Move object storage buckets.</w:t>
      </w:r>
    </w:p>
    <w:p>
      <w:pPr>
        <w:pStyle w:val="ListParagraph"/>
        <w:numPr>
          <w:ilvl w:val="0"/>
          <w:numId w:val="3"/>
        </w:numPr>
        <w:spacing w:after="60"/>
      </w:pPr>
      <w:r>
        <w:t xml:space="preserve">Validate per Gate G3: dynamic group matching, volume attach, key use, document-processing throughput against baseline.</w:t>
      </w:r>
    </w:p>
    <w:p>
      <w:pPr>
        <w:pStyle w:val="Heading2"/>
      </w:pPr>
      <w:r>
        <w:t xml:space="preserve">6.7 Wave 8 — Sandbox provisioning</w:t>
      </w:r>
    </w:p>
    <w:p>
      <w:pPr>
        <w:spacing w:after="120"/>
      </w:pPr>
      <w:r>
        <w:rPr>
          <w:i/>
          <w:iCs/>
        </w:rPr>
        <w:t xml:space="preserve">Scope: build the sandbox tree and its guardrails. No migration occurs; this is new capacity.</w:t>
      </w:r>
    </w:p>
    <w:p>
      <w:pPr>
        <w:pStyle w:val="ListParagraph"/>
        <w:numPr>
          <w:ilvl w:val="0"/>
          <w:numId w:val="3"/>
        </w:numPr>
        <w:spacing w:after="60"/>
      </w:pPr>
      <w:r>
        <w:t xml:space="preserve">Confirm the sandbox compartments, groups, policies, quotas, budget and tag namespace created in Wave 0 are correct.</w:t>
      </w:r>
    </w:p>
    <w:p>
      <w:pPr>
        <w:pStyle w:val="ListParagraph"/>
        <w:numPr>
          <w:ilvl w:val="0"/>
          <w:numId w:val="3"/>
        </w:numPr>
        <w:spacing w:after="60"/>
      </w:pPr>
      <w:r>
        <w:t xml:space="preserve">Stand up sandbox-local registry and bastion in sandbox-platform.</w:t>
      </w:r>
    </w:p>
    <w:p>
      <w:pPr>
        <w:pStyle w:val="ListParagraph"/>
        <w:numPr>
          <w:ilvl w:val="0"/>
          <w:numId w:val="3"/>
        </w:numPr>
        <w:spacing w:after="60"/>
      </w:pPr>
      <w:r>
        <w:t xml:space="preserve">Replicate approved base images into the sandbox registry — do not grant sandbox access to the production registry.</w:t>
      </w:r>
    </w:p>
    <w:p>
      <w:pPr>
        <w:pStyle w:val="ListParagraph"/>
        <w:numPr>
          <w:ilvl w:val="0"/>
          <w:numId w:val="3"/>
        </w:numPr>
        <w:spacing w:after="60"/>
      </w:pPr>
      <w:r>
        <w:t xml:space="preserve">Onboard developers into grp-datawalk-developers and grp-hyperscience-developers.</w:t>
      </w:r>
    </w:p>
    <w:p>
      <w:pPr>
        <w:pStyle w:val="Heading3"/>
      </w:pPr>
      <w:r>
        <w:t xml:space="preserve">Validate — Gate G1 plus guardrail proof</w:t>
      </w:r>
    </w:p>
    <w:p>
      <w:pPr>
        <w:pStyle w:val="ListParagraph"/>
        <w:numPr>
          <w:ilvl w:val="0"/>
          <w:numId w:val="2"/>
        </w:numPr>
        <w:spacing w:after="60"/>
      </w:pPr>
      <w:r>
        <w:t xml:space="preserve">A developer can build an instance in their own sandbox compartment.</w:t>
      </w:r>
    </w:p>
    <w:p>
      <w:pPr>
        <w:pStyle w:val="ListParagraph"/>
        <w:numPr>
          <w:ilvl w:val="0"/>
          <w:numId w:val="2"/>
        </w:numPr>
        <w:spacing w:after="60"/>
      </w:pPr>
      <w:r>
        <w:t xml:space="preserve">A developer is denied when attempting to create a GPU instance — quota enforcement proven.</w:t>
      </w:r>
    </w:p>
    <w:p>
      <w:pPr>
        <w:pStyle w:val="ListParagraph"/>
        <w:numPr>
          <w:ilvl w:val="0"/>
          <w:numId w:val="2"/>
        </w:numPr>
        <w:spacing w:after="60"/>
      </w:pPr>
      <w:r>
        <w:t xml:space="preserve">A developer is denied when attempting to read any eblz compartment — boundary proven.</w:t>
      </w:r>
    </w:p>
    <w:p>
      <w:pPr>
        <w:pStyle w:val="ListParagraph"/>
        <w:numPr>
          <w:ilvl w:val="0"/>
          <w:numId w:val="2"/>
        </w:numPr>
        <w:spacing w:after="60"/>
      </w:pPr>
      <w:r>
        <w:t xml:space="preserve">A developer cannot create policies, groups or a DRG attachment — escalation and connectivity paths proven closed.</w:t>
      </w:r>
    </w:p>
    <w:p>
      <w:pPr>
        <w:pStyle w:val="Heading2"/>
      </w:pPr>
      <w:r>
        <w:t xml:space="preserve">6.8 Wave 9 — Decommission and evidence</w:t>
      </w:r>
    </w:p>
    <w:p>
      <w:pPr>
        <w:pStyle w:val="Heading3"/>
      </w:pPr>
      <w:r>
        <w:t xml:space="preserve">Execute</w:t>
      </w:r>
    </w:p>
    <w:p>
      <w:pPr>
        <w:pStyle w:val="ListParagraph"/>
        <w:numPr>
          <w:ilvl w:val="0"/>
          <w:numId w:val="3"/>
        </w:numPr>
        <w:spacing w:after="60"/>
      </w:pPr>
      <w:r>
        <w:t xml:space="preserve">Confirm no resources remain in superseded CIS LZ compartments.</w:t>
      </w:r>
    </w:p>
    <w:p>
      <w:pPr>
        <w:pStyle w:val="ListParagraph"/>
        <w:numPr>
          <w:ilvl w:val="0"/>
          <w:numId w:val="3"/>
        </w:numPr>
        <w:spacing w:after="60"/>
      </w:pPr>
      <w:r>
        <w:t xml:space="preserve">Remove superseded policies. This is the point at which the old authorisation path is closed — verify the new path works for every group first.</w:t>
      </w:r>
    </w:p>
    <w:p>
      <w:pPr>
        <w:pStyle w:val="ListParagraph"/>
        <w:numPr>
          <w:ilvl w:val="0"/>
          <w:numId w:val="3"/>
        </w:numPr>
        <w:spacing w:after="60"/>
      </w:pPr>
      <w:r>
        <w:t xml:space="preserve">Delete empty superseded compartments.</w:t>
      </w:r>
    </w:p>
    <w:p>
      <w:pPr>
        <w:pStyle w:val="ListParagraph"/>
        <w:numPr>
          <w:ilvl w:val="0"/>
          <w:numId w:val="3"/>
        </w:numPr>
        <w:spacing w:after="60"/>
      </w:pPr>
      <w:r>
        <w:t xml:space="preserve">Remove orphaned groups and dynamic groups.</w:t>
      </w:r>
    </w:p>
    <w:p>
      <w:pPr>
        <w:pStyle w:val="ListParagraph"/>
        <w:numPr>
          <w:ilvl w:val="0"/>
          <w:numId w:val="3"/>
        </w:numPr>
        <w:spacing w:after="60"/>
      </w:pPr>
      <w:r>
        <w:t xml:space="preserve">Reconcile Terraform state to the final structure and re-enable the pipeline.</w:t>
      </w:r>
    </w:p>
    <w:p>
      <w:pPr>
        <w:pStyle w:val="Heading3"/>
      </w:pPr>
      <w:r>
        <w:t xml:space="preserve">Validate — Gate G5</w:t>
      </w:r>
    </w:p>
    <w:p>
      <w:pPr>
        <w:pStyle w:val="ListParagraph"/>
        <w:numPr>
          <w:ilvl w:val="0"/>
          <w:numId w:val="2"/>
        </w:numPr>
        <w:spacing w:after="60"/>
      </w:pPr>
      <w:r>
        <w:t xml:space="preserve">Guardrail proof: GPU creation denied in DataWalk compartments; FastConnect creation denied in sandbox; escalation denied for IAM admins against the Administrators group.</w:t>
      </w:r>
    </w:p>
    <w:p>
      <w:pPr>
        <w:pStyle w:val="ListParagraph"/>
        <w:numPr>
          <w:ilvl w:val="0"/>
          <w:numId w:val="2"/>
        </w:numPr>
        <w:spacing w:after="60"/>
      </w:pPr>
      <w:r>
        <w:t xml:space="preserve">Every group can perform its intended function and nothing beyond it.</w:t>
      </w:r>
    </w:p>
    <w:p>
      <w:pPr>
        <w:pStyle w:val="ListParagraph"/>
        <w:numPr>
          <w:ilvl w:val="0"/>
          <w:numId w:val="2"/>
        </w:numPr>
        <w:spacing w:after="60"/>
      </w:pPr>
      <w:r>
        <w:t xml:space="preserve">Audit trail is continuous across the entire migration window.</w:t>
      </w:r>
    </w:p>
    <w:p>
      <w:r>
        <w:br w:type="page"/>
      </w:r>
    </w:p>
    <w:p>
      <w:pPr>
        <w:pStyle w:val="Heading1"/>
      </w:pPr>
      <w:r>
        <w:t xml:space="preserve">7. Rollback Strategy</w:t>
      </w:r>
    </w:p>
    <w:p>
      <w:pPr>
        <w:spacing w:after="120"/>
      </w:pPr>
      <w:r>
        <w:t xml:space="preserve">Rollback is per-wave, not global. Because original policies remain in force until Wave 9, every wave up to that point can be reversed by moving resources back to their original compartments.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5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Wave</w:t>
            </w:r>
          </w:p>
        </w:tc>
        <w:tc>
          <w:tcPr>
            <w:tcW w:type="dxa" w:w="33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Rollback action</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Recovery position</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Delete new compartments and policies.</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No change to existing environment.</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1–3</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Move platform resources back to original compartments.</w:t>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Original policies still active; access restored after settle period.</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4–7</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Move workload resources back in reverse order.</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Original dynamic groups still active; instance principals re-match.</w:t>
            </w:r>
          </w:p>
        </w:tc>
      </w:tr>
      <w:tr>
        <w:trPr>
          <w:tblHeader w:val="false"/>
        </w:trP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8</w:t>
            </w:r>
          </w:p>
        </w:tc>
        <w:tc>
          <w:tcPr>
            <w:tcW w:type="dxa" w:w="33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Delete sandbox tree.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No production impact — sandbox is isolated.</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9</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Not reversible without re-creating removed policies. Do not begin until all prior gates have passed and been recorded.</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Point of no return.</w:t>
            </w:r>
          </w:p>
        </w:tc>
      </w:tr>
    </w:tbl>
    <w:p>
      <w:pPr>
        <w:spacing w:after="120"/>
      </w:pPr>
      <w:r>
        <w:t xml:space="preserve"/>
      </w:r>
    </w:p>
    <w:p>
      <w:pPr>
        <w:shd w:fill="FDF2F0" w:val="clear"/>
        <w:spacing w:after="0" w:before="160"/>
      </w:pPr>
      <w:r>
        <w:rPr>
          <w:b/>
          <w:bCs/>
          <w:color w:val="C0392B"/>
          <w:sz w:val="19"/>
          <w:szCs w:val="19"/>
        </w:rPr>
        <w:t xml:space="preserve">  Wave 9 is the point of no return</w:t>
      </w:r>
    </w:p>
    <w:p>
      <w:pPr>
        <w:shd w:fill="FDF2F0" w:val="clear"/>
        <w:spacing w:after="160"/>
      </w:pPr>
      <w:r>
        <w:rPr>
          <w:color w:val="333333"/>
          <w:sz w:val="18"/>
          <w:szCs w:val="18"/>
        </w:rPr>
        <w:t xml:space="preserve">  Every wave before it is reversible because the original authorisation path is still standing. Wave 9 removes that path. Do not begin Wave 9 until every prior gate is recorded as passed and the environment has run stably through at least one full business cycle.</w:t>
      </w:r>
    </w:p>
    <w:p>
      <w:pPr>
        <w:pStyle w:val="Heading1"/>
      </w:pPr>
      <w:r>
        <w:t xml:space="preserve">8. Evidence Collection for the Authorization Package</w:t>
      </w:r>
    </w:p>
    <w:p>
      <w:pPr>
        <w:spacing w:after="120"/>
      </w:pPr>
      <w:r>
        <w:t xml:space="preserve">Collect the following at each gate. This turns the migration itself into authorisation evidence rather than a separate documentation exercise.</w:t>
      </w:r>
    </w:p>
    <w:p>
      <w:pPr>
        <w:pStyle w:val="ListParagraph"/>
        <w:numPr>
          <w:ilvl w:val="0"/>
          <w:numId w:val="2"/>
        </w:numPr>
        <w:spacing w:after="60"/>
      </w:pPr>
      <w:r>
        <w:t xml:space="preserve">Compartment tree export, before and after, demonstrating the SCCA component mapping (VDSS, VDMS, workloads).</w:t>
      </w:r>
    </w:p>
    <w:p>
      <w:pPr>
        <w:pStyle w:val="ListParagraph"/>
        <w:numPr>
          <w:ilvl w:val="0"/>
          <w:numId w:val="2"/>
        </w:numPr>
        <w:spacing w:after="60"/>
      </w:pPr>
      <w:r>
        <w:t xml:space="preserve">Full policy listing showing least-privilege scoping, escalation guards and network-source restrictions.</w:t>
      </w:r>
    </w:p>
    <w:p>
      <w:pPr>
        <w:pStyle w:val="ListParagraph"/>
        <w:numPr>
          <w:ilvl w:val="0"/>
          <w:numId w:val="2"/>
        </w:numPr>
        <w:spacing w:after="60"/>
      </w:pPr>
      <w:r>
        <w:t xml:space="preserve">Quota configuration demonstrating enforced separation — GPU denied in DataWalk compartments, connectivity denied in sandbox.</w:t>
      </w:r>
    </w:p>
    <w:p>
      <w:pPr>
        <w:pStyle w:val="ListParagraph"/>
        <w:numPr>
          <w:ilvl w:val="0"/>
          <w:numId w:val="2"/>
        </w:numPr>
        <w:spacing w:after="60"/>
      </w:pPr>
      <w:r>
        <w:t xml:space="preserve">Gate records: result, operator, timestamp for every gate in every wave.</w:t>
      </w:r>
    </w:p>
    <w:p>
      <w:pPr>
        <w:pStyle w:val="ListParagraph"/>
        <w:numPr>
          <w:ilvl w:val="0"/>
          <w:numId w:val="2"/>
        </w:numPr>
        <w:spacing w:after="60"/>
      </w:pPr>
      <w:r>
        <w:t xml:space="preserve">Positive and negative access test results per group.</w:t>
      </w:r>
    </w:p>
    <w:p>
      <w:pPr>
        <w:pStyle w:val="ListParagraph"/>
        <w:numPr>
          <w:ilvl w:val="0"/>
          <w:numId w:val="2"/>
        </w:numPr>
        <w:spacing w:after="60"/>
      </w:pPr>
      <w:r>
        <w:t xml:space="preserve">Continuous audit event export across the migration window.</w:t>
      </w:r>
    </w:p>
    <w:p>
      <w:pPr>
        <w:pStyle w:val="ListParagraph"/>
        <w:numPr>
          <w:ilvl w:val="0"/>
          <w:numId w:val="2"/>
        </w:numPr>
        <w:spacing w:after="60"/>
      </w:pPr>
      <w:r>
        <w:t xml:space="preserve">Signed risk acceptance for the single-region design (§2.3).</w:t>
      </w:r>
    </w:p>
    <w:p>
      <w:pPr>
        <w:pStyle w:val="Heading1"/>
      </w:pPr>
      <w:r>
        <w:t xml:space="preserve">9. Roles and Responsibilities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Activity</w:t>
            </w:r>
          </w:p>
        </w:tc>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Responsible</w:t>
            </w:r>
          </w:p>
        </w:tc>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Accountable</w:t>
            </w:r>
          </w:p>
        </w:tc>
        <w:tc>
          <w:tcPr>
            <w:tcW w:type="dxa" w:w="1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r>
              <w:rPr>
                <w:b/>
                <w:bCs/>
                <w:color w:val="FFFFFF"/>
                <w:sz w:val="17"/>
                <w:szCs w:val="17"/>
              </w:rPr>
              <w:t xml:space="preserve">Consulted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CD3 workbook completion</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Architecture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Program</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Security, Cloud Ops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Terraform state decision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Platform Eng</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Architecture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Cloud Ops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Compartment and policy provisioning</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Cloud Ops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Architecture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Identity</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Platform moves (Waves 1–3)</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Cloud Ops</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Architecture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Security, Network</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Workload moves (Waves 4–7)</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Application teams</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Architecture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Cloud Ops</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Gate sign-off</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Architecture</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Program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Security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Risk acceptance (no DR)</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Program</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Authorizing Official</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b w:val="false"/>
                <w:bCs w:val="false"/>
                <w:color w:val="000000"/>
                <w:sz w:val="17"/>
                <w:szCs w:val="17"/>
              </w:rPr>
              <w:t xml:space="preserve">Security</w:t>
            </w:r>
          </w:p>
        </w:tc>
      </w:tr>
      <w:tr>
        <w:trPr>
          <w:tblHeader w:val="false"/>
        </w:trP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Evidence assembly</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Security</w:t>
            </w:r>
          </w:p>
        </w:tc>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Program</w:t>
            </w:r>
          </w:p>
        </w:tc>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r>
              <w:rPr>
                <w:b w:val="false"/>
                <w:bCs w:val="false"/>
                <w:color w:val="000000"/>
                <w:sz w:val="17"/>
                <w:szCs w:val="17"/>
              </w:rPr>
              <w:t xml:space="preserve">Architecture</w:t>
            </w:r>
          </w:p>
        </w:tc>
      </w:tr>
    </w:tbl>
    <w:p>
      <w:pPr>
        <w:spacing w:after="120"/>
      </w:pPr>
      <w:r>
        <w:t xml:space="preserve"/>
      </w:r>
    </w:p>
    <w:p>
      <w:pPr>
        <w:spacing w:before="300"/>
      </w:pPr>
      <w:r>
        <w:rPr>
          <w:i/>
          <w:iCs/>
          <w:color w:val="595959"/>
          <w:sz w:val="16"/>
          <w:szCs w:val="16"/>
        </w:rPr>
        <w:t xml:space="preserve">This runbook assumes the populated CD3 workbook as its input and should be executed alongside it. Command examples are illustrative — validate exact syntax and resource-specific move operations against current OCI CLI documentation for your tenancy before execution. Not a substitute for the authorization package or a formal change record.</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4"/>
        <w:szCs w:val="14"/>
      </w:rPr>
      <w:t xml:space="preserve">Migration Runbook — CIS LZ to SCCA-Aligned EBLZ | OC2 FedRAMP High / IL4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F3864"/>
      <w:sz w:val="29"/>
      <w:szCs w:val="29"/>
    </w:rPr>
  </w:style>
  <w:style w:type="paragraph" w:styleId="Heading2">
    <w:name w:val="Heading 2"/>
    <w:basedOn w:val="Normal"/>
    <w:next w:val="Normal"/>
    <w:qFormat/>
    <w:pPr>
      <w:spacing w:after="11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90" w:before="160"/>
      <w:outlineLvl w:val="2"/>
    </w:pPr>
    <w:rPr>
      <w:rFonts w:ascii="Arial" w:cs="Arial" w:eastAsia="Arial" w:hAnsi="Arial"/>
      <w:b/>
      <w:bCs/>
      <w:color w:val="1F6F6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 Architecture</dc:creator>
  <cp:lastModifiedBy>Un-named</cp:lastModifiedBy>
  <cp:revision>1</cp:revision>
  <dcterms:created xsi:type="dcterms:W3CDTF">2026-07-28T00:33:45.163Z</dcterms:created>
  <dcterms:modified xsi:type="dcterms:W3CDTF">2026-07-28T00:33:45.163Z</dcterms:modified>
</cp:coreProperties>
</file>

<file path=docProps/custom.xml><?xml version="1.0" encoding="utf-8"?>
<Properties xmlns="http://schemas.openxmlformats.org/officeDocument/2006/custom-properties" xmlns:vt="http://schemas.openxmlformats.org/officeDocument/2006/docPropsVTypes"/>
</file>