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OCI to Azure POC Migration Plan and Timeline</w:t>
      </w:r>
    </w:p>
    <w:p>
      <w:pPr>
        <w:pStyle w:val="Subtitle"/>
      </w:pPr>
      <w:r>
        <w:t>DataWalk and Hyperscience</w:t>
      </w:r>
    </w:p>
    <w:p>
      <w:r>
        <w:t>21 September 2026  |  Proposal for review</w:t>
      </w:r>
    </w:p>
    <w:p>
      <w:r>
        <w:t>We propose relocating the planned DataWalk and Hyperscience proof of concept from Oracle Cloud Infrastructure to Azure Government. The POC will preserve separate application clusters, private enterprise connectivity and controlled document exchange. The recommended approach is a clean Azure build followed by application installation and test-data loading, rather than a direct migration of partially built OCI virtual machines.</w:t>
      </w:r>
    </w:p>
    <w:p>
      <w:r>
        <w:rPr>
          <w:b/>
        </w:rPr>
        <w:t xml:space="preserve">Target completion: 13 November 2026. </w:t>
      </w:r>
      <w:r>
        <w:t xml:space="preserve">Management contingency: 4 December 2026. </w:t>
      </w:r>
    </w:p>
    <w:p>
      <w:r>
        <w:t>The target date assumes an approved Azure Government subscription, existing private connectivity, available GPU capacity and quota, and written vendor confirmation during the first week.</w:t>
      </w:r>
    </w:p>
    <w:p>
      <w:pPr>
        <w:pStyle w:val="Heading1"/>
      </w:pPr>
      <w:r>
        <w:t>Decision and Scope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992"/>
      </w:tblGrid>
      <w:tr>
        <w:trPr>
          <w:cantSplit/>
          <w:tblHeader/>
        </w:trPr>
        <w:tc>
          <w:tcPr>
            <w:tcW w:type="dxa" w:w="2088"/>
            <w:vAlign w:val="center"/>
            <w:tcMar>
              <w:top w:w="100" w:type="dxa"/>
              <w:bottom w:w="100" w:type="dxa"/>
              <w:left w:w="100" w:type="dxa"/>
              <w:right w:w="100" w:type="dxa"/>
            </w:tcMar>
            <w:shd w:fill="203864"/>
          </w:tcPr>
          <w:p>
            <w:pPr>
              <w:spacing w:after="0" w:line="245" w:lineRule="auto"/>
            </w:pPr>
            <w:r>
              <w:rPr>
                <w:b/>
                <w:color w:val="FFFFFF"/>
                <w:sz w:val="20"/>
              </w:rPr>
              <w:t>Area</w:t>
            </w:r>
          </w:p>
        </w:tc>
        <w:tc>
          <w:tcPr>
            <w:tcW w:type="dxa" w:w="7992"/>
            <w:vAlign w:val="center"/>
            <w:tcMar>
              <w:top w:w="100" w:type="dxa"/>
              <w:bottom w:w="100" w:type="dxa"/>
              <w:left w:w="100" w:type="dxa"/>
              <w:right w:w="100" w:type="dxa"/>
            </w:tcMar>
            <w:shd w:fill="203864"/>
          </w:tcPr>
          <w:p>
            <w:pPr>
              <w:spacing w:after="0" w:line="245" w:lineRule="auto"/>
            </w:pPr>
            <w:r>
              <w:rPr>
                <w:b/>
                <w:color w:val="FFFFFF"/>
                <w:sz w:val="20"/>
              </w:rPr>
              <w:t>POC decision</w:t>
            </w:r>
          </w:p>
        </w:tc>
      </w:tr>
      <w:tr>
        <w:trPr>
          <w:cantSplit/>
        </w:trPr>
        <w:tc>
          <w:tcPr>
            <w:tcW w:type="dxa" w:w="2088"/>
            <w:vAlign w:val="center"/>
            <w:tcMar>
              <w:top w:w="100" w:type="dxa"/>
              <w:bottom w:w="100" w:type="dxa"/>
              <w:left w:w="100" w:type="dxa"/>
              <w:right w:w="100" w:type="dxa"/>
            </w:tcMar>
            <w:shd w:fill="FFFFFF"/>
          </w:tcPr>
          <w:p>
            <w:pPr>
              <w:spacing w:after="0" w:line="245" w:lineRule="auto"/>
            </w:pPr>
            <w:r>
              <w:rPr>
                <w:b w:val="0"/>
                <w:color w:val="000000"/>
                <w:sz w:val="20"/>
              </w:rPr>
              <w:t>Cloud</w:t>
            </w:r>
          </w:p>
        </w:tc>
        <w:tc>
          <w:tcPr>
            <w:tcW w:type="dxa" w:w="7992"/>
            <w:vAlign w:val="center"/>
            <w:tcMar>
              <w:top w:w="100" w:type="dxa"/>
              <w:bottom w:w="100" w:type="dxa"/>
              <w:left w:w="100" w:type="dxa"/>
              <w:right w:w="100" w:type="dxa"/>
            </w:tcMar>
            <w:shd w:fill="FFFFFF"/>
          </w:tcPr>
          <w:p>
            <w:pPr>
              <w:spacing w:after="0" w:line="245" w:lineRule="auto"/>
            </w:pPr>
            <w:r>
              <w:rPr>
                <w:b w:val="0"/>
                <w:color w:val="000000"/>
                <w:sz w:val="20"/>
              </w:rPr>
              <w:t>Azure Government in an approved region and subscription.</w:t>
            </w:r>
          </w:p>
        </w:tc>
      </w:tr>
      <w:tr>
        <w:trPr>
          <w:cantSplit/>
        </w:trPr>
        <w:tc>
          <w:tcPr>
            <w:tcW w:type="dxa" w:w="2088"/>
            <w:vAlign w:val="center"/>
            <w:tcMar>
              <w:top w:w="100" w:type="dxa"/>
              <w:bottom w:w="100" w:type="dxa"/>
              <w:left w:w="100" w:type="dxa"/>
              <w:right w:w="100" w:type="dxa"/>
            </w:tcMar>
            <w:shd w:fill="F2F6FA"/>
          </w:tcPr>
          <w:p>
            <w:pPr>
              <w:spacing w:after="0" w:line="245" w:lineRule="auto"/>
            </w:pPr>
            <w:r>
              <w:rPr>
                <w:b w:val="0"/>
                <w:color w:val="000000"/>
                <w:sz w:val="20"/>
              </w:rPr>
              <w:t>DataWalk</w:t>
            </w:r>
          </w:p>
        </w:tc>
        <w:tc>
          <w:tcPr>
            <w:tcW w:type="dxa" w:w="7992"/>
            <w:vAlign w:val="center"/>
            <w:tcMar>
              <w:top w:w="100" w:type="dxa"/>
              <w:bottom w:w="100" w:type="dxa"/>
              <w:left w:w="100" w:type="dxa"/>
              <w:right w:w="100" w:type="dxa"/>
            </w:tcMar>
            <w:shd w:fill="F2F6FA"/>
          </w:tcPr>
          <w:p>
            <w:pPr>
              <w:spacing w:after="0" w:line="245" w:lineRule="auto"/>
            </w:pPr>
            <w:r>
              <w:rPr>
                <w:b w:val="0"/>
                <w:color w:val="000000"/>
                <w:sz w:val="20"/>
              </w:rPr>
              <w:t>One Dev-equivalent environment on a dedicated three-node CPU VM and Kubernetes cluster. DataWalk does not share workers with Hyperscience.</w:t>
            </w:r>
          </w:p>
        </w:tc>
      </w:tr>
      <w:tr>
        <w:trPr>
          <w:cantSplit/>
        </w:trPr>
        <w:tc>
          <w:tcPr>
            <w:tcW w:type="dxa" w:w="2088"/>
            <w:vAlign w:val="center"/>
            <w:tcMar>
              <w:top w:w="100" w:type="dxa"/>
              <w:bottom w:w="100" w:type="dxa"/>
              <w:left w:w="100" w:type="dxa"/>
              <w:right w:w="100" w:type="dxa"/>
            </w:tcMar>
            <w:shd w:fill="FFFFFF"/>
          </w:tcPr>
          <w:p>
            <w:pPr>
              <w:spacing w:after="0" w:line="245" w:lineRule="auto"/>
            </w:pPr>
            <w:r>
              <w:rPr>
                <w:b w:val="0"/>
                <w:color w:val="000000"/>
                <w:sz w:val="20"/>
              </w:rPr>
              <w:t>Hyperscience</w:t>
            </w:r>
          </w:p>
        </w:tc>
        <w:tc>
          <w:tcPr>
            <w:tcW w:type="dxa" w:w="7992"/>
            <w:vAlign w:val="center"/>
            <w:tcMar>
              <w:top w:w="100" w:type="dxa"/>
              <w:bottom w:w="100" w:type="dxa"/>
              <w:left w:w="100" w:type="dxa"/>
              <w:right w:w="100" w:type="dxa"/>
            </w:tcMar>
            <w:shd w:fill="FFFFFF"/>
          </w:tcPr>
          <w:p>
            <w:pPr>
              <w:spacing w:after="0" w:line="245" w:lineRule="auto"/>
            </w:pPr>
            <w:r>
              <w:rPr>
                <w:b w:val="0"/>
                <w:color w:val="000000"/>
                <w:sz w:val="20"/>
              </w:rPr>
              <w:t>One Dev-equivalent environment on separate GPU VM and Kubernetes capacity. CPU platform roles remain separate when required by the vendor.</w:t>
            </w:r>
          </w:p>
        </w:tc>
      </w:tr>
      <w:tr>
        <w:trPr>
          <w:cantSplit/>
        </w:trPr>
        <w:tc>
          <w:tcPr>
            <w:tcW w:type="dxa" w:w="2088"/>
            <w:vAlign w:val="center"/>
            <w:tcMar>
              <w:top w:w="100" w:type="dxa"/>
              <w:bottom w:w="100" w:type="dxa"/>
              <w:left w:w="100" w:type="dxa"/>
              <w:right w:w="100" w:type="dxa"/>
            </w:tcMar>
            <w:shd w:fill="F2F6FA"/>
          </w:tcPr>
          <w:p>
            <w:pPr>
              <w:spacing w:after="0" w:line="245" w:lineRule="auto"/>
            </w:pPr>
            <w:r>
              <w:rPr>
                <w:b w:val="0"/>
                <w:color w:val="000000"/>
                <w:sz w:val="20"/>
              </w:rPr>
              <w:t>Data</w:t>
            </w:r>
          </w:p>
        </w:tc>
        <w:tc>
          <w:tcPr>
            <w:tcW w:type="dxa" w:w="7992"/>
            <w:vAlign w:val="center"/>
            <w:tcMar>
              <w:top w:w="100" w:type="dxa"/>
              <w:bottom w:w="100" w:type="dxa"/>
              <w:left w:w="100" w:type="dxa"/>
              <w:right w:w="100" w:type="dxa"/>
            </w:tcMar>
            <w:shd w:fill="F2F6FA"/>
          </w:tcPr>
          <w:p>
            <w:pPr>
              <w:spacing w:after="0" w:line="245" w:lineRule="auto"/>
            </w:pPr>
            <w:r>
              <w:rPr>
                <w:b w:val="0"/>
                <w:color w:val="000000"/>
                <w:sz w:val="20"/>
              </w:rPr>
              <w:t>Approved representative test data only. Production migration and cutover remain outside this POC.</w:t>
            </w:r>
          </w:p>
        </w:tc>
      </w:tr>
      <w:tr>
        <w:trPr>
          <w:cantSplit/>
        </w:trPr>
        <w:tc>
          <w:tcPr>
            <w:tcW w:type="dxa" w:w="2088"/>
            <w:vAlign w:val="center"/>
            <w:tcMar>
              <w:top w:w="100" w:type="dxa"/>
              <w:bottom w:w="100" w:type="dxa"/>
              <w:left w:w="100" w:type="dxa"/>
              <w:right w:w="100" w:type="dxa"/>
            </w:tcMar>
            <w:shd w:fill="FFFFFF"/>
          </w:tcPr>
          <w:p>
            <w:pPr>
              <w:spacing w:after="0" w:line="245" w:lineRule="auto"/>
            </w:pPr>
            <w:r>
              <w:rPr>
                <w:b w:val="0"/>
                <w:color w:val="000000"/>
                <w:sz w:val="20"/>
              </w:rPr>
              <w:t>Connectivity</w:t>
            </w:r>
          </w:p>
        </w:tc>
        <w:tc>
          <w:tcPr>
            <w:tcW w:type="dxa" w:w="7992"/>
            <w:vAlign w:val="center"/>
            <w:tcMar>
              <w:top w:w="100" w:type="dxa"/>
              <w:bottom w:w="100" w:type="dxa"/>
              <w:left w:w="100" w:type="dxa"/>
              <w:right w:w="100" w:type="dxa"/>
            </w:tcMar>
            <w:shd w:fill="FFFFFF"/>
          </w:tcPr>
          <w:p>
            <w:pPr>
              <w:spacing w:after="0" w:line="245" w:lineRule="auto"/>
            </w:pPr>
            <w:r>
              <w:rPr>
                <w:b w:val="0"/>
                <w:color w:val="000000"/>
                <w:sz w:val="20"/>
              </w:rPr>
              <w:t>Private access through the enterprise hub and ExpressRoute. Administration uses the approved on-premises Windows jump host.</w:t>
            </w:r>
          </w:p>
        </w:tc>
      </w:tr>
      <w:tr>
        <w:trPr>
          <w:cantSplit/>
        </w:trPr>
        <w:tc>
          <w:tcPr>
            <w:tcW w:type="dxa" w:w="2088"/>
            <w:vAlign w:val="center"/>
            <w:tcMar>
              <w:top w:w="100" w:type="dxa"/>
              <w:bottom w:w="100" w:type="dxa"/>
              <w:left w:w="100" w:type="dxa"/>
              <w:right w:w="100" w:type="dxa"/>
            </w:tcMar>
            <w:shd w:fill="F2F6FA"/>
          </w:tcPr>
          <w:p>
            <w:pPr>
              <w:spacing w:after="0" w:line="245" w:lineRule="auto"/>
            </w:pPr>
            <w:r>
              <w:rPr>
                <w:b w:val="0"/>
                <w:color w:val="000000"/>
                <w:sz w:val="20"/>
              </w:rPr>
              <w:t>Outcome</w:t>
            </w:r>
          </w:p>
        </w:tc>
        <w:tc>
          <w:tcPr>
            <w:tcW w:type="dxa" w:w="7992"/>
            <w:vAlign w:val="center"/>
            <w:tcMar>
              <w:top w:w="100" w:type="dxa"/>
              <w:bottom w:w="100" w:type="dxa"/>
              <w:left w:w="100" w:type="dxa"/>
              <w:right w:w="100" w:type="dxa"/>
            </w:tcMar>
            <w:shd w:fill="F2F6FA"/>
          </w:tcPr>
          <w:p>
            <w:pPr>
              <w:spacing w:after="0" w:line="245" w:lineRule="auto"/>
            </w:pPr>
            <w:r>
              <w:rPr>
                <w:b w:val="0"/>
                <w:color w:val="000000"/>
                <w:sz w:val="20"/>
              </w:rPr>
              <w:t>A documented proceed, remediate and retest, or stop recommendation based on supportability, security, performance, recovery and cost evidence.</w:t>
            </w:r>
          </w:p>
        </w:tc>
      </w:tr>
    </w:tbl>
    <w:p>
      <w:r>
        <w:br w:type="page"/>
      </w:r>
    </w:p>
    <w:p>
      <w:pPr>
        <w:pStyle w:val="Heading1"/>
      </w:pPr>
      <w:r>
        <w:t>Azure Planning Basis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848"/>
      </w:tblGrid>
      <w:tr>
        <w:trPr>
          <w:cantSplit/>
          <w:tblHeader/>
        </w:trPr>
        <w:tc>
          <w:tcPr>
            <w:tcW w:type="dxa" w:w="2232"/>
            <w:vAlign w:val="center"/>
            <w:tcMar>
              <w:top w:w="100" w:type="dxa"/>
              <w:bottom w:w="100" w:type="dxa"/>
              <w:left w:w="100" w:type="dxa"/>
              <w:right w:w="100" w:type="dxa"/>
            </w:tcMar>
            <w:shd w:fill="203864"/>
          </w:tcPr>
          <w:p>
            <w:pPr>
              <w:spacing w:after="0" w:line="245" w:lineRule="auto"/>
            </w:pPr>
            <w:r>
              <w:rPr>
                <w:b/>
                <w:color w:val="FFFFFF"/>
                <w:sz w:val="19"/>
              </w:rPr>
              <w:t>Component</w:t>
            </w:r>
          </w:p>
        </w:tc>
        <w:tc>
          <w:tcPr>
            <w:tcW w:type="dxa" w:w="7848"/>
            <w:vAlign w:val="center"/>
            <w:tcMar>
              <w:top w:w="100" w:type="dxa"/>
              <w:bottom w:w="100" w:type="dxa"/>
              <w:left w:w="100" w:type="dxa"/>
              <w:right w:w="100" w:type="dxa"/>
            </w:tcMar>
            <w:shd w:fill="203864"/>
          </w:tcPr>
          <w:p>
            <w:pPr>
              <w:spacing w:after="0" w:line="245" w:lineRule="auto"/>
            </w:pPr>
            <w:r>
              <w:rPr>
                <w:b/>
                <w:color w:val="FFFFFF"/>
                <w:sz w:val="19"/>
              </w:rPr>
              <w:t>Proposed Azure implementation</w:t>
            </w:r>
          </w:p>
        </w:tc>
      </w:tr>
      <w:tr>
        <w:trPr>
          <w:cantSplit/>
        </w:trPr>
        <w:tc>
          <w:tcPr>
            <w:tcW w:type="dxa" w:w="2232"/>
            <w:vAlign w:val="center"/>
            <w:tcMar>
              <w:top w:w="100" w:type="dxa"/>
              <w:bottom w:w="100" w:type="dxa"/>
              <w:left w:w="100" w:type="dxa"/>
              <w:right w:w="100" w:type="dxa"/>
            </w:tcMar>
            <w:shd w:fill="FFFFFF"/>
          </w:tcPr>
          <w:p>
            <w:pPr>
              <w:spacing w:after="0" w:line="245" w:lineRule="auto"/>
            </w:pPr>
            <w:r>
              <w:rPr>
                <w:b w:val="0"/>
                <w:color w:val="000000"/>
                <w:sz w:val="19"/>
              </w:rPr>
              <w:t>DataWalk compute</w:t>
            </w:r>
          </w:p>
        </w:tc>
        <w:tc>
          <w:tcPr>
            <w:tcW w:type="dxa" w:w="7848"/>
            <w:vAlign w:val="center"/>
            <w:tcMar>
              <w:top w:w="100" w:type="dxa"/>
              <w:bottom w:w="100" w:type="dxa"/>
              <w:left w:w="100" w:type="dxa"/>
              <w:right w:w="100" w:type="dxa"/>
            </w:tcMar>
            <w:shd w:fill="FFFFFF"/>
          </w:tcPr>
          <w:p>
            <w:pPr>
              <w:spacing w:after="0" w:line="245" w:lineRule="auto"/>
            </w:pPr>
            <w:r>
              <w:rPr>
                <w:b w:val="0"/>
                <w:color w:val="000000"/>
                <w:sz w:val="19"/>
              </w:rPr>
              <w:t>Standard_E16as_v5 is the initial sizing candidate for each worker because it provides 16 vCPUs and 128 GiB memory. Final worker count, disk IOPS and throughput require DataWalk approval.</w:t>
            </w:r>
          </w:p>
        </w:tc>
      </w:tr>
      <w:tr>
        <w:trPr>
          <w:cantSplit/>
        </w:trPr>
        <w:tc>
          <w:tcPr>
            <w:tcW w:type="dxa" w:w="2232"/>
            <w:vAlign w:val="center"/>
            <w:tcMar>
              <w:top w:w="100" w:type="dxa"/>
              <w:bottom w:w="100" w:type="dxa"/>
              <w:left w:w="100" w:type="dxa"/>
              <w:right w:w="100" w:type="dxa"/>
            </w:tcMar>
            <w:shd w:fill="F2F6FA"/>
          </w:tcPr>
          <w:p>
            <w:pPr>
              <w:spacing w:after="0" w:line="245" w:lineRule="auto"/>
            </w:pPr>
            <w:r>
              <w:rPr>
                <w:b w:val="0"/>
                <w:color w:val="000000"/>
                <w:sz w:val="19"/>
              </w:rPr>
              <w:t>Hyperscience GPU</w:t>
            </w:r>
          </w:p>
        </w:tc>
        <w:tc>
          <w:tcPr>
            <w:tcW w:type="dxa" w:w="7848"/>
            <w:vAlign w:val="center"/>
            <w:tcMar>
              <w:top w:w="100" w:type="dxa"/>
              <w:bottom w:w="100" w:type="dxa"/>
              <w:left w:w="100" w:type="dxa"/>
              <w:right w:w="100" w:type="dxa"/>
            </w:tcMar>
            <w:shd w:fill="F2F6FA"/>
          </w:tcPr>
          <w:p>
            <w:pPr>
              <w:spacing w:after="0" w:line="245" w:lineRule="auto"/>
            </w:pPr>
            <w:r>
              <w:rPr>
                <w:b w:val="0"/>
                <w:color w:val="000000"/>
                <w:sz w:val="19"/>
              </w:rPr>
              <w:t>Standard_NV72ads_A10_v5 is the closest candidate by GPU count to OCI VM.GPU.A10.2 because it provides two NVIDIA A10 GPUs. Validate Azure Government availability, quota, CUDA and driver compatibility, and Hyperscience support before deployment.</w:t>
            </w:r>
          </w:p>
        </w:tc>
      </w:tr>
      <w:tr>
        <w:trPr>
          <w:cantSplit/>
        </w:trPr>
        <w:tc>
          <w:tcPr>
            <w:tcW w:type="dxa" w:w="2232"/>
            <w:vAlign w:val="center"/>
            <w:tcMar>
              <w:top w:w="100" w:type="dxa"/>
              <w:bottom w:w="100" w:type="dxa"/>
              <w:left w:w="100" w:type="dxa"/>
              <w:right w:w="100" w:type="dxa"/>
            </w:tcMar>
            <w:shd w:fill="FFFFFF"/>
          </w:tcPr>
          <w:p>
            <w:pPr>
              <w:spacing w:after="0" w:line="245" w:lineRule="auto"/>
            </w:pPr>
            <w:r>
              <w:rPr>
                <w:b w:val="0"/>
                <w:color w:val="000000"/>
                <w:sz w:val="19"/>
              </w:rPr>
              <w:t>Operating system</w:t>
            </w:r>
          </w:p>
        </w:tc>
        <w:tc>
          <w:tcPr>
            <w:tcW w:type="dxa" w:w="7848"/>
            <w:vAlign w:val="center"/>
            <w:tcMar>
              <w:top w:w="100" w:type="dxa"/>
              <w:bottom w:w="100" w:type="dxa"/>
              <w:left w:w="100" w:type="dxa"/>
              <w:right w:w="100" w:type="dxa"/>
            </w:tcMar>
            <w:shd w:fill="FFFFFF"/>
          </w:tcPr>
          <w:p>
            <w:pPr>
              <w:spacing w:after="0" w:line="245" w:lineRule="auto"/>
            </w:pPr>
            <w:r>
              <w:rPr>
                <w:b w:val="0"/>
                <w:color w:val="000000"/>
                <w:sz w:val="19"/>
              </w:rPr>
              <w:t>RHEL 8.10 x86-64 is the planning assumption for self-managed Kubernetes VMs. Each vendor must approve the exact OS and Kubernetes release. Managed AKS requires a separately supported node image decision.</w:t>
            </w:r>
          </w:p>
        </w:tc>
      </w:tr>
      <w:tr>
        <w:trPr>
          <w:cantSplit/>
        </w:trPr>
        <w:tc>
          <w:tcPr>
            <w:tcW w:type="dxa" w:w="2232"/>
            <w:vAlign w:val="center"/>
            <w:tcMar>
              <w:top w:w="100" w:type="dxa"/>
              <w:bottom w:w="100" w:type="dxa"/>
              <w:left w:w="100" w:type="dxa"/>
              <w:right w:w="100" w:type="dxa"/>
            </w:tcMar>
            <w:shd w:fill="F2F6FA"/>
          </w:tcPr>
          <w:p>
            <w:pPr>
              <w:spacing w:after="0" w:line="245" w:lineRule="auto"/>
            </w:pPr>
            <w:r>
              <w:rPr>
                <w:b w:val="0"/>
                <w:color w:val="000000"/>
                <w:sz w:val="19"/>
              </w:rPr>
              <w:t>Network</w:t>
            </w:r>
          </w:p>
        </w:tc>
        <w:tc>
          <w:tcPr>
            <w:tcW w:type="dxa" w:w="7848"/>
            <w:vAlign w:val="center"/>
            <w:tcMar>
              <w:top w:w="100" w:type="dxa"/>
              <w:bottom w:w="100" w:type="dxa"/>
              <w:left w:w="100" w:type="dxa"/>
              <w:right w:w="100" w:type="dxa"/>
            </w:tcMar>
            <w:shd w:fill="F2F6FA"/>
          </w:tcPr>
          <w:p>
            <w:pPr>
              <w:spacing w:after="0" w:line="245" w:lineRule="auto"/>
            </w:pPr>
            <w:r>
              <w:rPr>
                <w:b w:val="0"/>
                <w:color w:val="000000"/>
                <w:sz w:val="19"/>
              </w:rPr>
              <w:t>Dedicated application spoke VNets connected to the enterprise hub. Use NSGs, user-defined routes, private DNS and enterprise firewall inspection. Do not assign public IP addresses to application VMs.</w:t>
            </w:r>
          </w:p>
        </w:tc>
      </w:tr>
      <w:tr>
        <w:trPr>
          <w:cantSplit/>
        </w:trPr>
        <w:tc>
          <w:tcPr>
            <w:tcW w:type="dxa" w:w="2232"/>
            <w:vAlign w:val="center"/>
            <w:tcMar>
              <w:top w:w="100" w:type="dxa"/>
              <w:bottom w:w="100" w:type="dxa"/>
              <w:left w:w="100" w:type="dxa"/>
              <w:right w:w="100" w:type="dxa"/>
            </w:tcMar>
            <w:shd w:fill="FFFFFF"/>
          </w:tcPr>
          <w:p>
            <w:pPr>
              <w:spacing w:after="0" w:line="245" w:lineRule="auto"/>
            </w:pPr>
            <w:r>
              <w:rPr>
                <w:b w:val="0"/>
                <w:color w:val="000000"/>
                <w:sz w:val="19"/>
              </w:rPr>
              <w:t>Application entry</w:t>
            </w:r>
          </w:p>
        </w:tc>
        <w:tc>
          <w:tcPr>
            <w:tcW w:type="dxa" w:w="7848"/>
            <w:vAlign w:val="center"/>
            <w:tcMar>
              <w:top w:w="100" w:type="dxa"/>
              <w:bottom w:w="100" w:type="dxa"/>
              <w:left w:w="100" w:type="dxa"/>
              <w:right w:w="100" w:type="dxa"/>
            </w:tcMar>
            <w:shd w:fill="FFFFFF"/>
          </w:tcPr>
          <w:p>
            <w:pPr>
              <w:spacing w:after="0" w:line="245" w:lineRule="auto"/>
            </w:pPr>
            <w:r>
              <w:rPr>
                <w:b w:val="0"/>
                <w:color w:val="000000"/>
                <w:sz w:val="19"/>
              </w:rPr>
              <w:t>Private HTTPS through an internal load balancer or approved private application gateway.</w:t>
            </w:r>
          </w:p>
        </w:tc>
      </w:tr>
      <w:tr>
        <w:trPr>
          <w:cantSplit/>
        </w:trPr>
        <w:tc>
          <w:tcPr>
            <w:tcW w:type="dxa" w:w="2232"/>
            <w:vAlign w:val="center"/>
            <w:tcMar>
              <w:top w:w="100" w:type="dxa"/>
              <w:bottom w:w="100" w:type="dxa"/>
              <w:left w:w="100" w:type="dxa"/>
              <w:right w:w="100" w:type="dxa"/>
            </w:tcMar>
            <w:shd w:fill="F2F6FA"/>
          </w:tcPr>
          <w:p>
            <w:pPr>
              <w:spacing w:after="0" w:line="245" w:lineRule="auto"/>
            </w:pPr>
            <w:r>
              <w:rPr>
                <w:b w:val="0"/>
                <w:color w:val="000000"/>
                <w:sz w:val="19"/>
              </w:rPr>
              <w:t>Platform services</w:t>
            </w:r>
          </w:p>
        </w:tc>
        <w:tc>
          <w:tcPr>
            <w:tcW w:type="dxa" w:w="7848"/>
            <w:vAlign w:val="center"/>
            <w:tcMar>
              <w:top w:w="100" w:type="dxa"/>
              <w:bottom w:w="100" w:type="dxa"/>
              <w:left w:w="100" w:type="dxa"/>
              <w:right w:w="100" w:type="dxa"/>
            </w:tcMar>
            <w:shd w:fill="F2F6FA"/>
          </w:tcPr>
          <w:p>
            <w:pPr>
              <w:spacing w:after="0" w:line="245" w:lineRule="auto"/>
            </w:pPr>
            <w:r>
              <w:rPr>
                <w:b w:val="0"/>
                <w:color w:val="000000"/>
                <w:sz w:val="19"/>
              </w:rPr>
              <w:t>Azure Container Registry, Key Vault, Azure Monitor, Log Analytics, Managed Disks and a supported database service or database VM.</w:t>
            </w:r>
          </w:p>
        </w:tc>
      </w:tr>
      <w:tr>
        <w:trPr>
          <w:cantSplit/>
        </w:trPr>
        <w:tc>
          <w:tcPr>
            <w:tcW w:type="dxa" w:w="2232"/>
            <w:vAlign w:val="center"/>
            <w:tcMar>
              <w:top w:w="100" w:type="dxa"/>
              <w:bottom w:w="100" w:type="dxa"/>
              <w:left w:w="100" w:type="dxa"/>
              <w:right w:w="100" w:type="dxa"/>
            </w:tcMar>
            <w:shd w:fill="FFFFFF"/>
          </w:tcPr>
          <w:p>
            <w:pPr>
              <w:spacing w:after="0" w:line="245" w:lineRule="auto"/>
            </w:pPr>
            <w:r>
              <w:rPr>
                <w:b w:val="0"/>
                <w:color w:val="000000"/>
                <w:sz w:val="19"/>
              </w:rPr>
              <w:t>Document handoff</w:t>
            </w:r>
          </w:p>
        </w:tc>
        <w:tc>
          <w:tcPr>
            <w:tcW w:type="dxa" w:w="7848"/>
            <w:vAlign w:val="center"/>
            <w:tcMar>
              <w:top w:w="100" w:type="dxa"/>
              <w:bottom w:w="100" w:type="dxa"/>
              <w:left w:w="100" w:type="dxa"/>
              <w:right w:w="100" w:type="dxa"/>
            </w:tcMar>
            <w:shd w:fill="FFFFFF"/>
          </w:tcPr>
          <w:p>
            <w:pPr>
              <w:spacing w:after="0" w:line="245" w:lineRule="auto"/>
            </w:pPr>
            <w:r>
              <w:rPr>
                <w:b w:val="0"/>
                <w:color w:val="000000"/>
                <w:sz w:val="19"/>
              </w:rPr>
              <w:t>Use a dedicated Azure Blob Storage account or another vendor-supported interface. This storage is a controlled exchange point, not shared application storage.</w:t>
            </w:r>
          </w:p>
        </w:tc>
      </w:tr>
    </w:tbl>
    <w:p>
      <w:pPr>
        <w:spacing w:before="120"/>
      </w:pPr>
      <w:r>
        <w:t>The OCI A10.2 name cannot be retained in Azure because it is an OCI VM shape. The Azure POC must select an Azure A10 SKU that meets the same functional requirement and is available in the approved government region.</w:t>
      </w:r>
    </w:p>
    <w:p>
      <w:pPr>
        <w:pStyle w:val="Heading1"/>
      </w:pPr>
      <w:r>
        <w:t>Migration Workstreams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4968"/>
        <w:gridCol w:w="3240"/>
      </w:tblGrid>
      <w:tr>
        <w:trPr>
          <w:cantSplit/>
          <w:tblHeader/>
        </w:trPr>
        <w:tc>
          <w:tcPr>
            <w:tcW w:type="dxa" w:w="1872"/>
            <w:vAlign w:val="center"/>
            <w:tcMar>
              <w:top w:w="100" w:type="dxa"/>
              <w:bottom w:w="100" w:type="dxa"/>
              <w:left w:w="100" w:type="dxa"/>
              <w:right w:w="100" w:type="dxa"/>
            </w:tcMar>
            <w:shd w:fill="203864"/>
          </w:tcPr>
          <w:p>
            <w:pPr>
              <w:spacing w:after="0" w:line="245" w:lineRule="auto"/>
            </w:pPr>
            <w:r>
              <w:rPr>
                <w:b/>
                <w:color w:val="FFFFFF"/>
                <w:sz w:val="18"/>
              </w:rPr>
              <w:t>Workstream</w:t>
            </w:r>
          </w:p>
        </w:tc>
        <w:tc>
          <w:tcPr>
            <w:tcW w:type="dxa" w:w="4968"/>
            <w:vAlign w:val="center"/>
            <w:tcMar>
              <w:top w:w="100" w:type="dxa"/>
              <w:bottom w:w="100" w:type="dxa"/>
              <w:left w:w="100" w:type="dxa"/>
              <w:right w:w="100" w:type="dxa"/>
            </w:tcMar>
            <w:shd w:fill="203864"/>
          </w:tcPr>
          <w:p>
            <w:pPr>
              <w:spacing w:after="0" w:line="245" w:lineRule="auto"/>
            </w:pPr>
            <w:r>
              <w:rPr>
                <w:b/>
                <w:color w:val="FFFFFF"/>
                <w:sz w:val="18"/>
              </w:rPr>
              <w:t>Required work</w:t>
            </w:r>
          </w:p>
        </w:tc>
        <w:tc>
          <w:tcPr>
            <w:tcW w:type="dxa" w:w="3240"/>
            <w:vAlign w:val="center"/>
            <w:tcMar>
              <w:top w:w="100" w:type="dxa"/>
              <w:bottom w:w="100" w:type="dxa"/>
              <w:left w:w="100" w:type="dxa"/>
              <w:right w:w="100" w:type="dxa"/>
            </w:tcMar>
            <w:shd w:fill="203864"/>
          </w:tcPr>
          <w:p>
            <w:pPr>
              <w:spacing w:after="0" w:line="245" w:lineRule="auto"/>
            </w:pPr>
            <w:r>
              <w:rPr>
                <w:b/>
                <w:color w:val="FFFFFF"/>
                <w:sz w:val="18"/>
              </w:rPr>
              <w:t>Completion evidence</w:t>
            </w:r>
          </w:p>
        </w:tc>
      </w:tr>
      <w:tr>
        <w:trPr>
          <w:cantSplit/>
        </w:trPr>
        <w:tc>
          <w:tcPr>
            <w:tcW w:type="dxa" w:w="1872"/>
            <w:vAlign w:val="center"/>
            <w:tcMar>
              <w:top w:w="100" w:type="dxa"/>
              <w:bottom w:w="100" w:type="dxa"/>
              <w:left w:w="100" w:type="dxa"/>
              <w:right w:w="100" w:type="dxa"/>
            </w:tcMar>
            <w:shd w:fill="FFFFFF"/>
          </w:tcPr>
          <w:p>
            <w:pPr>
              <w:spacing w:after="0" w:line="245" w:lineRule="auto"/>
            </w:pPr>
            <w:r>
              <w:rPr>
                <w:b w:val="0"/>
                <w:color w:val="000000"/>
                <w:sz w:val="18"/>
              </w:rPr>
              <w:t>Governance</w:t>
            </w:r>
          </w:p>
        </w:tc>
        <w:tc>
          <w:tcPr>
            <w:tcW w:type="dxa" w:w="4968"/>
            <w:vAlign w:val="center"/>
            <w:tcMar>
              <w:top w:w="100" w:type="dxa"/>
              <w:bottom w:w="100" w:type="dxa"/>
              <w:left w:w="100" w:type="dxa"/>
              <w:right w:w="100" w:type="dxa"/>
            </w:tcMar>
            <w:shd w:fill="FFFFFF"/>
          </w:tcPr>
          <w:p>
            <w:pPr>
              <w:spacing w:after="0" w:line="245" w:lineRule="auto"/>
            </w:pPr>
            <w:r>
              <w:rPr>
                <w:b w:val="0"/>
                <w:color w:val="000000"/>
                <w:sz w:val="18"/>
              </w:rPr>
              <w:t>Confirm subscription, region, funding, permitted data classification, resource owners, tags and deletion date.</w:t>
            </w:r>
          </w:p>
        </w:tc>
        <w:tc>
          <w:tcPr>
            <w:tcW w:type="dxa" w:w="3240"/>
            <w:vAlign w:val="center"/>
            <w:tcMar>
              <w:top w:w="100" w:type="dxa"/>
              <w:bottom w:w="100" w:type="dxa"/>
              <w:left w:w="100" w:type="dxa"/>
              <w:right w:w="100" w:type="dxa"/>
            </w:tcMar>
            <w:shd w:fill="FFFFFF"/>
          </w:tcPr>
          <w:p>
            <w:pPr>
              <w:spacing w:after="0" w:line="245" w:lineRule="auto"/>
            </w:pPr>
            <w:r>
              <w:rPr>
                <w:b w:val="0"/>
                <w:color w:val="000000"/>
                <w:sz w:val="18"/>
              </w:rPr>
              <w:t>Approved scope, budget and ownership record.</w:t>
            </w:r>
          </w:p>
        </w:tc>
      </w:tr>
      <w:tr>
        <w:trPr>
          <w:cantSplit/>
        </w:trPr>
        <w:tc>
          <w:tcPr>
            <w:tcW w:type="dxa" w:w="1872"/>
            <w:vAlign w:val="center"/>
            <w:tcMar>
              <w:top w:w="100" w:type="dxa"/>
              <w:bottom w:w="100" w:type="dxa"/>
              <w:left w:w="100" w:type="dxa"/>
              <w:right w:w="100" w:type="dxa"/>
            </w:tcMar>
            <w:shd w:fill="F2F6FA"/>
          </w:tcPr>
          <w:p>
            <w:pPr>
              <w:spacing w:after="0" w:line="245" w:lineRule="auto"/>
            </w:pPr>
            <w:r>
              <w:rPr>
                <w:b w:val="0"/>
                <w:color w:val="000000"/>
                <w:sz w:val="18"/>
              </w:rPr>
              <w:t>Vendor validation</w:t>
            </w:r>
          </w:p>
        </w:tc>
        <w:tc>
          <w:tcPr>
            <w:tcW w:type="dxa" w:w="4968"/>
            <w:vAlign w:val="center"/>
            <w:tcMar>
              <w:top w:w="100" w:type="dxa"/>
              <w:bottom w:w="100" w:type="dxa"/>
              <w:left w:w="100" w:type="dxa"/>
              <w:right w:w="100" w:type="dxa"/>
            </w:tcMar>
            <w:shd w:fill="F2F6FA"/>
          </w:tcPr>
          <w:p>
            <w:pPr>
              <w:spacing w:after="0" w:line="245" w:lineRule="auto"/>
            </w:pPr>
            <w:r>
              <w:rPr>
                <w:b w:val="0"/>
                <w:color w:val="000000"/>
                <w:sz w:val="18"/>
              </w:rPr>
              <w:t>Confirm application releases, OS, Kubernetes, CPU and GPU topology, database, storage protocol and installation support.</w:t>
            </w:r>
          </w:p>
        </w:tc>
        <w:tc>
          <w:tcPr>
            <w:tcW w:type="dxa" w:w="3240"/>
            <w:vAlign w:val="center"/>
            <w:tcMar>
              <w:top w:w="100" w:type="dxa"/>
              <w:bottom w:w="100" w:type="dxa"/>
              <w:left w:w="100" w:type="dxa"/>
              <w:right w:w="100" w:type="dxa"/>
            </w:tcMar>
            <w:shd w:fill="F2F6FA"/>
          </w:tcPr>
          <w:p>
            <w:pPr>
              <w:spacing w:after="0" w:line="245" w:lineRule="auto"/>
            </w:pPr>
            <w:r>
              <w:rPr>
                <w:b w:val="0"/>
                <w:color w:val="000000"/>
                <w:sz w:val="18"/>
              </w:rPr>
              <w:t>Written DataWalk and Hyperscience compatibility decisions.</w:t>
            </w:r>
          </w:p>
        </w:tc>
      </w:tr>
      <w:tr>
        <w:trPr>
          <w:cantSplit/>
        </w:trPr>
        <w:tc>
          <w:tcPr>
            <w:tcW w:type="dxa" w:w="1872"/>
            <w:vAlign w:val="center"/>
            <w:tcMar>
              <w:top w:w="100" w:type="dxa"/>
              <w:bottom w:w="100" w:type="dxa"/>
              <w:left w:w="100" w:type="dxa"/>
              <w:right w:w="100" w:type="dxa"/>
            </w:tcMar>
            <w:shd w:fill="FFFFFF"/>
          </w:tcPr>
          <w:p>
            <w:pPr>
              <w:spacing w:after="0" w:line="245" w:lineRule="auto"/>
            </w:pPr>
            <w:r>
              <w:rPr>
                <w:b w:val="0"/>
                <w:color w:val="000000"/>
                <w:sz w:val="18"/>
              </w:rPr>
              <w:t>Platform engineering</w:t>
            </w:r>
          </w:p>
        </w:tc>
        <w:tc>
          <w:tcPr>
            <w:tcW w:type="dxa" w:w="4968"/>
            <w:vAlign w:val="center"/>
            <w:tcMar>
              <w:top w:w="100" w:type="dxa"/>
              <w:bottom w:w="100" w:type="dxa"/>
              <w:left w:w="100" w:type="dxa"/>
              <w:right w:w="100" w:type="dxa"/>
            </w:tcMar>
            <w:shd w:fill="FFFFFF"/>
          </w:tcPr>
          <w:p>
            <w:pPr>
              <w:spacing w:after="0" w:line="245" w:lineRule="auto"/>
            </w:pPr>
            <w:r>
              <w:rPr>
                <w:b w:val="0"/>
                <w:color w:val="000000"/>
                <w:sz w:val="18"/>
              </w:rPr>
              <w:t>Translate OCI Terraform into Azure Terraform using the azurerm provider. Build the hub-connected spokes and shared platform services.</w:t>
            </w:r>
          </w:p>
        </w:tc>
        <w:tc>
          <w:tcPr>
            <w:tcW w:type="dxa" w:w="3240"/>
            <w:vAlign w:val="center"/>
            <w:tcMar>
              <w:top w:w="100" w:type="dxa"/>
              <w:bottom w:w="100" w:type="dxa"/>
              <w:left w:w="100" w:type="dxa"/>
              <w:right w:w="100" w:type="dxa"/>
            </w:tcMar>
            <w:shd w:fill="FFFFFF"/>
          </w:tcPr>
          <w:p>
            <w:pPr>
              <w:spacing w:after="0" w:line="245" w:lineRule="auto"/>
            </w:pPr>
            <w:r>
              <w:rPr>
                <w:b w:val="0"/>
                <w:color w:val="000000"/>
                <w:sz w:val="18"/>
              </w:rPr>
              <w:t>Reviewed Terraform plan and deployment record.</w:t>
            </w:r>
          </w:p>
        </w:tc>
      </w:tr>
      <w:tr>
        <w:trPr>
          <w:cantSplit/>
        </w:trPr>
        <w:tc>
          <w:tcPr>
            <w:tcW w:type="dxa" w:w="1872"/>
            <w:vAlign w:val="center"/>
            <w:tcMar>
              <w:top w:w="100" w:type="dxa"/>
              <w:bottom w:w="100" w:type="dxa"/>
              <w:left w:w="100" w:type="dxa"/>
              <w:right w:w="100" w:type="dxa"/>
            </w:tcMar>
            <w:shd w:fill="F2F6FA"/>
          </w:tcPr>
          <w:p>
            <w:pPr>
              <w:spacing w:after="0" w:line="245" w:lineRule="auto"/>
            </w:pPr>
            <w:r>
              <w:rPr>
                <w:b w:val="0"/>
                <w:color w:val="000000"/>
                <w:sz w:val="18"/>
              </w:rPr>
              <w:t>Security and identity</w:t>
            </w:r>
          </w:p>
        </w:tc>
        <w:tc>
          <w:tcPr>
            <w:tcW w:type="dxa" w:w="4968"/>
            <w:vAlign w:val="center"/>
            <w:tcMar>
              <w:top w:w="100" w:type="dxa"/>
              <w:bottom w:w="100" w:type="dxa"/>
              <w:left w:w="100" w:type="dxa"/>
              <w:right w:w="100" w:type="dxa"/>
            </w:tcMar>
            <w:shd w:fill="F2F6FA"/>
          </w:tcPr>
          <w:p>
            <w:pPr>
              <w:spacing w:after="0" w:line="245" w:lineRule="auto"/>
            </w:pPr>
            <w:r>
              <w:rPr>
                <w:b w:val="0"/>
                <w:color w:val="000000"/>
                <w:sz w:val="18"/>
              </w:rPr>
              <w:t>Apply Azure Policy, RBAC, Key Vault, logging, vulnerability scanning, NSGs, firewall rules and private administration paths.</w:t>
            </w:r>
          </w:p>
        </w:tc>
        <w:tc>
          <w:tcPr>
            <w:tcW w:type="dxa" w:w="3240"/>
            <w:vAlign w:val="center"/>
            <w:tcMar>
              <w:top w:w="100" w:type="dxa"/>
              <w:bottom w:w="100" w:type="dxa"/>
              <w:left w:w="100" w:type="dxa"/>
              <w:right w:w="100" w:type="dxa"/>
            </w:tcMar>
            <w:shd w:fill="F2F6FA"/>
          </w:tcPr>
          <w:p>
            <w:pPr>
              <w:spacing w:after="0" w:line="245" w:lineRule="auto"/>
            </w:pPr>
            <w:r>
              <w:rPr>
                <w:b w:val="0"/>
                <w:color w:val="000000"/>
                <w:sz w:val="18"/>
              </w:rPr>
              <w:t>Security checklist, access tests and log samples.</w:t>
            </w:r>
          </w:p>
        </w:tc>
      </w:tr>
      <w:tr>
        <w:trPr>
          <w:cantSplit/>
        </w:trPr>
        <w:tc>
          <w:tcPr>
            <w:tcW w:type="dxa" w:w="1872"/>
            <w:vAlign w:val="center"/>
            <w:tcMar>
              <w:top w:w="100" w:type="dxa"/>
              <w:bottom w:w="100" w:type="dxa"/>
              <w:left w:w="100" w:type="dxa"/>
              <w:right w:w="100" w:type="dxa"/>
            </w:tcMar>
            <w:shd w:fill="FFFFFF"/>
          </w:tcPr>
          <w:p>
            <w:pPr>
              <w:spacing w:after="0" w:line="245" w:lineRule="auto"/>
            </w:pPr>
            <w:r>
              <w:rPr>
                <w:b w:val="0"/>
                <w:color w:val="000000"/>
                <w:sz w:val="18"/>
              </w:rPr>
              <w:t>Application deployment</w:t>
            </w:r>
          </w:p>
        </w:tc>
        <w:tc>
          <w:tcPr>
            <w:tcW w:type="dxa" w:w="4968"/>
            <w:vAlign w:val="center"/>
            <w:tcMar>
              <w:top w:w="100" w:type="dxa"/>
              <w:bottom w:w="100" w:type="dxa"/>
              <w:left w:w="100" w:type="dxa"/>
              <w:right w:w="100" w:type="dxa"/>
            </w:tcMar>
            <w:shd w:fill="FFFFFF"/>
          </w:tcPr>
          <w:p>
            <w:pPr>
              <w:spacing w:after="0" w:line="245" w:lineRule="auto"/>
            </w:pPr>
            <w:r>
              <w:rPr>
                <w:b w:val="0"/>
                <w:color w:val="000000"/>
                <w:sz w:val="18"/>
              </w:rPr>
              <w:t>Build separate clusters, install DataWalk and Hyperscience, load licenses, configure dependencies and complete smoke tests.</w:t>
            </w:r>
          </w:p>
        </w:tc>
        <w:tc>
          <w:tcPr>
            <w:tcW w:type="dxa" w:w="3240"/>
            <w:vAlign w:val="center"/>
            <w:tcMar>
              <w:top w:w="100" w:type="dxa"/>
              <w:bottom w:w="100" w:type="dxa"/>
              <w:left w:w="100" w:type="dxa"/>
              <w:right w:w="100" w:type="dxa"/>
            </w:tcMar>
            <w:shd w:fill="FFFFFF"/>
          </w:tcPr>
          <w:p>
            <w:pPr>
              <w:spacing w:after="0" w:line="245" w:lineRule="auto"/>
            </w:pPr>
            <w:r>
              <w:rPr>
                <w:b w:val="0"/>
                <w:color w:val="000000"/>
                <w:sz w:val="18"/>
              </w:rPr>
              <w:t>Vendor-confirmed healthy installations.</w:t>
            </w:r>
          </w:p>
        </w:tc>
      </w:tr>
      <w:tr>
        <w:trPr>
          <w:cantSplit/>
        </w:trPr>
        <w:tc>
          <w:tcPr>
            <w:tcW w:type="dxa" w:w="1872"/>
            <w:vAlign w:val="center"/>
            <w:tcMar>
              <w:top w:w="100" w:type="dxa"/>
              <w:bottom w:w="100" w:type="dxa"/>
              <w:left w:w="100" w:type="dxa"/>
              <w:right w:w="100" w:type="dxa"/>
            </w:tcMar>
            <w:shd w:fill="F2F6FA"/>
          </w:tcPr>
          <w:p>
            <w:pPr>
              <w:spacing w:after="0" w:line="245" w:lineRule="auto"/>
            </w:pPr>
            <w:r>
              <w:rPr>
                <w:b w:val="0"/>
                <w:color w:val="000000"/>
                <w:sz w:val="18"/>
              </w:rPr>
              <w:t>Data and integration</w:t>
            </w:r>
          </w:p>
        </w:tc>
        <w:tc>
          <w:tcPr>
            <w:tcW w:type="dxa" w:w="4968"/>
            <w:vAlign w:val="center"/>
            <w:tcMar>
              <w:top w:w="100" w:type="dxa"/>
              <w:bottom w:w="100" w:type="dxa"/>
              <w:left w:w="100" w:type="dxa"/>
              <w:right w:w="100" w:type="dxa"/>
            </w:tcMar>
            <w:shd w:fill="F2F6FA"/>
          </w:tcPr>
          <w:p>
            <w:pPr>
              <w:spacing w:after="0" w:line="245" w:lineRule="auto"/>
            </w:pPr>
            <w:r>
              <w:rPr>
                <w:b w:val="0"/>
                <w:color w:val="000000"/>
                <w:sz w:val="18"/>
              </w:rPr>
              <w:t>Load approved test data and reproduce the Hyperscience output, postprocessing and DataWalk ingestion workflow.</w:t>
            </w:r>
          </w:p>
        </w:tc>
        <w:tc>
          <w:tcPr>
            <w:tcW w:type="dxa" w:w="3240"/>
            <w:vAlign w:val="center"/>
            <w:tcMar>
              <w:top w:w="100" w:type="dxa"/>
              <w:bottom w:w="100" w:type="dxa"/>
              <w:left w:w="100" w:type="dxa"/>
              <w:right w:w="100" w:type="dxa"/>
            </w:tcMar>
            <w:shd w:fill="F2F6FA"/>
          </w:tcPr>
          <w:p>
            <w:pPr>
              <w:spacing w:after="0" w:line="245" w:lineRule="auto"/>
            </w:pPr>
            <w:r>
              <w:rPr>
                <w:b w:val="0"/>
                <w:color w:val="000000"/>
                <w:sz w:val="18"/>
              </w:rPr>
              <w:t>Reconciled input and output manifest.</w:t>
            </w:r>
          </w:p>
        </w:tc>
      </w:tr>
      <w:tr>
        <w:trPr>
          <w:cantSplit/>
        </w:trPr>
        <w:tc>
          <w:tcPr>
            <w:tcW w:type="dxa" w:w="1872"/>
            <w:vAlign w:val="center"/>
            <w:tcMar>
              <w:top w:w="100" w:type="dxa"/>
              <w:bottom w:w="100" w:type="dxa"/>
              <w:left w:w="100" w:type="dxa"/>
              <w:right w:w="100" w:type="dxa"/>
            </w:tcMar>
            <w:shd w:fill="FFFFFF"/>
          </w:tcPr>
          <w:p>
            <w:pPr>
              <w:spacing w:after="0" w:line="245" w:lineRule="auto"/>
            </w:pPr>
            <w:r>
              <w:rPr>
                <w:b w:val="0"/>
                <w:color w:val="000000"/>
                <w:sz w:val="18"/>
              </w:rPr>
              <w:t>Testing and decision</w:t>
            </w:r>
          </w:p>
        </w:tc>
        <w:tc>
          <w:tcPr>
            <w:tcW w:type="dxa" w:w="4968"/>
            <w:vAlign w:val="center"/>
            <w:tcMar>
              <w:top w:w="100" w:type="dxa"/>
              <w:bottom w:w="100" w:type="dxa"/>
              <w:left w:w="100" w:type="dxa"/>
              <w:right w:w="100" w:type="dxa"/>
            </w:tcMar>
            <w:shd w:fill="FFFFFF"/>
          </w:tcPr>
          <w:p>
            <w:pPr>
              <w:spacing w:after="0" w:line="245" w:lineRule="auto"/>
            </w:pPr>
            <w:r>
              <w:rPr>
                <w:b w:val="0"/>
                <w:color w:val="000000"/>
                <w:sz w:val="18"/>
              </w:rPr>
              <w:t>Measure functionality, performance, accuracy, recovery, security findings, operating effort and Azure cost.</w:t>
            </w:r>
          </w:p>
        </w:tc>
        <w:tc>
          <w:tcPr>
            <w:tcW w:type="dxa" w:w="3240"/>
            <w:vAlign w:val="center"/>
            <w:tcMar>
              <w:top w:w="100" w:type="dxa"/>
              <w:bottom w:w="100" w:type="dxa"/>
              <w:left w:w="100" w:type="dxa"/>
              <w:right w:w="100" w:type="dxa"/>
            </w:tcMar>
            <w:shd w:fill="FFFFFF"/>
          </w:tcPr>
          <w:p>
            <w:pPr>
              <w:spacing w:after="0" w:line="245" w:lineRule="auto"/>
            </w:pPr>
            <w:r>
              <w:rPr>
                <w:b w:val="0"/>
                <w:color w:val="000000"/>
                <w:sz w:val="18"/>
              </w:rPr>
              <w:t>Signed POC results and recommendation.</w:t>
            </w:r>
          </w:p>
        </w:tc>
      </w:tr>
    </w:tbl>
    <w:p>
      <w:pPr>
        <w:pStyle w:val="Heading1"/>
      </w:pPr>
      <w:r>
        <w:t>Eight Week Timeline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1512"/>
        <w:gridCol w:w="5400"/>
        <w:gridCol w:w="2520"/>
      </w:tblGrid>
      <w:tr>
        <w:trPr>
          <w:cantSplit/>
          <w:tblHeader/>
        </w:trPr>
        <w:tc>
          <w:tcPr>
            <w:tcW w:type="dxa" w:w="648"/>
            <w:vAlign w:val="center"/>
            <w:tcMar>
              <w:top w:w="100" w:type="dxa"/>
              <w:bottom w:w="100" w:type="dxa"/>
              <w:left w:w="100" w:type="dxa"/>
              <w:right w:w="100" w:type="dxa"/>
            </w:tcMar>
            <w:shd w:fill="203864"/>
          </w:tcPr>
          <w:p>
            <w:pPr>
              <w:spacing w:after="0" w:line="245" w:lineRule="auto"/>
              <w:jc w:val="center"/>
            </w:pPr>
            <w:r>
              <w:rPr>
                <w:b/>
                <w:color w:val="FFFFFF"/>
                <w:sz w:val="17"/>
              </w:rPr>
              <w:t>Wk</w:t>
            </w:r>
          </w:p>
        </w:tc>
        <w:tc>
          <w:tcPr>
            <w:tcW w:type="dxa" w:w="1512"/>
            <w:vAlign w:val="center"/>
            <w:tcMar>
              <w:top w:w="100" w:type="dxa"/>
              <w:bottom w:w="100" w:type="dxa"/>
              <w:left w:w="100" w:type="dxa"/>
              <w:right w:w="100" w:type="dxa"/>
            </w:tcMar>
            <w:shd w:fill="203864"/>
          </w:tcPr>
          <w:p>
            <w:pPr>
              <w:spacing w:after="0" w:line="245" w:lineRule="auto"/>
              <w:jc w:val="center"/>
            </w:pPr>
            <w:r>
              <w:rPr>
                <w:b/>
                <w:color w:val="FFFFFF"/>
                <w:sz w:val="17"/>
              </w:rPr>
              <w:t>Dates</w:t>
            </w:r>
          </w:p>
        </w:tc>
        <w:tc>
          <w:tcPr>
            <w:tcW w:type="dxa" w:w="5400"/>
            <w:vAlign w:val="center"/>
            <w:tcMar>
              <w:top w:w="100" w:type="dxa"/>
              <w:bottom w:w="100" w:type="dxa"/>
              <w:left w:w="100" w:type="dxa"/>
              <w:right w:w="100" w:type="dxa"/>
            </w:tcMar>
            <w:shd w:fill="203864"/>
          </w:tcPr>
          <w:p>
            <w:pPr>
              <w:spacing w:after="0" w:line="245" w:lineRule="auto"/>
            </w:pPr>
            <w:r>
              <w:rPr>
                <w:b/>
                <w:color w:val="FFFFFF"/>
                <w:sz w:val="17"/>
              </w:rPr>
              <w:t>Activities</w:t>
            </w:r>
          </w:p>
        </w:tc>
        <w:tc>
          <w:tcPr>
            <w:tcW w:type="dxa" w:w="2520"/>
            <w:vAlign w:val="center"/>
            <w:tcMar>
              <w:top w:w="100" w:type="dxa"/>
              <w:bottom w:w="100" w:type="dxa"/>
              <w:left w:w="100" w:type="dxa"/>
              <w:right w:w="100" w:type="dxa"/>
            </w:tcMar>
            <w:shd w:fill="203864"/>
          </w:tcPr>
          <w:p>
            <w:pPr>
              <w:spacing w:after="0" w:line="245" w:lineRule="auto"/>
            </w:pPr>
            <w:r>
              <w:rPr>
                <w:b/>
                <w:color w:val="FFFFFF"/>
                <w:sz w:val="17"/>
              </w:rPr>
              <w:t>Exit criterion</w:t>
            </w:r>
          </w:p>
        </w:tc>
      </w:tr>
      <w:tr>
        <w:trPr>
          <w:cantSplit/>
        </w:trPr>
        <w:tc>
          <w:tcPr>
            <w:tcW w:type="dxa" w:w="648"/>
            <w:vAlign w:val="center"/>
            <w:tcMar>
              <w:top w:w="100" w:type="dxa"/>
              <w:bottom w:w="100" w:type="dxa"/>
              <w:left w:w="100" w:type="dxa"/>
              <w:right w:w="100" w:type="dxa"/>
            </w:tcMar>
            <w:shd w:fill="FFFFFF"/>
          </w:tcPr>
          <w:p>
            <w:pPr>
              <w:spacing w:after="0" w:line="245" w:lineRule="auto"/>
              <w:jc w:val="center"/>
            </w:pPr>
            <w:r>
              <w:rPr>
                <w:b w:val="0"/>
                <w:color w:val="000000"/>
                <w:sz w:val="17"/>
              </w:rPr>
              <w:t>1</w:t>
            </w:r>
          </w:p>
        </w:tc>
        <w:tc>
          <w:tcPr>
            <w:tcW w:type="dxa" w:w="1512"/>
            <w:vAlign w:val="center"/>
            <w:tcMar>
              <w:top w:w="100" w:type="dxa"/>
              <w:bottom w:w="100" w:type="dxa"/>
              <w:left w:w="100" w:type="dxa"/>
              <w:right w:w="100" w:type="dxa"/>
            </w:tcMar>
            <w:shd w:fill="FFFFFF"/>
          </w:tcPr>
          <w:p>
            <w:pPr>
              <w:spacing w:after="0" w:line="245" w:lineRule="auto"/>
              <w:jc w:val="center"/>
            </w:pPr>
            <w:r>
              <w:rPr>
                <w:b w:val="0"/>
                <w:color w:val="000000"/>
                <w:sz w:val="17"/>
              </w:rPr>
              <w:t>Sep 21–25</w:t>
            </w:r>
          </w:p>
        </w:tc>
        <w:tc>
          <w:tcPr>
            <w:tcW w:type="dxa" w:w="5400"/>
            <w:vAlign w:val="center"/>
            <w:tcMar>
              <w:top w:w="100" w:type="dxa"/>
              <w:bottom w:w="100" w:type="dxa"/>
              <w:left w:w="100" w:type="dxa"/>
              <w:right w:w="100" w:type="dxa"/>
            </w:tcMar>
            <w:shd w:fill="FFFFFF"/>
          </w:tcPr>
          <w:p>
            <w:pPr>
              <w:spacing w:after="0" w:line="245" w:lineRule="auto"/>
            </w:pPr>
            <w:r>
              <w:rPr>
                <w:b w:val="0"/>
                <w:color w:val="000000"/>
                <w:sz w:val="17"/>
              </w:rPr>
              <w:t>Confirm Azure Government region and subscription. Validate vendor support, RHEL and Kubernetes versions, VM sizing, A10 quota and capacity. Freeze additional OCI POC build work.</w:t>
            </w:r>
          </w:p>
        </w:tc>
        <w:tc>
          <w:tcPr>
            <w:tcW w:type="dxa" w:w="2520"/>
            <w:vAlign w:val="center"/>
            <w:tcMar>
              <w:top w:w="100" w:type="dxa"/>
              <w:bottom w:w="100" w:type="dxa"/>
              <w:left w:w="100" w:type="dxa"/>
              <w:right w:w="100" w:type="dxa"/>
            </w:tcMar>
            <w:shd w:fill="FFFFFF"/>
          </w:tcPr>
          <w:p>
            <w:pPr>
              <w:spacing w:after="0" w:line="245" w:lineRule="auto"/>
            </w:pPr>
            <w:r>
              <w:rPr>
                <w:b w:val="0"/>
                <w:color w:val="000000"/>
                <w:sz w:val="17"/>
              </w:rPr>
              <w:t>Architecture decisions, capacity path and owners approved.</w:t>
            </w:r>
          </w:p>
        </w:tc>
      </w:tr>
      <w:tr>
        <w:trPr>
          <w:cantSplit/>
        </w:trPr>
        <w:tc>
          <w:tcPr>
            <w:tcW w:type="dxa" w:w="648"/>
            <w:vAlign w:val="center"/>
            <w:tcMar>
              <w:top w:w="100" w:type="dxa"/>
              <w:bottom w:w="100" w:type="dxa"/>
              <w:left w:w="100" w:type="dxa"/>
              <w:right w:w="100" w:type="dxa"/>
            </w:tcMar>
            <w:shd w:fill="F2F6FA"/>
          </w:tcPr>
          <w:p>
            <w:pPr>
              <w:spacing w:after="0" w:line="245" w:lineRule="auto"/>
              <w:jc w:val="center"/>
            </w:pPr>
            <w:r>
              <w:rPr>
                <w:b w:val="0"/>
                <w:color w:val="000000"/>
                <w:sz w:val="17"/>
              </w:rPr>
              <w:t>2</w:t>
            </w:r>
          </w:p>
        </w:tc>
        <w:tc>
          <w:tcPr>
            <w:tcW w:type="dxa" w:w="1512"/>
            <w:vAlign w:val="center"/>
            <w:tcMar>
              <w:top w:w="100" w:type="dxa"/>
              <w:bottom w:w="100" w:type="dxa"/>
              <w:left w:w="100" w:type="dxa"/>
              <w:right w:w="100" w:type="dxa"/>
            </w:tcMar>
            <w:shd w:fill="F2F6FA"/>
          </w:tcPr>
          <w:p>
            <w:pPr>
              <w:spacing w:after="0" w:line="245" w:lineRule="auto"/>
              <w:jc w:val="center"/>
            </w:pPr>
            <w:r>
              <w:rPr>
                <w:b w:val="0"/>
                <w:color w:val="000000"/>
                <w:sz w:val="17"/>
              </w:rPr>
              <w:t>Sep 28–Oct 2</w:t>
            </w:r>
          </w:p>
        </w:tc>
        <w:tc>
          <w:tcPr>
            <w:tcW w:type="dxa" w:w="5400"/>
            <w:vAlign w:val="center"/>
            <w:tcMar>
              <w:top w:w="100" w:type="dxa"/>
              <w:bottom w:w="100" w:type="dxa"/>
              <w:left w:w="100" w:type="dxa"/>
              <w:right w:w="100" w:type="dxa"/>
            </w:tcMar>
            <w:shd w:fill="F2F6FA"/>
          </w:tcPr>
          <w:p>
            <w:pPr>
              <w:spacing w:after="0" w:line="245" w:lineRule="auto"/>
            </w:pPr>
            <w:r>
              <w:rPr>
                <w:b w:val="0"/>
                <w:color w:val="000000"/>
                <w:sz w:val="17"/>
              </w:rPr>
              <w:t>Complete detailed design, IP plan, resource hierarchy, DNS, routes, firewall flows, storage interfaces, security controls, test dataset and acceptance targets.</w:t>
            </w:r>
          </w:p>
        </w:tc>
        <w:tc>
          <w:tcPr>
            <w:tcW w:type="dxa" w:w="2520"/>
            <w:vAlign w:val="center"/>
            <w:tcMar>
              <w:top w:w="100" w:type="dxa"/>
              <w:bottom w:w="100" w:type="dxa"/>
              <w:left w:w="100" w:type="dxa"/>
              <w:right w:w="100" w:type="dxa"/>
            </w:tcMar>
            <w:shd w:fill="F2F6FA"/>
          </w:tcPr>
          <w:p>
            <w:pPr>
              <w:spacing w:after="0" w:line="245" w:lineRule="auto"/>
            </w:pPr>
            <w:r>
              <w:rPr>
                <w:b w:val="0"/>
                <w:color w:val="000000"/>
                <w:sz w:val="17"/>
              </w:rPr>
              <w:t>Detailed design and POC test plan approved.</w:t>
            </w:r>
          </w:p>
        </w:tc>
      </w:tr>
      <w:tr>
        <w:trPr>
          <w:cantSplit/>
        </w:trPr>
        <w:tc>
          <w:tcPr>
            <w:tcW w:type="dxa" w:w="648"/>
            <w:vAlign w:val="center"/>
            <w:tcMar>
              <w:top w:w="100" w:type="dxa"/>
              <w:bottom w:w="100" w:type="dxa"/>
              <w:left w:w="100" w:type="dxa"/>
              <w:right w:w="100" w:type="dxa"/>
            </w:tcMar>
            <w:shd w:fill="FFFFFF"/>
          </w:tcPr>
          <w:p>
            <w:pPr>
              <w:spacing w:after="0" w:line="245" w:lineRule="auto"/>
              <w:jc w:val="center"/>
            </w:pPr>
            <w:r>
              <w:rPr>
                <w:b w:val="0"/>
                <w:color w:val="000000"/>
                <w:sz w:val="17"/>
              </w:rPr>
              <w:t>3</w:t>
            </w:r>
          </w:p>
        </w:tc>
        <w:tc>
          <w:tcPr>
            <w:tcW w:type="dxa" w:w="1512"/>
            <w:vAlign w:val="center"/>
            <w:tcMar>
              <w:top w:w="100" w:type="dxa"/>
              <w:bottom w:w="100" w:type="dxa"/>
              <w:left w:w="100" w:type="dxa"/>
              <w:right w:w="100" w:type="dxa"/>
            </w:tcMar>
            <w:shd w:fill="FFFFFF"/>
          </w:tcPr>
          <w:p>
            <w:pPr>
              <w:spacing w:after="0" w:line="245" w:lineRule="auto"/>
              <w:jc w:val="center"/>
            </w:pPr>
            <w:r>
              <w:rPr>
                <w:b w:val="0"/>
                <w:color w:val="000000"/>
                <w:sz w:val="17"/>
              </w:rPr>
              <w:t>Oct 5–9</w:t>
            </w:r>
          </w:p>
        </w:tc>
        <w:tc>
          <w:tcPr>
            <w:tcW w:type="dxa" w:w="5400"/>
            <w:vAlign w:val="center"/>
            <w:tcMar>
              <w:top w:w="100" w:type="dxa"/>
              <w:bottom w:w="100" w:type="dxa"/>
              <w:left w:w="100" w:type="dxa"/>
              <w:right w:w="100" w:type="dxa"/>
            </w:tcMar>
            <w:shd w:fill="FFFFFF"/>
          </w:tcPr>
          <w:p>
            <w:pPr>
              <w:spacing w:after="0" w:line="245" w:lineRule="auto"/>
            </w:pPr>
            <w:r>
              <w:rPr>
                <w:b w:val="0"/>
                <w:color w:val="000000"/>
                <w:sz w:val="17"/>
              </w:rPr>
              <w:t>Deploy the Azure foundation with Terraform: resource groups, spoke VNets, hub connection, private DNS, NSGs, routes, Key Vault, ACR, Log Analytics and budgets.</w:t>
            </w:r>
          </w:p>
        </w:tc>
        <w:tc>
          <w:tcPr>
            <w:tcW w:type="dxa" w:w="2520"/>
            <w:vAlign w:val="center"/>
            <w:tcMar>
              <w:top w:w="100" w:type="dxa"/>
              <w:bottom w:w="100" w:type="dxa"/>
              <w:left w:w="100" w:type="dxa"/>
              <w:right w:w="100" w:type="dxa"/>
            </w:tcMar>
            <w:shd w:fill="FFFFFF"/>
          </w:tcPr>
          <w:p>
            <w:pPr>
              <w:spacing w:after="0" w:line="245" w:lineRule="auto"/>
            </w:pPr>
            <w:r>
              <w:rPr>
                <w:b w:val="0"/>
                <w:color w:val="000000"/>
                <w:sz w:val="17"/>
              </w:rPr>
              <w:t>Private foundation is reachable from the approved jump host.</w:t>
            </w:r>
          </w:p>
        </w:tc>
      </w:tr>
      <w:tr>
        <w:trPr>
          <w:cantSplit/>
        </w:trPr>
        <w:tc>
          <w:tcPr>
            <w:tcW w:type="dxa" w:w="648"/>
            <w:vAlign w:val="center"/>
            <w:tcMar>
              <w:top w:w="100" w:type="dxa"/>
              <w:bottom w:w="100" w:type="dxa"/>
              <w:left w:w="100" w:type="dxa"/>
              <w:right w:w="100" w:type="dxa"/>
            </w:tcMar>
            <w:shd w:fill="F2F6FA"/>
          </w:tcPr>
          <w:p>
            <w:pPr>
              <w:spacing w:after="0" w:line="245" w:lineRule="auto"/>
              <w:jc w:val="center"/>
            </w:pPr>
            <w:r>
              <w:rPr>
                <w:b w:val="0"/>
                <w:color w:val="000000"/>
                <w:sz w:val="17"/>
              </w:rPr>
              <w:t>4</w:t>
            </w:r>
          </w:p>
        </w:tc>
        <w:tc>
          <w:tcPr>
            <w:tcW w:type="dxa" w:w="1512"/>
            <w:vAlign w:val="center"/>
            <w:tcMar>
              <w:top w:w="100" w:type="dxa"/>
              <w:bottom w:w="100" w:type="dxa"/>
              <w:left w:w="100" w:type="dxa"/>
              <w:right w:w="100" w:type="dxa"/>
            </w:tcMar>
            <w:shd w:fill="F2F6FA"/>
          </w:tcPr>
          <w:p>
            <w:pPr>
              <w:spacing w:after="0" w:line="245" w:lineRule="auto"/>
              <w:jc w:val="center"/>
            </w:pPr>
            <w:r>
              <w:rPr>
                <w:b w:val="0"/>
                <w:color w:val="000000"/>
                <w:sz w:val="17"/>
              </w:rPr>
              <w:t>Oct 12–16</w:t>
            </w:r>
          </w:p>
        </w:tc>
        <w:tc>
          <w:tcPr>
            <w:tcW w:type="dxa" w:w="5400"/>
            <w:vAlign w:val="center"/>
            <w:tcMar>
              <w:top w:w="100" w:type="dxa"/>
              <w:bottom w:w="100" w:type="dxa"/>
              <w:left w:w="100" w:type="dxa"/>
              <w:right w:w="100" w:type="dxa"/>
            </w:tcMar>
            <w:shd w:fill="F2F6FA"/>
          </w:tcPr>
          <w:p>
            <w:pPr>
              <w:spacing w:after="0" w:line="245" w:lineRule="auto"/>
            </w:pPr>
            <w:r>
              <w:rPr>
                <w:b w:val="0"/>
                <w:color w:val="000000"/>
                <w:sz w:val="17"/>
              </w:rPr>
              <w:t>Build the dedicated DataWalk CPU cluster. Configure RHEL, Kubernetes, persistent disks, access controls, monitoring and backup jobs.</w:t>
            </w:r>
          </w:p>
        </w:tc>
        <w:tc>
          <w:tcPr>
            <w:tcW w:type="dxa" w:w="2520"/>
            <w:vAlign w:val="center"/>
            <w:tcMar>
              <w:top w:w="100" w:type="dxa"/>
              <w:bottom w:w="100" w:type="dxa"/>
              <w:left w:w="100" w:type="dxa"/>
              <w:right w:w="100" w:type="dxa"/>
            </w:tcMar>
            <w:shd w:fill="F2F6FA"/>
          </w:tcPr>
          <w:p>
            <w:pPr>
              <w:spacing w:after="0" w:line="245" w:lineRule="auto"/>
            </w:pPr>
            <w:r>
              <w:rPr>
                <w:b w:val="0"/>
                <w:color w:val="000000"/>
                <w:sz w:val="17"/>
              </w:rPr>
              <w:t>DataWalk platform health and storage persistence tests pass.</w:t>
            </w:r>
          </w:p>
        </w:tc>
      </w:tr>
      <w:tr>
        <w:trPr>
          <w:cantSplit/>
        </w:trPr>
        <w:tc>
          <w:tcPr>
            <w:tcW w:type="dxa" w:w="648"/>
            <w:vAlign w:val="center"/>
            <w:tcMar>
              <w:top w:w="100" w:type="dxa"/>
              <w:bottom w:w="100" w:type="dxa"/>
              <w:left w:w="100" w:type="dxa"/>
              <w:right w:w="100" w:type="dxa"/>
            </w:tcMar>
            <w:shd w:fill="FFFFFF"/>
          </w:tcPr>
          <w:p>
            <w:pPr>
              <w:spacing w:after="0" w:line="245" w:lineRule="auto"/>
              <w:jc w:val="center"/>
            </w:pPr>
            <w:r>
              <w:rPr>
                <w:b w:val="0"/>
                <w:color w:val="000000"/>
                <w:sz w:val="17"/>
              </w:rPr>
              <w:t>5</w:t>
            </w:r>
          </w:p>
        </w:tc>
        <w:tc>
          <w:tcPr>
            <w:tcW w:type="dxa" w:w="1512"/>
            <w:vAlign w:val="center"/>
            <w:tcMar>
              <w:top w:w="100" w:type="dxa"/>
              <w:bottom w:w="100" w:type="dxa"/>
              <w:left w:w="100" w:type="dxa"/>
              <w:right w:w="100" w:type="dxa"/>
            </w:tcMar>
            <w:shd w:fill="FFFFFF"/>
          </w:tcPr>
          <w:p>
            <w:pPr>
              <w:spacing w:after="0" w:line="245" w:lineRule="auto"/>
              <w:jc w:val="center"/>
            </w:pPr>
            <w:r>
              <w:rPr>
                <w:b w:val="0"/>
                <w:color w:val="000000"/>
                <w:sz w:val="17"/>
              </w:rPr>
              <w:t>Oct 19–23</w:t>
            </w:r>
          </w:p>
        </w:tc>
        <w:tc>
          <w:tcPr>
            <w:tcW w:type="dxa" w:w="5400"/>
            <w:vAlign w:val="center"/>
            <w:tcMar>
              <w:top w:w="100" w:type="dxa"/>
              <w:bottom w:w="100" w:type="dxa"/>
              <w:left w:w="100" w:type="dxa"/>
              <w:right w:w="100" w:type="dxa"/>
            </w:tcMar>
            <w:shd w:fill="FFFFFF"/>
          </w:tcPr>
          <w:p>
            <w:pPr>
              <w:spacing w:after="0" w:line="245" w:lineRule="auto"/>
            </w:pPr>
            <w:r>
              <w:rPr>
                <w:b w:val="0"/>
                <w:color w:val="000000"/>
                <w:sz w:val="17"/>
              </w:rPr>
              <w:t>Build the separate Hyperscience GPU cluster. Install approved NVIDIA drivers and CUDA dependencies. Validate GPU count, memory, scheduling and storage.</w:t>
            </w:r>
          </w:p>
        </w:tc>
        <w:tc>
          <w:tcPr>
            <w:tcW w:type="dxa" w:w="2520"/>
            <w:vAlign w:val="center"/>
            <w:tcMar>
              <w:top w:w="100" w:type="dxa"/>
              <w:bottom w:w="100" w:type="dxa"/>
              <w:left w:w="100" w:type="dxa"/>
              <w:right w:w="100" w:type="dxa"/>
            </w:tcMar>
            <w:shd w:fill="FFFFFF"/>
          </w:tcPr>
          <w:p>
            <w:pPr>
              <w:spacing w:after="0" w:line="245" w:lineRule="auto"/>
            </w:pPr>
            <w:r>
              <w:rPr>
                <w:b w:val="0"/>
                <w:color w:val="000000"/>
                <w:sz w:val="17"/>
              </w:rPr>
              <w:t>Vendor-approved GPU validation passes.</w:t>
            </w:r>
          </w:p>
        </w:tc>
      </w:tr>
      <w:tr>
        <w:trPr>
          <w:cantSplit/>
        </w:trPr>
        <w:tc>
          <w:tcPr>
            <w:tcW w:type="dxa" w:w="648"/>
            <w:vAlign w:val="center"/>
            <w:tcMar>
              <w:top w:w="100" w:type="dxa"/>
              <w:bottom w:w="100" w:type="dxa"/>
              <w:left w:w="100" w:type="dxa"/>
              <w:right w:w="100" w:type="dxa"/>
            </w:tcMar>
            <w:shd w:fill="F2F6FA"/>
          </w:tcPr>
          <w:p>
            <w:pPr>
              <w:spacing w:after="0" w:line="245" w:lineRule="auto"/>
              <w:jc w:val="center"/>
            </w:pPr>
            <w:r>
              <w:rPr>
                <w:b w:val="0"/>
                <w:color w:val="000000"/>
                <w:sz w:val="17"/>
              </w:rPr>
              <w:t>6</w:t>
            </w:r>
          </w:p>
        </w:tc>
        <w:tc>
          <w:tcPr>
            <w:tcW w:type="dxa" w:w="1512"/>
            <w:vAlign w:val="center"/>
            <w:tcMar>
              <w:top w:w="100" w:type="dxa"/>
              <w:bottom w:w="100" w:type="dxa"/>
              <w:left w:w="100" w:type="dxa"/>
              <w:right w:w="100" w:type="dxa"/>
            </w:tcMar>
            <w:shd w:fill="F2F6FA"/>
          </w:tcPr>
          <w:p>
            <w:pPr>
              <w:spacing w:after="0" w:line="245" w:lineRule="auto"/>
              <w:jc w:val="center"/>
            </w:pPr>
            <w:r>
              <w:rPr>
                <w:b w:val="0"/>
                <w:color w:val="000000"/>
                <w:sz w:val="17"/>
              </w:rPr>
              <w:t>Oct 26–30</w:t>
            </w:r>
          </w:p>
        </w:tc>
        <w:tc>
          <w:tcPr>
            <w:tcW w:type="dxa" w:w="5400"/>
            <w:vAlign w:val="center"/>
            <w:tcMar>
              <w:top w:w="100" w:type="dxa"/>
              <w:bottom w:w="100" w:type="dxa"/>
              <w:left w:w="100" w:type="dxa"/>
              <w:right w:w="100" w:type="dxa"/>
            </w:tcMar>
            <w:shd w:fill="F2F6FA"/>
          </w:tcPr>
          <w:p>
            <w:pPr>
              <w:spacing w:after="0" w:line="245" w:lineRule="auto"/>
            </w:pPr>
            <w:r>
              <w:rPr>
                <w:b w:val="0"/>
                <w:color w:val="000000"/>
                <w:sz w:val="17"/>
              </w:rPr>
              <w:t>Install both applications. Configure databases, registry access, secrets, certificates, private ingress and document handoff. Complete smoke tests.</w:t>
            </w:r>
          </w:p>
        </w:tc>
        <w:tc>
          <w:tcPr>
            <w:tcW w:type="dxa" w:w="2520"/>
            <w:vAlign w:val="center"/>
            <w:tcMar>
              <w:top w:w="100" w:type="dxa"/>
              <w:bottom w:w="100" w:type="dxa"/>
              <w:left w:w="100" w:type="dxa"/>
              <w:right w:w="100" w:type="dxa"/>
            </w:tcMar>
            <w:shd w:fill="F2F6FA"/>
          </w:tcPr>
          <w:p>
            <w:pPr>
              <w:spacing w:after="0" w:line="245" w:lineRule="auto"/>
            </w:pPr>
            <w:r>
              <w:rPr>
                <w:b w:val="0"/>
                <w:color w:val="000000"/>
                <w:sz w:val="17"/>
              </w:rPr>
              <w:t>Both applications and a sample handoff operate successfully.</w:t>
            </w:r>
          </w:p>
        </w:tc>
      </w:tr>
      <w:tr>
        <w:trPr>
          <w:cantSplit/>
        </w:trPr>
        <w:tc>
          <w:tcPr>
            <w:tcW w:type="dxa" w:w="648"/>
            <w:vAlign w:val="center"/>
            <w:tcMar>
              <w:top w:w="100" w:type="dxa"/>
              <w:bottom w:w="100" w:type="dxa"/>
              <w:left w:w="100" w:type="dxa"/>
              <w:right w:w="100" w:type="dxa"/>
            </w:tcMar>
            <w:shd w:fill="FFFFFF"/>
          </w:tcPr>
          <w:p>
            <w:pPr>
              <w:spacing w:after="0" w:line="245" w:lineRule="auto"/>
              <w:jc w:val="center"/>
            </w:pPr>
            <w:r>
              <w:rPr>
                <w:b w:val="0"/>
                <w:color w:val="000000"/>
                <w:sz w:val="17"/>
              </w:rPr>
              <w:t>7</w:t>
            </w:r>
          </w:p>
        </w:tc>
        <w:tc>
          <w:tcPr>
            <w:tcW w:type="dxa" w:w="1512"/>
            <w:vAlign w:val="center"/>
            <w:tcMar>
              <w:top w:w="100" w:type="dxa"/>
              <w:bottom w:w="100" w:type="dxa"/>
              <w:left w:w="100" w:type="dxa"/>
              <w:right w:w="100" w:type="dxa"/>
            </w:tcMar>
            <w:shd w:fill="FFFFFF"/>
          </w:tcPr>
          <w:p>
            <w:pPr>
              <w:spacing w:after="0" w:line="245" w:lineRule="auto"/>
              <w:jc w:val="center"/>
            </w:pPr>
            <w:r>
              <w:rPr>
                <w:b w:val="0"/>
                <w:color w:val="000000"/>
                <w:sz w:val="17"/>
              </w:rPr>
              <w:t>Nov 2–6</w:t>
            </w:r>
          </w:p>
        </w:tc>
        <w:tc>
          <w:tcPr>
            <w:tcW w:type="dxa" w:w="5400"/>
            <w:vAlign w:val="center"/>
            <w:tcMar>
              <w:top w:w="100" w:type="dxa"/>
              <w:bottom w:w="100" w:type="dxa"/>
              <w:left w:w="100" w:type="dxa"/>
              <w:right w:w="100" w:type="dxa"/>
            </w:tcMar>
            <w:shd w:fill="FFFFFF"/>
          </w:tcPr>
          <w:p>
            <w:pPr>
              <w:spacing w:after="0" w:line="245" w:lineRule="auto"/>
            </w:pPr>
            <w:r>
              <w:rPr>
                <w:b w:val="0"/>
                <w:color w:val="000000"/>
                <w:sz w:val="17"/>
              </w:rPr>
              <w:t>Run functional, integration, performance, accuracy, backup, restore, monitoring and cost tests using the approved dataset and baselines.</w:t>
            </w:r>
          </w:p>
        </w:tc>
        <w:tc>
          <w:tcPr>
            <w:tcW w:type="dxa" w:w="2520"/>
            <w:vAlign w:val="center"/>
            <w:tcMar>
              <w:top w:w="100" w:type="dxa"/>
              <w:bottom w:w="100" w:type="dxa"/>
              <w:left w:w="100" w:type="dxa"/>
              <w:right w:w="100" w:type="dxa"/>
            </w:tcMar>
            <w:shd w:fill="FFFFFF"/>
          </w:tcPr>
          <w:p>
            <w:pPr>
              <w:spacing w:after="0" w:line="245" w:lineRule="auto"/>
            </w:pPr>
            <w:r>
              <w:rPr>
                <w:b w:val="0"/>
                <w:color w:val="000000"/>
                <w:sz w:val="17"/>
              </w:rPr>
              <w:t>Test evidence is complete; failures have owners and dispositions.</w:t>
            </w:r>
          </w:p>
        </w:tc>
      </w:tr>
      <w:tr>
        <w:trPr>
          <w:cantSplit/>
        </w:trPr>
        <w:tc>
          <w:tcPr>
            <w:tcW w:type="dxa" w:w="648"/>
            <w:vAlign w:val="center"/>
            <w:tcMar>
              <w:top w:w="100" w:type="dxa"/>
              <w:bottom w:w="100" w:type="dxa"/>
              <w:left w:w="100" w:type="dxa"/>
              <w:right w:w="100" w:type="dxa"/>
            </w:tcMar>
            <w:shd w:fill="F2F6FA"/>
          </w:tcPr>
          <w:p>
            <w:pPr>
              <w:spacing w:after="0" w:line="245" w:lineRule="auto"/>
              <w:jc w:val="center"/>
            </w:pPr>
            <w:r>
              <w:rPr>
                <w:b w:val="0"/>
                <w:color w:val="000000"/>
                <w:sz w:val="17"/>
              </w:rPr>
              <w:t>8</w:t>
            </w:r>
          </w:p>
        </w:tc>
        <w:tc>
          <w:tcPr>
            <w:tcW w:type="dxa" w:w="1512"/>
            <w:vAlign w:val="center"/>
            <w:tcMar>
              <w:top w:w="100" w:type="dxa"/>
              <w:bottom w:w="100" w:type="dxa"/>
              <w:left w:w="100" w:type="dxa"/>
              <w:right w:w="100" w:type="dxa"/>
            </w:tcMar>
            <w:shd w:fill="F2F6FA"/>
          </w:tcPr>
          <w:p>
            <w:pPr>
              <w:spacing w:after="0" w:line="245" w:lineRule="auto"/>
              <w:jc w:val="center"/>
            </w:pPr>
            <w:r>
              <w:rPr>
                <w:b w:val="0"/>
                <w:color w:val="000000"/>
                <w:sz w:val="17"/>
              </w:rPr>
              <w:t>Nov 9–13</w:t>
            </w:r>
          </w:p>
        </w:tc>
        <w:tc>
          <w:tcPr>
            <w:tcW w:type="dxa" w:w="5400"/>
            <w:vAlign w:val="center"/>
            <w:tcMar>
              <w:top w:w="100" w:type="dxa"/>
              <w:bottom w:w="100" w:type="dxa"/>
              <w:left w:w="100" w:type="dxa"/>
              <w:right w:w="100" w:type="dxa"/>
            </w:tcMar>
            <w:shd w:fill="F2F6FA"/>
          </w:tcPr>
          <w:p>
            <w:pPr>
              <w:spacing w:after="0" w:line="245" w:lineRule="auto"/>
            </w:pPr>
            <w:r>
              <w:rPr>
                <w:b w:val="0"/>
                <w:color w:val="000000"/>
                <w:sz w:val="17"/>
              </w:rPr>
              <w:t>Complete security review and user acceptance. Resolve agreed priority findings. Prepare the as-built design, measured cost, production considerations and final recommendation.</w:t>
            </w:r>
          </w:p>
        </w:tc>
        <w:tc>
          <w:tcPr>
            <w:tcW w:type="dxa" w:w="2520"/>
            <w:vAlign w:val="center"/>
            <w:tcMar>
              <w:top w:w="100" w:type="dxa"/>
              <w:bottom w:w="100" w:type="dxa"/>
              <w:left w:w="100" w:type="dxa"/>
              <w:right w:w="100" w:type="dxa"/>
            </w:tcMar>
            <w:shd w:fill="F2F6FA"/>
          </w:tcPr>
          <w:p>
            <w:pPr>
              <w:spacing w:after="0" w:line="245" w:lineRule="auto"/>
            </w:pPr>
            <w:r>
              <w:rPr>
                <w:b w:val="0"/>
                <w:color w:val="000000"/>
                <w:sz w:val="17"/>
              </w:rPr>
              <w:t>Sponsor records the POC decision.</w:t>
            </w:r>
          </w:p>
        </w:tc>
      </w:tr>
    </w:tbl>
    <w:p>
      <w:pPr>
        <w:pStyle w:val="Heading1"/>
      </w:pPr>
      <w:r>
        <w:t>Milestones and ETA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768"/>
        <w:gridCol w:w="3312"/>
      </w:tblGrid>
      <w:tr>
        <w:trPr>
          <w:cantSplit/>
          <w:tblHeader/>
        </w:trPr>
        <w:tc>
          <w:tcPr>
            <w:tcW w:type="dxa" w:w="6768"/>
            <w:vAlign w:val="center"/>
            <w:tcMar>
              <w:top w:w="100" w:type="dxa"/>
              <w:bottom w:w="100" w:type="dxa"/>
              <w:left w:w="100" w:type="dxa"/>
              <w:right w:w="100" w:type="dxa"/>
            </w:tcMar>
            <w:shd w:fill="203864"/>
          </w:tcPr>
          <w:p>
            <w:pPr>
              <w:spacing w:after="0" w:line="245" w:lineRule="auto"/>
            </w:pPr>
            <w:r>
              <w:rPr>
                <w:b/>
                <w:color w:val="FFFFFF"/>
                <w:sz w:val="19"/>
              </w:rPr>
              <w:t>Milestone</w:t>
            </w:r>
          </w:p>
        </w:tc>
        <w:tc>
          <w:tcPr>
            <w:tcW w:type="dxa" w:w="3312"/>
            <w:vAlign w:val="center"/>
            <w:tcMar>
              <w:top w:w="100" w:type="dxa"/>
              <w:bottom w:w="100" w:type="dxa"/>
              <w:left w:w="100" w:type="dxa"/>
              <w:right w:w="100" w:type="dxa"/>
            </w:tcMar>
            <w:shd w:fill="203864"/>
          </w:tcPr>
          <w:p>
            <w:pPr>
              <w:spacing w:after="0" w:line="245" w:lineRule="auto"/>
              <w:jc w:val="center"/>
            </w:pPr>
            <w:r>
              <w:rPr>
                <w:b/>
                <w:color w:val="FFFFFF"/>
                <w:sz w:val="19"/>
              </w:rPr>
              <w:t>Planned date</w:t>
            </w:r>
          </w:p>
        </w:tc>
      </w:tr>
      <w:tr>
        <w:trPr>
          <w:cantSplit/>
        </w:trPr>
        <w:tc>
          <w:tcPr>
            <w:tcW w:type="dxa" w:w="6768"/>
            <w:vAlign w:val="center"/>
            <w:tcMar>
              <w:top w:w="100" w:type="dxa"/>
              <w:bottom w:w="100" w:type="dxa"/>
              <w:left w:w="100" w:type="dxa"/>
              <w:right w:w="100" w:type="dxa"/>
            </w:tcMar>
            <w:shd w:fill="FFFFFF"/>
          </w:tcPr>
          <w:p>
            <w:pPr>
              <w:spacing w:after="0" w:line="245" w:lineRule="auto"/>
            </w:pPr>
            <w:r>
              <w:rPr>
                <w:b w:val="0"/>
                <w:color w:val="000000"/>
                <w:sz w:val="19"/>
              </w:rPr>
              <w:t>Vendor and capacity decisions complete</w:t>
            </w:r>
          </w:p>
        </w:tc>
        <w:tc>
          <w:tcPr>
            <w:tcW w:type="dxa" w:w="3312"/>
            <w:vAlign w:val="center"/>
            <w:tcMar>
              <w:top w:w="100" w:type="dxa"/>
              <w:bottom w:w="100" w:type="dxa"/>
              <w:left w:w="100" w:type="dxa"/>
              <w:right w:w="100" w:type="dxa"/>
            </w:tcMar>
            <w:shd w:fill="FFFFFF"/>
          </w:tcPr>
          <w:p>
            <w:pPr>
              <w:spacing w:after="0" w:line="245" w:lineRule="auto"/>
              <w:jc w:val="center"/>
            </w:pPr>
            <w:r>
              <w:rPr>
                <w:b w:val="0"/>
                <w:color w:val="000000"/>
                <w:sz w:val="19"/>
              </w:rPr>
              <w:t>25 September 2026</w:t>
            </w:r>
          </w:p>
        </w:tc>
      </w:tr>
      <w:tr>
        <w:trPr>
          <w:cantSplit/>
        </w:trPr>
        <w:tc>
          <w:tcPr>
            <w:tcW w:type="dxa" w:w="6768"/>
            <w:vAlign w:val="center"/>
            <w:tcMar>
              <w:top w:w="100" w:type="dxa"/>
              <w:bottom w:w="100" w:type="dxa"/>
              <w:left w:w="100" w:type="dxa"/>
              <w:right w:w="100" w:type="dxa"/>
            </w:tcMar>
            <w:shd w:fill="F2F6FA"/>
          </w:tcPr>
          <w:p>
            <w:pPr>
              <w:spacing w:after="0" w:line="245" w:lineRule="auto"/>
            </w:pPr>
            <w:r>
              <w:rPr>
                <w:b w:val="0"/>
                <w:color w:val="000000"/>
                <w:sz w:val="19"/>
              </w:rPr>
              <w:t>Azure foundation ready</w:t>
            </w:r>
          </w:p>
        </w:tc>
        <w:tc>
          <w:tcPr>
            <w:tcW w:type="dxa" w:w="3312"/>
            <w:vAlign w:val="center"/>
            <w:tcMar>
              <w:top w:w="100" w:type="dxa"/>
              <w:bottom w:w="100" w:type="dxa"/>
              <w:left w:w="100" w:type="dxa"/>
              <w:right w:w="100" w:type="dxa"/>
            </w:tcMar>
            <w:shd w:fill="F2F6FA"/>
          </w:tcPr>
          <w:p>
            <w:pPr>
              <w:spacing w:after="0" w:line="245" w:lineRule="auto"/>
              <w:jc w:val="center"/>
            </w:pPr>
            <w:r>
              <w:rPr>
                <w:b w:val="0"/>
                <w:color w:val="000000"/>
                <w:sz w:val="19"/>
              </w:rPr>
              <w:t>9 October 2026</w:t>
            </w:r>
          </w:p>
        </w:tc>
      </w:tr>
      <w:tr>
        <w:trPr>
          <w:cantSplit/>
        </w:trPr>
        <w:tc>
          <w:tcPr>
            <w:tcW w:type="dxa" w:w="6768"/>
            <w:vAlign w:val="center"/>
            <w:tcMar>
              <w:top w:w="100" w:type="dxa"/>
              <w:bottom w:w="100" w:type="dxa"/>
              <w:left w:w="100" w:type="dxa"/>
              <w:right w:w="100" w:type="dxa"/>
            </w:tcMar>
            <w:shd w:fill="FFFFFF"/>
          </w:tcPr>
          <w:p>
            <w:pPr>
              <w:spacing w:after="0" w:line="245" w:lineRule="auto"/>
            </w:pPr>
            <w:r>
              <w:rPr>
                <w:b w:val="0"/>
                <w:color w:val="000000"/>
                <w:sz w:val="19"/>
              </w:rPr>
              <w:t>DataWalk cluster ready</w:t>
            </w:r>
          </w:p>
        </w:tc>
        <w:tc>
          <w:tcPr>
            <w:tcW w:type="dxa" w:w="3312"/>
            <w:vAlign w:val="center"/>
            <w:tcMar>
              <w:top w:w="100" w:type="dxa"/>
              <w:bottom w:w="100" w:type="dxa"/>
              <w:left w:w="100" w:type="dxa"/>
              <w:right w:w="100" w:type="dxa"/>
            </w:tcMar>
            <w:shd w:fill="FFFFFF"/>
          </w:tcPr>
          <w:p>
            <w:pPr>
              <w:spacing w:after="0" w:line="245" w:lineRule="auto"/>
              <w:jc w:val="center"/>
            </w:pPr>
            <w:r>
              <w:rPr>
                <w:b w:val="0"/>
                <w:color w:val="000000"/>
                <w:sz w:val="19"/>
              </w:rPr>
              <w:t>16 October 2026</w:t>
            </w:r>
          </w:p>
        </w:tc>
      </w:tr>
      <w:tr>
        <w:trPr>
          <w:cantSplit/>
        </w:trPr>
        <w:tc>
          <w:tcPr>
            <w:tcW w:type="dxa" w:w="6768"/>
            <w:vAlign w:val="center"/>
            <w:tcMar>
              <w:top w:w="100" w:type="dxa"/>
              <w:bottom w:w="100" w:type="dxa"/>
              <w:left w:w="100" w:type="dxa"/>
              <w:right w:w="100" w:type="dxa"/>
            </w:tcMar>
            <w:shd w:fill="F2F6FA"/>
          </w:tcPr>
          <w:p>
            <w:pPr>
              <w:spacing w:after="0" w:line="245" w:lineRule="auto"/>
            </w:pPr>
            <w:r>
              <w:rPr>
                <w:b w:val="0"/>
                <w:color w:val="000000"/>
                <w:sz w:val="19"/>
              </w:rPr>
              <w:t>Hyperscience GPU cluster ready</w:t>
            </w:r>
          </w:p>
        </w:tc>
        <w:tc>
          <w:tcPr>
            <w:tcW w:type="dxa" w:w="3312"/>
            <w:vAlign w:val="center"/>
            <w:tcMar>
              <w:top w:w="100" w:type="dxa"/>
              <w:bottom w:w="100" w:type="dxa"/>
              <w:left w:w="100" w:type="dxa"/>
              <w:right w:w="100" w:type="dxa"/>
            </w:tcMar>
            <w:shd w:fill="F2F6FA"/>
          </w:tcPr>
          <w:p>
            <w:pPr>
              <w:spacing w:after="0" w:line="245" w:lineRule="auto"/>
              <w:jc w:val="center"/>
            </w:pPr>
            <w:r>
              <w:rPr>
                <w:b w:val="0"/>
                <w:color w:val="000000"/>
                <w:sz w:val="19"/>
              </w:rPr>
              <w:t>23 October 2026</w:t>
            </w:r>
          </w:p>
        </w:tc>
      </w:tr>
      <w:tr>
        <w:trPr>
          <w:cantSplit/>
        </w:trPr>
        <w:tc>
          <w:tcPr>
            <w:tcW w:type="dxa" w:w="6768"/>
            <w:vAlign w:val="center"/>
            <w:tcMar>
              <w:top w:w="100" w:type="dxa"/>
              <w:bottom w:w="100" w:type="dxa"/>
              <w:left w:w="100" w:type="dxa"/>
              <w:right w:w="100" w:type="dxa"/>
            </w:tcMar>
            <w:shd w:fill="FFFFFF"/>
          </w:tcPr>
          <w:p>
            <w:pPr>
              <w:spacing w:after="0" w:line="245" w:lineRule="auto"/>
            </w:pPr>
            <w:r>
              <w:rPr>
                <w:b w:val="0"/>
                <w:color w:val="000000"/>
                <w:sz w:val="19"/>
              </w:rPr>
              <w:t>Applications installed</w:t>
            </w:r>
          </w:p>
        </w:tc>
        <w:tc>
          <w:tcPr>
            <w:tcW w:type="dxa" w:w="3312"/>
            <w:vAlign w:val="center"/>
            <w:tcMar>
              <w:top w:w="100" w:type="dxa"/>
              <w:bottom w:w="100" w:type="dxa"/>
              <w:left w:w="100" w:type="dxa"/>
              <w:right w:w="100" w:type="dxa"/>
            </w:tcMar>
            <w:shd w:fill="FFFFFF"/>
          </w:tcPr>
          <w:p>
            <w:pPr>
              <w:spacing w:after="0" w:line="245" w:lineRule="auto"/>
              <w:jc w:val="center"/>
            </w:pPr>
            <w:r>
              <w:rPr>
                <w:b w:val="0"/>
                <w:color w:val="000000"/>
                <w:sz w:val="19"/>
              </w:rPr>
              <w:t>30 October 2026</w:t>
            </w:r>
          </w:p>
        </w:tc>
      </w:tr>
      <w:tr>
        <w:trPr>
          <w:cantSplit/>
        </w:trPr>
        <w:tc>
          <w:tcPr>
            <w:tcW w:type="dxa" w:w="6768"/>
            <w:vAlign w:val="center"/>
            <w:tcMar>
              <w:top w:w="100" w:type="dxa"/>
              <w:bottom w:w="100" w:type="dxa"/>
              <w:left w:w="100" w:type="dxa"/>
              <w:right w:w="100" w:type="dxa"/>
            </w:tcMar>
            <w:shd w:fill="F2F6FA"/>
          </w:tcPr>
          <w:p>
            <w:pPr>
              <w:spacing w:after="0" w:line="245" w:lineRule="auto"/>
            </w:pPr>
            <w:r>
              <w:rPr>
                <w:b w:val="0"/>
                <w:color w:val="000000"/>
                <w:sz w:val="19"/>
              </w:rPr>
              <w:t>Technical testing complete</w:t>
            </w:r>
          </w:p>
        </w:tc>
        <w:tc>
          <w:tcPr>
            <w:tcW w:type="dxa" w:w="3312"/>
            <w:vAlign w:val="center"/>
            <w:tcMar>
              <w:top w:w="100" w:type="dxa"/>
              <w:bottom w:w="100" w:type="dxa"/>
              <w:left w:w="100" w:type="dxa"/>
              <w:right w:w="100" w:type="dxa"/>
            </w:tcMar>
            <w:shd w:fill="F2F6FA"/>
          </w:tcPr>
          <w:p>
            <w:pPr>
              <w:spacing w:after="0" w:line="245" w:lineRule="auto"/>
              <w:jc w:val="center"/>
            </w:pPr>
            <w:r>
              <w:rPr>
                <w:b w:val="0"/>
                <w:color w:val="000000"/>
                <w:sz w:val="19"/>
              </w:rPr>
              <w:t>6 November 2026</w:t>
            </w:r>
          </w:p>
        </w:tc>
      </w:tr>
      <w:tr>
        <w:trPr>
          <w:cantSplit/>
        </w:trPr>
        <w:tc>
          <w:tcPr>
            <w:tcW w:type="dxa" w:w="6768"/>
            <w:vAlign w:val="center"/>
            <w:tcMar>
              <w:top w:w="100" w:type="dxa"/>
              <w:bottom w:w="100" w:type="dxa"/>
              <w:left w:w="100" w:type="dxa"/>
              <w:right w:w="100" w:type="dxa"/>
            </w:tcMar>
            <w:shd w:fill="FFFFFF"/>
          </w:tcPr>
          <w:p>
            <w:pPr>
              <w:spacing w:after="0" w:line="245" w:lineRule="auto"/>
            </w:pPr>
            <w:r>
              <w:rPr>
                <w:b w:val="0"/>
                <w:color w:val="000000"/>
                <w:sz w:val="19"/>
              </w:rPr>
              <w:t>POC recommendation complete</w:t>
            </w:r>
          </w:p>
        </w:tc>
        <w:tc>
          <w:tcPr>
            <w:tcW w:type="dxa" w:w="3312"/>
            <w:vAlign w:val="center"/>
            <w:tcMar>
              <w:top w:w="100" w:type="dxa"/>
              <w:bottom w:w="100" w:type="dxa"/>
              <w:left w:w="100" w:type="dxa"/>
              <w:right w:w="100" w:type="dxa"/>
            </w:tcMar>
            <w:shd w:fill="FFFFFF"/>
          </w:tcPr>
          <w:p>
            <w:pPr>
              <w:spacing w:after="0" w:line="245" w:lineRule="auto"/>
              <w:jc w:val="center"/>
            </w:pPr>
            <w:r>
              <w:rPr>
                <w:b w:val="0"/>
                <w:color w:val="000000"/>
                <w:sz w:val="19"/>
              </w:rPr>
              <w:t>13 November 2026</w:t>
            </w:r>
          </w:p>
        </w:tc>
      </w:tr>
      <w:tr>
        <w:trPr>
          <w:cantSplit/>
        </w:trPr>
        <w:tc>
          <w:tcPr>
            <w:tcW w:type="dxa" w:w="6768"/>
            <w:vAlign w:val="center"/>
            <w:tcMar>
              <w:top w:w="100" w:type="dxa"/>
              <w:bottom w:w="100" w:type="dxa"/>
              <w:left w:w="100" w:type="dxa"/>
              <w:right w:w="100" w:type="dxa"/>
            </w:tcMar>
            <w:shd w:fill="F2F6FA"/>
          </w:tcPr>
          <w:p>
            <w:pPr>
              <w:spacing w:after="0" w:line="245" w:lineRule="auto"/>
            </w:pPr>
            <w:r>
              <w:rPr>
                <w:b w:val="0"/>
                <w:color w:val="000000"/>
                <w:sz w:val="19"/>
              </w:rPr>
              <w:t>Management contingency date</w:t>
            </w:r>
          </w:p>
        </w:tc>
        <w:tc>
          <w:tcPr>
            <w:tcW w:type="dxa" w:w="3312"/>
            <w:vAlign w:val="center"/>
            <w:tcMar>
              <w:top w:w="100" w:type="dxa"/>
              <w:bottom w:w="100" w:type="dxa"/>
              <w:left w:w="100" w:type="dxa"/>
              <w:right w:w="100" w:type="dxa"/>
            </w:tcMar>
            <w:shd w:fill="F2F6FA"/>
          </w:tcPr>
          <w:p>
            <w:pPr>
              <w:spacing w:after="0" w:line="245" w:lineRule="auto"/>
              <w:jc w:val="center"/>
            </w:pPr>
            <w:r>
              <w:rPr>
                <w:b w:val="0"/>
                <w:color w:val="000000"/>
                <w:sz w:val="19"/>
              </w:rPr>
              <w:t>4 December 2026</w:t>
            </w:r>
          </w:p>
        </w:tc>
      </w:tr>
    </w:tbl>
    <w:p>
      <w:pPr>
        <w:pStyle w:val="Heading1"/>
      </w:pPr>
      <w:r>
        <w:t>POC Acceptance Criteria</w:t>
      </w:r>
    </w:p>
    <w:p>
      <w:pPr>
        <w:pStyle w:val="ListBullet"/>
        <w:spacing w:after="60"/>
      </w:pPr>
      <w:r>
        <w:t>DataWalk runs on its dedicated Azure CPU cluster and does not share workers, storage, secrets, database, ingress or upgrade lifecycle with Hyperscience.</w:t>
      </w:r>
    </w:p>
    <w:p>
      <w:pPr>
        <w:pStyle w:val="ListBullet"/>
        <w:spacing w:after="60"/>
      </w:pPr>
      <w:r>
        <w:t>Hyperscience runs on its dedicated Azure GPU infrastructure, and the selected workload can see and use the approved NVIDIA A10 capacity.</w:t>
      </w:r>
    </w:p>
    <w:p>
      <w:pPr>
        <w:pStyle w:val="ListBullet"/>
        <w:spacing w:after="60"/>
      </w:pPr>
      <w:r>
        <w:t>Administrators reach both environments privately from the approved jump host through ExpressRoute and the enterprise security inspection path.</w:t>
      </w:r>
    </w:p>
    <w:p>
      <w:pPr>
        <w:pStyle w:val="ListBullet"/>
        <w:spacing w:after="60"/>
      </w:pPr>
      <w:r>
        <w:t>Users reach private HTTPS application endpoints without public application IP addresses.</w:t>
      </w:r>
    </w:p>
    <w:p>
      <w:pPr>
        <w:pStyle w:val="ListBullet"/>
        <w:spacing w:after="60"/>
      </w:pPr>
      <w:r>
        <w:t>Hyperscience processes the representative document set and meets the accuracy target agreed before testing.</w:t>
      </w:r>
    </w:p>
    <w:p>
      <w:pPr>
        <w:pStyle w:val="ListBullet"/>
        <w:spacing w:after="60"/>
      </w:pPr>
      <w:r>
        <w:t>The controlled handoff delivers expected Hyperscience output to DataWalk without unexplained missing documents or duplicate records.</w:t>
      </w:r>
    </w:p>
    <w:p>
      <w:pPr>
        <w:pStyle w:val="ListBullet"/>
        <w:spacing w:after="60"/>
      </w:pPr>
      <w:r>
        <w:t>DataWalk ingestion and representative queries produce the expected results within the approved performance tolerance.</w:t>
      </w:r>
    </w:p>
    <w:p>
      <w:pPr>
        <w:pStyle w:val="ListBullet"/>
        <w:spacing w:after="60"/>
      </w:pPr>
      <w:r>
        <w:t>Application-consistent backup and restore tests complete within the agreed recovery target.</w:t>
      </w:r>
    </w:p>
    <w:p>
      <w:pPr>
        <w:pStyle w:val="ListBullet"/>
        <w:spacing w:after="60"/>
      </w:pPr>
      <w:r>
        <w:t>Required logs reach Azure Monitor and Log Analytics, and the named responder receives a test alert.</w:t>
      </w:r>
    </w:p>
    <w:p>
      <w:pPr>
        <w:pStyle w:val="ListBullet"/>
        <w:spacing w:after="60"/>
      </w:pPr>
      <w:r>
        <w:t>No unresolved critical or high security finding remains without an approved POC disposition.</w:t>
      </w:r>
    </w:p>
    <w:p>
      <w:pPr>
        <w:pStyle w:val="ListBullet"/>
        <w:spacing w:after="60"/>
      </w:pPr>
      <w:r>
        <w:t>Actual consumption stays within the approved POC budget, and the final report separates measured POC cost from the production forecast.</w:t>
      </w:r>
    </w:p>
    <w:p>
      <w:pPr>
        <w:pStyle w:val="Heading1"/>
      </w:pPr>
      <w:r>
        <w:t>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100" w:type="dxa"/>
              <w:bottom w:w="100" w:type="dxa"/>
              <w:left w:w="100" w:type="dxa"/>
              <w:right w:w="100" w:type="dxa"/>
            </w:tcMar>
            <w:shd w:fill="203864"/>
          </w:tcPr>
          <w:p>
            <w:pPr>
              <w:spacing w:after="0" w:line="245" w:lineRule="auto"/>
            </w:pPr>
            <w:r>
              <w:rPr>
                <w:b/>
                <w:color w:val="FFFFFF"/>
                <w:sz w:val="19"/>
              </w:rPr>
              <w:t>Role</w:t>
            </w:r>
          </w:p>
        </w:tc>
        <w:tc>
          <w:tcPr>
            <w:tcW w:type="dxa" w:w="7632"/>
            <w:vAlign w:val="center"/>
            <w:tcMar>
              <w:top w:w="100" w:type="dxa"/>
              <w:bottom w:w="100" w:type="dxa"/>
              <w:left w:w="100" w:type="dxa"/>
              <w:right w:w="100" w:type="dxa"/>
            </w:tcMar>
            <w:shd w:fill="203864"/>
          </w:tcPr>
          <w:p>
            <w:pPr>
              <w:spacing w:after="0" w:line="245" w:lineRule="auto"/>
            </w:pPr>
            <w:r>
              <w:rPr>
                <w:b/>
                <w:color w:val="FFFFFF"/>
                <w:sz w:val="19"/>
              </w:rPr>
              <w:t>Primary responsibility</w:t>
            </w:r>
          </w:p>
        </w:tc>
      </w:tr>
      <w:tr>
        <w:trPr>
          <w:cantSplit/>
        </w:trPr>
        <w:tc>
          <w:tcPr>
            <w:tcW w:type="dxa" w:w="2448"/>
            <w:vAlign w:val="center"/>
            <w:tcMar>
              <w:top w:w="100" w:type="dxa"/>
              <w:bottom w:w="100" w:type="dxa"/>
              <w:left w:w="100" w:type="dxa"/>
              <w:right w:w="100" w:type="dxa"/>
            </w:tcMar>
            <w:shd w:fill="FFFFFF"/>
          </w:tcPr>
          <w:p>
            <w:pPr>
              <w:spacing w:after="0" w:line="245" w:lineRule="auto"/>
            </w:pPr>
            <w:r>
              <w:rPr>
                <w:b w:val="0"/>
                <w:color w:val="000000"/>
                <w:sz w:val="19"/>
              </w:rPr>
              <w:t>Project manager</w:t>
            </w:r>
          </w:p>
        </w:tc>
        <w:tc>
          <w:tcPr>
            <w:tcW w:type="dxa" w:w="7632"/>
            <w:vAlign w:val="center"/>
            <w:tcMar>
              <w:top w:w="100" w:type="dxa"/>
              <w:bottom w:w="100" w:type="dxa"/>
              <w:left w:w="100" w:type="dxa"/>
              <w:right w:w="100" w:type="dxa"/>
            </w:tcMar>
            <w:shd w:fill="FFFFFF"/>
          </w:tcPr>
          <w:p>
            <w:pPr>
              <w:spacing w:after="0" w:line="245" w:lineRule="auto"/>
            </w:pPr>
            <w:r>
              <w:rPr>
                <w:b w:val="0"/>
                <w:color w:val="000000"/>
                <w:sz w:val="19"/>
              </w:rPr>
              <w:t>Maintain schedule, dependencies, decisions, risks, vendor sessions and acceptance evidence.</w:t>
            </w:r>
          </w:p>
        </w:tc>
      </w:tr>
      <w:tr>
        <w:trPr>
          <w:cantSplit/>
        </w:trPr>
        <w:tc>
          <w:tcPr>
            <w:tcW w:type="dxa" w:w="2448"/>
            <w:vAlign w:val="center"/>
            <w:tcMar>
              <w:top w:w="100" w:type="dxa"/>
              <w:bottom w:w="100" w:type="dxa"/>
              <w:left w:w="100" w:type="dxa"/>
              <w:right w:w="100" w:type="dxa"/>
            </w:tcMar>
            <w:shd w:fill="F2F6FA"/>
          </w:tcPr>
          <w:p>
            <w:pPr>
              <w:spacing w:after="0" w:line="245" w:lineRule="auto"/>
            </w:pPr>
            <w:r>
              <w:rPr>
                <w:b w:val="0"/>
                <w:color w:val="000000"/>
                <w:sz w:val="19"/>
              </w:rPr>
              <w:t>Azure engineering</w:t>
            </w:r>
          </w:p>
        </w:tc>
        <w:tc>
          <w:tcPr>
            <w:tcW w:type="dxa" w:w="7632"/>
            <w:vAlign w:val="center"/>
            <w:tcMar>
              <w:top w:w="100" w:type="dxa"/>
              <w:bottom w:w="100" w:type="dxa"/>
              <w:left w:w="100" w:type="dxa"/>
              <w:right w:w="100" w:type="dxa"/>
            </w:tcMar>
            <w:shd w:fill="F2F6FA"/>
          </w:tcPr>
          <w:p>
            <w:pPr>
              <w:spacing w:after="0" w:line="245" w:lineRule="auto"/>
            </w:pPr>
            <w:r>
              <w:rPr>
                <w:b w:val="0"/>
                <w:color w:val="000000"/>
                <w:sz w:val="19"/>
              </w:rPr>
              <w:t>Design and deploy the Azure foundation, compute, storage, monitoring and Terraform.</w:t>
            </w:r>
          </w:p>
        </w:tc>
      </w:tr>
      <w:tr>
        <w:trPr>
          <w:cantSplit/>
        </w:trPr>
        <w:tc>
          <w:tcPr>
            <w:tcW w:type="dxa" w:w="2448"/>
            <w:vAlign w:val="center"/>
            <w:tcMar>
              <w:top w:w="100" w:type="dxa"/>
              <w:bottom w:w="100" w:type="dxa"/>
              <w:left w:w="100" w:type="dxa"/>
              <w:right w:w="100" w:type="dxa"/>
            </w:tcMar>
            <w:shd w:fill="FFFFFF"/>
          </w:tcPr>
          <w:p>
            <w:pPr>
              <w:spacing w:after="0" w:line="245" w:lineRule="auto"/>
            </w:pPr>
            <w:r>
              <w:rPr>
                <w:b w:val="0"/>
                <w:color w:val="000000"/>
                <w:sz w:val="19"/>
              </w:rPr>
              <w:t>Network and security</w:t>
            </w:r>
          </w:p>
        </w:tc>
        <w:tc>
          <w:tcPr>
            <w:tcW w:type="dxa" w:w="7632"/>
            <w:vAlign w:val="center"/>
            <w:tcMar>
              <w:top w:w="100" w:type="dxa"/>
              <w:bottom w:w="100" w:type="dxa"/>
              <w:left w:w="100" w:type="dxa"/>
              <w:right w:w="100" w:type="dxa"/>
            </w:tcMar>
            <w:shd w:fill="FFFFFF"/>
          </w:tcPr>
          <w:p>
            <w:pPr>
              <w:spacing w:after="0" w:line="245" w:lineRule="auto"/>
            </w:pPr>
            <w:r>
              <w:rPr>
                <w:b w:val="0"/>
                <w:color w:val="000000"/>
                <w:sz w:val="19"/>
              </w:rPr>
              <w:t>Approve routing, firewall rules, DNS, access controls, logging and security findings.</w:t>
            </w:r>
          </w:p>
        </w:tc>
      </w:tr>
      <w:tr>
        <w:trPr>
          <w:cantSplit/>
        </w:trPr>
        <w:tc>
          <w:tcPr>
            <w:tcW w:type="dxa" w:w="2448"/>
            <w:vAlign w:val="center"/>
            <w:tcMar>
              <w:top w:w="100" w:type="dxa"/>
              <w:bottom w:w="100" w:type="dxa"/>
              <w:left w:w="100" w:type="dxa"/>
              <w:right w:w="100" w:type="dxa"/>
            </w:tcMar>
            <w:shd w:fill="F2F6FA"/>
          </w:tcPr>
          <w:p>
            <w:pPr>
              <w:spacing w:after="0" w:line="245" w:lineRule="auto"/>
            </w:pPr>
            <w:r>
              <w:rPr>
                <w:b w:val="0"/>
                <w:color w:val="000000"/>
                <w:sz w:val="19"/>
              </w:rPr>
              <w:t>Kubernetes engineer</w:t>
            </w:r>
          </w:p>
        </w:tc>
        <w:tc>
          <w:tcPr>
            <w:tcW w:type="dxa" w:w="7632"/>
            <w:vAlign w:val="center"/>
            <w:tcMar>
              <w:top w:w="100" w:type="dxa"/>
              <w:bottom w:w="100" w:type="dxa"/>
              <w:left w:w="100" w:type="dxa"/>
              <w:right w:w="100" w:type="dxa"/>
            </w:tcMar>
            <w:shd w:fill="F2F6FA"/>
          </w:tcPr>
          <w:p>
            <w:pPr>
              <w:spacing w:after="0" w:line="245" w:lineRule="auto"/>
            </w:pPr>
            <w:r>
              <w:rPr>
                <w:b w:val="0"/>
                <w:color w:val="000000"/>
                <w:sz w:val="19"/>
              </w:rPr>
              <w:t>Build, secure and operate the separate DataWalk and Hyperscience clusters.</w:t>
            </w:r>
          </w:p>
        </w:tc>
      </w:tr>
      <w:tr>
        <w:trPr>
          <w:cantSplit/>
        </w:trPr>
        <w:tc>
          <w:tcPr>
            <w:tcW w:type="dxa" w:w="2448"/>
            <w:vAlign w:val="center"/>
            <w:tcMar>
              <w:top w:w="100" w:type="dxa"/>
              <w:bottom w:w="100" w:type="dxa"/>
              <w:left w:w="100" w:type="dxa"/>
              <w:right w:w="100" w:type="dxa"/>
            </w:tcMar>
            <w:shd w:fill="FFFFFF"/>
          </w:tcPr>
          <w:p>
            <w:pPr>
              <w:spacing w:after="0" w:line="245" w:lineRule="auto"/>
            </w:pPr>
            <w:r>
              <w:rPr>
                <w:b w:val="0"/>
                <w:color w:val="000000"/>
                <w:sz w:val="19"/>
              </w:rPr>
              <w:t>DataWalk team</w:t>
            </w:r>
          </w:p>
        </w:tc>
        <w:tc>
          <w:tcPr>
            <w:tcW w:type="dxa" w:w="7632"/>
            <w:vAlign w:val="center"/>
            <w:tcMar>
              <w:top w:w="100" w:type="dxa"/>
              <w:bottom w:w="100" w:type="dxa"/>
              <w:left w:w="100" w:type="dxa"/>
              <w:right w:w="100" w:type="dxa"/>
            </w:tcMar>
            <w:shd w:fill="FFFFFF"/>
          </w:tcPr>
          <w:p>
            <w:pPr>
              <w:spacing w:after="0" w:line="245" w:lineRule="auto"/>
            </w:pPr>
            <w:r>
              <w:rPr>
                <w:b w:val="0"/>
                <w:color w:val="000000"/>
                <w:sz w:val="19"/>
              </w:rPr>
              <w:t>Approve sizing and platform support; install and validate DataWalk.</w:t>
            </w:r>
          </w:p>
        </w:tc>
      </w:tr>
      <w:tr>
        <w:trPr>
          <w:cantSplit/>
        </w:trPr>
        <w:tc>
          <w:tcPr>
            <w:tcW w:type="dxa" w:w="2448"/>
            <w:vAlign w:val="center"/>
            <w:tcMar>
              <w:top w:w="100" w:type="dxa"/>
              <w:bottom w:w="100" w:type="dxa"/>
              <w:left w:w="100" w:type="dxa"/>
              <w:right w:w="100" w:type="dxa"/>
            </w:tcMar>
            <w:shd w:fill="F2F6FA"/>
          </w:tcPr>
          <w:p>
            <w:pPr>
              <w:spacing w:after="0" w:line="245" w:lineRule="auto"/>
            </w:pPr>
            <w:r>
              <w:rPr>
                <w:b w:val="0"/>
                <w:color w:val="000000"/>
                <w:sz w:val="19"/>
              </w:rPr>
              <w:t>Hyperscience team</w:t>
            </w:r>
          </w:p>
        </w:tc>
        <w:tc>
          <w:tcPr>
            <w:tcW w:type="dxa" w:w="7632"/>
            <w:vAlign w:val="center"/>
            <w:tcMar>
              <w:top w:w="100" w:type="dxa"/>
              <w:bottom w:w="100" w:type="dxa"/>
              <w:left w:w="100" w:type="dxa"/>
              <w:right w:w="100" w:type="dxa"/>
            </w:tcMar>
            <w:shd w:fill="F2F6FA"/>
          </w:tcPr>
          <w:p>
            <w:pPr>
              <w:spacing w:after="0" w:line="245" w:lineRule="auto"/>
            </w:pPr>
            <w:r>
              <w:rPr>
                <w:b w:val="0"/>
                <w:color w:val="000000"/>
                <w:sz w:val="19"/>
              </w:rPr>
              <w:t>Approve GPU, driver, CUDA and platform support; install and validate Hyperscience.</w:t>
            </w:r>
          </w:p>
        </w:tc>
      </w:tr>
      <w:tr>
        <w:trPr>
          <w:cantSplit/>
        </w:trPr>
        <w:tc>
          <w:tcPr>
            <w:tcW w:type="dxa" w:w="2448"/>
            <w:vAlign w:val="center"/>
            <w:tcMar>
              <w:top w:w="100" w:type="dxa"/>
              <w:bottom w:w="100" w:type="dxa"/>
              <w:left w:w="100" w:type="dxa"/>
              <w:right w:w="100" w:type="dxa"/>
            </w:tcMar>
            <w:shd w:fill="FFFFFF"/>
          </w:tcPr>
          <w:p>
            <w:pPr>
              <w:spacing w:after="0" w:line="245" w:lineRule="auto"/>
            </w:pPr>
            <w:r>
              <w:rPr>
                <w:b w:val="0"/>
                <w:color w:val="000000"/>
                <w:sz w:val="19"/>
              </w:rPr>
              <w:t>Application owners</w:t>
            </w:r>
          </w:p>
        </w:tc>
        <w:tc>
          <w:tcPr>
            <w:tcW w:type="dxa" w:w="7632"/>
            <w:vAlign w:val="center"/>
            <w:tcMar>
              <w:top w:w="100" w:type="dxa"/>
              <w:bottom w:w="100" w:type="dxa"/>
              <w:left w:w="100" w:type="dxa"/>
              <w:right w:w="100" w:type="dxa"/>
            </w:tcMar>
            <w:shd w:fill="FFFFFF"/>
          </w:tcPr>
          <w:p>
            <w:pPr>
              <w:spacing w:after="0" w:line="245" w:lineRule="auto"/>
            </w:pPr>
            <w:r>
              <w:rPr>
                <w:b w:val="0"/>
                <w:color w:val="000000"/>
                <w:sz w:val="19"/>
              </w:rPr>
              <w:t>Provide test data, baselines, integration behavior and user acceptance.</w:t>
            </w:r>
          </w:p>
        </w:tc>
      </w:tr>
      <w:tr>
        <w:trPr>
          <w:cantSplit/>
        </w:trPr>
        <w:tc>
          <w:tcPr>
            <w:tcW w:type="dxa" w:w="2448"/>
            <w:vAlign w:val="center"/>
            <w:tcMar>
              <w:top w:w="100" w:type="dxa"/>
              <w:bottom w:w="100" w:type="dxa"/>
              <w:left w:w="100" w:type="dxa"/>
              <w:right w:w="100" w:type="dxa"/>
            </w:tcMar>
            <w:shd w:fill="F2F6FA"/>
          </w:tcPr>
          <w:p>
            <w:pPr>
              <w:spacing w:after="0" w:line="245" w:lineRule="auto"/>
            </w:pPr>
            <w:r>
              <w:rPr>
                <w:b w:val="0"/>
                <w:color w:val="000000"/>
                <w:sz w:val="19"/>
              </w:rPr>
              <w:t>Sponsor and budget owner</w:t>
            </w:r>
          </w:p>
        </w:tc>
        <w:tc>
          <w:tcPr>
            <w:tcW w:type="dxa" w:w="7632"/>
            <w:vAlign w:val="center"/>
            <w:tcMar>
              <w:top w:w="100" w:type="dxa"/>
              <w:bottom w:w="100" w:type="dxa"/>
              <w:left w:w="100" w:type="dxa"/>
              <w:right w:w="100" w:type="dxa"/>
            </w:tcMar>
            <w:shd w:fill="F2F6FA"/>
          </w:tcPr>
          <w:p>
            <w:pPr>
              <w:spacing w:after="0" w:line="245" w:lineRule="auto"/>
            </w:pPr>
            <w:r>
              <w:rPr>
                <w:b w:val="0"/>
                <w:color w:val="000000"/>
                <w:sz w:val="19"/>
              </w:rPr>
              <w:t>Approve scope, funding, exceptions and the final POC recommendation.</w:t>
            </w:r>
          </w:p>
        </w:tc>
      </w:tr>
    </w:tbl>
    <w:p>
      <w:pPr>
        <w:pStyle w:val="Heading1"/>
      </w:pPr>
      <w:r>
        <w:t>Schedule Risks and Decision Gates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5184"/>
      </w:tblGrid>
      <w:tr>
        <w:trPr>
          <w:cantSplit/>
          <w:tblHeader/>
        </w:trPr>
        <w:tc>
          <w:tcPr>
            <w:tcW w:type="dxa" w:w="3096"/>
            <w:vAlign w:val="center"/>
            <w:tcMar>
              <w:top w:w="100" w:type="dxa"/>
              <w:bottom w:w="100" w:type="dxa"/>
              <w:left w:w="100" w:type="dxa"/>
              <w:right w:w="100" w:type="dxa"/>
            </w:tcMar>
            <w:shd w:fill="203864"/>
          </w:tcPr>
          <w:p>
            <w:pPr>
              <w:spacing w:after="0" w:line="245" w:lineRule="auto"/>
            </w:pPr>
            <w:r>
              <w:rPr>
                <w:b/>
                <w:color w:val="FFFFFF"/>
                <w:sz w:val="18"/>
              </w:rPr>
              <w:t>Risk or gate</w:t>
            </w:r>
          </w:p>
        </w:tc>
        <w:tc>
          <w:tcPr>
            <w:tcW w:type="dxa" w:w="1800"/>
            <w:vAlign w:val="center"/>
            <w:tcMar>
              <w:top w:w="100" w:type="dxa"/>
              <w:bottom w:w="100" w:type="dxa"/>
              <w:left w:w="100" w:type="dxa"/>
              <w:right w:w="100" w:type="dxa"/>
            </w:tcMar>
            <w:shd w:fill="203864"/>
          </w:tcPr>
          <w:p>
            <w:pPr>
              <w:spacing w:after="0" w:line="245" w:lineRule="auto"/>
              <w:jc w:val="center"/>
            </w:pPr>
            <w:r>
              <w:rPr>
                <w:b/>
                <w:color w:val="FFFFFF"/>
                <w:sz w:val="18"/>
              </w:rPr>
              <w:t>Potential impact</w:t>
            </w:r>
          </w:p>
        </w:tc>
        <w:tc>
          <w:tcPr>
            <w:tcW w:type="dxa" w:w="5184"/>
            <w:vAlign w:val="center"/>
            <w:tcMar>
              <w:top w:w="100" w:type="dxa"/>
              <w:bottom w:w="100" w:type="dxa"/>
              <w:left w:w="100" w:type="dxa"/>
              <w:right w:w="100" w:type="dxa"/>
            </w:tcMar>
            <w:shd w:fill="203864"/>
          </w:tcPr>
          <w:p>
            <w:pPr>
              <w:spacing w:after="0" w:line="245" w:lineRule="auto"/>
            </w:pPr>
            <w:r>
              <w:rPr>
                <w:b/>
                <w:color w:val="FFFFFF"/>
                <w:sz w:val="18"/>
              </w:rPr>
              <w:t>Required response</w:t>
            </w:r>
          </w:p>
        </w:tc>
      </w:tr>
      <w:tr>
        <w:trPr>
          <w:cantSplit/>
        </w:trPr>
        <w:tc>
          <w:tcPr>
            <w:tcW w:type="dxa" w:w="3096"/>
            <w:vAlign w:val="center"/>
            <w:tcMar>
              <w:top w:w="100" w:type="dxa"/>
              <w:bottom w:w="100" w:type="dxa"/>
              <w:left w:w="100" w:type="dxa"/>
              <w:right w:w="100" w:type="dxa"/>
            </w:tcMar>
            <w:shd w:fill="FFFFFF"/>
          </w:tcPr>
          <w:p>
            <w:pPr>
              <w:spacing w:after="0" w:line="245" w:lineRule="auto"/>
            </w:pPr>
            <w:r>
              <w:rPr>
                <w:b w:val="0"/>
                <w:color w:val="000000"/>
                <w:sz w:val="18"/>
              </w:rPr>
              <w:t>A10 SKU unavailable or quota denied</w:t>
            </w:r>
          </w:p>
        </w:tc>
        <w:tc>
          <w:tcPr>
            <w:tcW w:type="dxa" w:w="1800"/>
            <w:vAlign w:val="center"/>
            <w:tcMar>
              <w:top w:w="100" w:type="dxa"/>
              <w:bottom w:w="100" w:type="dxa"/>
              <w:left w:w="100" w:type="dxa"/>
              <w:right w:w="100" w:type="dxa"/>
            </w:tcMar>
            <w:shd w:fill="FFFFFF"/>
          </w:tcPr>
          <w:p>
            <w:pPr>
              <w:spacing w:after="0" w:line="245" w:lineRule="auto"/>
              <w:jc w:val="center"/>
            </w:pPr>
            <w:r>
              <w:rPr>
                <w:b w:val="0"/>
                <w:color w:val="000000"/>
                <w:sz w:val="18"/>
              </w:rPr>
              <w:t>Two to six weeks</w:t>
            </w:r>
          </w:p>
        </w:tc>
        <w:tc>
          <w:tcPr>
            <w:tcW w:type="dxa" w:w="5184"/>
            <w:vAlign w:val="center"/>
            <w:tcMar>
              <w:top w:w="100" w:type="dxa"/>
              <w:bottom w:w="100" w:type="dxa"/>
              <w:left w:w="100" w:type="dxa"/>
              <w:right w:w="100" w:type="dxa"/>
            </w:tcMar>
            <w:shd w:fill="FFFFFF"/>
          </w:tcPr>
          <w:p>
            <w:pPr>
              <w:spacing w:after="0" w:line="245" w:lineRule="auto"/>
            </w:pPr>
            <w:r>
              <w:rPr>
                <w:b w:val="0"/>
                <w:color w:val="000000"/>
                <w:sz w:val="18"/>
              </w:rPr>
              <w:t>Confirm capacity and submit quota requests during Week 1. Do not substitute another GPU without Hyperscience approval.</w:t>
            </w:r>
          </w:p>
        </w:tc>
      </w:tr>
      <w:tr>
        <w:trPr>
          <w:cantSplit/>
        </w:trPr>
        <w:tc>
          <w:tcPr>
            <w:tcW w:type="dxa" w:w="3096"/>
            <w:vAlign w:val="center"/>
            <w:tcMar>
              <w:top w:w="100" w:type="dxa"/>
              <w:bottom w:w="100" w:type="dxa"/>
              <w:left w:w="100" w:type="dxa"/>
              <w:right w:w="100" w:type="dxa"/>
            </w:tcMar>
            <w:shd w:fill="F2F6FA"/>
          </w:tcPr>
          <w:p>
            <w:pPr>
              <w:spacing w:after="0" w:line="245" w:lineRule="auto"/>
            </w:pPr>
            <w:r>
              <w:rPr>
                <w:b w:val="0"/>
                <w:color w:val="000000"/>
                <w:sz w:val="18"/>
              </w:rPr>
              <w:t>New ExpressRoute connection required</w:t>
            </w:r>
          </w:p>
        </w:tc>
        <w:tc>
          <w:tcPr>
            <w:tcW w:type="dxa" w:w="1800"/>
            <w:vAlign w:val="center"/>
            <w:tcMar>
              <w:top w:w="100" w:type="dxa"/>
              <w:bottom w:w="100" w:type="dxa"/>
              <w:left w:w="100" w:type="dxa"/>
              <w:right w:w="100" w:type="dxa"/>
            </w:tcMar>
            <w:shd w:fill="F2F6FA"/>
          </w:tcPr>
          <w:p>
            <w:pPr>
              <w:spacing w:after="0" w:line="245" w:lineRule="auto"/>
              <w:jc w:val="center"/>
            </w:pPr>
            <w:r>
              <w:rPr>
                <w:b w:val="0"/>
                <w:color w:val="000000"/>
                <w:sz w:val="18"/>
              </w:rPr>
              <w:t>Four to eight weeks or more</w:t>
            </w:r>
          </w:p>
        </w:tc>
        <w:tc>
          <w:tcPr>
            <w:tcW w:type="dxa" w:w="5184"/>
            <w:vAlign w:val="center"/>
            <w:tcMar>
              <w:top w:w="100" w:type="dxa"/>
              <w:bottom w:w="100" w:type="dxa"/>
              <w:left w:w="100" w:type="dxa"/>
              <w:right w:w="100" w:type="dxa"/>
            </w:tcMar>
            <w:shd w:fill="F2F6FA"/>
          </w:tcPr>
          <w:p>
            <w:pPr>
              <w:spacing w:after="0" w:line="245" w:lineRule="auto"/>
            </w:pPr>
            <w:r>
              <w:rPr>
                <w:b w:val="0"/>
                <w:color w:val="000000"/>
                <w:sz w:val="18"/>
              </w:rPr>
              <w:t>Use the existing enterprise connection when available. Rebaseline the schedule if a new circuit is required.</w:t>
            </w:r>
          </w:p>
        </w:tc>
      </w:tr>
      <w:tr>
        <w:trPr>
          <w:cantSplit/>
        </w:trPr>
        <w:tc>
          <w:tcPr>
            <w:tcW w:type="dxa" w:w="3096"/>
            <w:vAlign w:val="center"/>
            <w:tcMar>
              <w:top w:w="100" w:type="dxa"/>
              <w:bottom w:w="100" w:type="dxa"/>
              <w:left w:w="100" w:type="dxa"/>
              <w:right w:w="100" w:type="dxa"/>
            </w:tcMar>
            <w:shd w:fill="FFFFFF"/>
          </w:tcPr>
          <w:p>
            <w:pPr>
              <w:spacing w:after="0" w:line="245" w:lineRule="auto"/>
            </w:pPr>
            <w:r>
              <w:rPr>
                <w:b w:val="0"/>
                <w:color w:val="000000"/>
                <w:sz w:val="18"/>
              </w:rPr>
              <w:t>Vendor does not approve the selected OS, Kubernetes release or Azure SKU</w:t>
            </w:r>
          </w:p>
        </w:tc>
        <w:tc>
          <w:tcPr>
            <w:tcW w:type="dxa" w:w="1800"/>
            <w:vAlign w:val="center"/>
            <w:tcMar>
              <w:top w:w="100" w:type="dxa"/>
              <w:bottom w:w="100" w:type="dxa"/>
              <w:left w:w="100" w:type="dxa"/>
              <w:right w:w="100" w:type="dxa"/>
            </w:tcMar>
            <w:shd w:fill="FFFFFF"/>
          </w:tcPr>
          <w:p>
            <w:pPr>
              <w:spacing w:after="0" w:line="245" w:lineRule="auto"/>
              <w:jc w:val="center"/>
            </w:pPr>
            <w:r>
              <w:rPr>
                <w:b w:val="0"/>
                <w:color w:val="000000"/>
                <w:sz w:val="18"/>
              </w:rPr>
              <w:t>One to three weeks</w:t>
            </w:r>
          </w:p>
        </w:tc>
        <w:tc>
          <w:tcPr>
            <w:tcW w:type="dxa" w:w="5184"/>
            <w:vAlign w:val="center"/>
            <w:tcMar>
              <w:top w:w="100" w:type="dxa"/>
              <w:bottom w:w="100" w:type="dxa"/>
              <w:left w:w="100" w:type="dxa"/>
              <w:right w:w="100" w:type="dxa"/>
            </w:tcMar>
            <w:shd w:fill="FFFFFF"/>
          </w:tcPr>
          <w:p>
            <w:pPr>
              <w:spacing w:after="0" w:line="245" w:lineRule="auto"/>
            </w:pPr>
            <w:r>
              <w:rPr>
                <w:b w:val="0"/>
                <w:color w:val="000000"/>
                <w:sz w:val="18"/>
              </w:rPr>
              <w:t>Obtain written decisions before infrastructure deployment and price the supported alternative.</w:t>
            </w:r>
          </w:p>
        </w:tc>
      </w:tr>
      <w:tr>
        <w:trPr>
          <w:cantSplit/>
        </w:trPr>
        <w:tc>
          <w:tcPr>
            <w:tcW w:type="dxa" w:w="3096"/>
            <w:vAlign w:val="center"/>
            <w:tcMar>
              <w:top w:w="100" w:type="dxa"/>
              <w:bottom w:w="100" w:type="dxa"/>
              <w:left w:w="100" w:type="dxa"/>
              <w:right w:w="100" w:type="dxa"/>
            </w:tcMar>
            <w:shd w:fill="F2F6FA"/>
          </w:tcPr>
          <w:p>
            <w:pPr>
              <w:spacing w:after="0" w:line="245" w:lineRule="auto"/>
            </w:pPr>
            <w:r>
              <w:rPr>
                <w:b w:val="0"/>
                <w:color w:val="000000"/>
                <w:sz w:val="18"/>
              </w:rPr>
              <w:t>Security authorization requires additional controls</w:t>
            </w:r>
          </w:p>
        </w:tc>
        <w:tc>
          <w:tcPr>
            <w:tcW w:type="dxa" w:w="1800"/>
            <w:vAlign w:val="center"/>
            <w:tcMar>
              <w:top w:w="100" w:type="dxa"/>
              <w:bottom w:w="100" w:type="dxa"/>
              <w:left w:w="100" w:type="dxa"/>
              <w:right w:w="100" w:type="dxa"/>
            </w:tcMar>
            <w:shd w:fill="F2F6FA"/>
          </w:tcPr>
          <w:p>
            <w:pPr>
              <w:spacing w:after="0" w:line="245" w:lineRule="auto"/>
              <w:jc w:val="center"/>
            </w:pPr>
            <w:r>
              <w:rPr>
                <w:b w:val="0"/>
                <w:color w:val="000000"/>
                <w:sz w:val="18"/>
              </w:rPr>
              <w:t>Two to four weeks</w:t>
            </w:r>
          </w:p>
        </w:tc>
        <w:tc>
          <w:tcPr>
            <w:tcW w:type="dxa" w:w="5184"/>
            <w:vAlign w:val="center"/>
            <w:tcMar>
              <w:top w:w="100" w:type="dxa"/>
              <w:bottom w:w="100" w:type="dxa"/>
              <w:left w:w="100" w:type="dxa"/>
              <w:right w:w="100" w:type="dxa"/>
            </w:tcMar>
            <w:shd w:fill="F2F6FA"/>
          </w:tcPr>
          <w:p>
            <w:pPr>
              <w:spacing w:after="0" w:line="245" w:lineRule="auto"/>
            </w:pPr>
            <w:r>
              <w:rPr>
                <w:b w:val="0"/>
                <w:color w:val="000000"/>
                <w:sz w:val="18"/>
              </w:rPr>
              <w:t>Start the security review in Week 1 and track each control owner and evidence item.</w:t>
            </w:r>
          </w:p>
        </w:tc>
      </w:tr>
      <w:tr>
        <w:trPr>
          <w:cantSplit/>
        </w:trPr>
        <w:tc>
          <w:tcPr>
            <w:tcW w:type="dxa" w:w="3096"/>
            <w:vAlign w:val="center"/>
            <w:tcMar>
              <w:top w:w="100" w:type="dxa"/>
              <w:bottom w:w="100" w:type="dxa"/>
              <w:left w:w="100" w:type="dxa"/>
              <w:right w:w="100" w:type="dxa"/>
            </w:tcMar>
            <w:shd w:fill="FFFFFF"/>
          </w:tcPr>
          <w:p>
            <w:pPr>
              <w:spacing w:after="0" w:line="245" w:lineRule="auto"/>
            </w:pPr>
            <w:r>
              <w:rPr>
                <w:b w:val="0"/>
                <w:color w:val="000000"/>
                <w:sz w:val="18"/>
              </w:rPr>
              <w:t>Vendor engineering resources are unavailable</w:t>
            </w:r>
          </w:p>
        </w:tc>
        <w:tc>
          <w:tcPr>
            <w:tcW w:type="dxa" w:w="1800"/>
            <w:vAlign w:val="center"/>
            <w:tcMar>
              <w:top w:w="100" w:type="dxa"/>
              <w:bottom w:w="100" w:type="dxa"/>
              <w:left w:w="100" w:type="dxa"/>
              <w:right w:w="100" w:type="dxa"/>
            </w:tcMar>
            <w:shd w:fill="FFFFFF"/>
          </w:tcPr>
          <w:p>
            <w:pPr>
              <w:spacing w:after="0" w:line="245" w:lineRule="auto"/>
              <w:jc w:val="center"/>
            </w:pPr>
            <w:r>
              <w:rPr>
                <w:b w:val="0"/>
                <w:color w:val="000000"/>
                <w:sz w:val="18"/>
              </w:rPr>
              <w:t>One to three weeks</w:t>
            </w:r>
          </w:p>
        </w:tc>
        <w:tc>
          <w:tcPr>
            <w:tcW w:type="dxa" w:w="5184"/>
            <w:vAlign w:val="center"/>
            <w:tcMar>
              <w:top w:w="100" w:type="dxa"/>
              <w:bottom w:w="100" w:type="dxa"/>
              <w:left w:w="100" w:type="dxa"/>
              <w:right w:w="100" w:type="dxa"/>
            </w:tcMar>
            <w:shd w:fill="FFFFFF"/>
          </w:tcPr>
          <w:p>
            <w:pPr>
              <w:spacing w:after="0" w:line="245" w:lineRule="auto"/>
            </w:pPr>
            <w:r>
              <w:rPr>
                <w:b w:val="0"/>
                <w:color w:val="000000"/>
                <w:sz w:val="18"/>
              </w:rPr>
              <w:t>Reserve installation and troubleshooting windows before Week 4.</w:t>
            </w:r>
          </w:p>
        </w:tc>
      </w:tr>
    </w:tbl>
    <w:p>
      <w:pPr>
        <w:spacing w:before="120"/>
      </w:pPr>
      <w:r>
        <w:t>Schedule decision: retain 13 November 2026 as the target only when the Week 1 gates pass. Use 4 December 2026 as the management commitment date when ordinary remediation or scheduling contingency is needed. If a new ExpressRoute circuit or unavailable government-region GPU capacity is encountered, replan the effort as a 12- to 16-week project.</w:t>
      </w:r>
    </w:p>
    <w:p>
      <w:pPr>
        <w:pStyle w:val="Heading1"/>
      </w:pPr>
      <w:r>
        <w:t>Closeout Deliverables</w:t>
      </w:r>
    </w:p>
    <w:p>
      <w:r>
        <w:t>The closeout package will include the approved scope; detailed and as-built Azure designs; Terraform and deployment evidence; vendor decisions; test results; security dispositions; measured cost; production estimate; and final recommendation. Remove temporary OCI POC resources only after the evidence is preserved and decommissioning is authorized.</w:t>
      </w:r>
    </w:p>
    <w:p>
      <w:pPr>
        <w:pStyle w:val="Heading1"/>
      </w:pPr>
      <w:r>
        <w:t>References</w:t>
      </w:r>
    </w:p>
    <w:p>
      <w:pPr>
        <w:spacing w:after="40"/>
      </w:pPr>
      <w:hyperlink r:id="rId9">
        <w:r>
          <w:rPr>
            <w:color w:val="1D4E79"/>
            <w:sz w:val="18"/>
          </w:rPr>
          <w:t>Azure landing zones</w:t>
        </w:r>
      </w:hyperlink>
    </w:p>
    <w:p>
      <w:pPr>
        <w:spacing w:after="40"/>
      </w:pPr>
      <w:hyperlink r:id="rId10">
        <w:r>
          <w:rPr>
            <w:color w:val="1D4E79"/>
            <w:sz w:val="18"/>
          </w:rPr>
          <w:t>Azure Well Architected Framework</w:t>
        </w:r>
      </w:hyperlink>
    </w:p>
    <w:p>
      <w:pPr>
        <w:spacing w:after="40"/>
      </w:pPr>
      <w:hyperlink r:id="rId11">
        <w:r>
          <w:rPr>
            <w:color w:val="1D4E79"/>
            <w:sz w:val="18"/>
          </w:rPr>
          <w:t>NVadsA10 v5 virtual machine specifications</w:t>
        </w:r>
      </w:hyperlink>
    </w:p>
    <w:sectPr w:rsidR="00FC693F" w:rsidRPr="0006063C" w:rsidSect="00034616">
      <w:footerReference w:type="default" r:id="rId12"/>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95959"/>
        <w:sz w:val="16"/>
      </w:rPr>
      <w:t>DataWalk and Hyperscience OCI to Azure POC Migration Plan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ptos" w:hAnsi="Aptos"/>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ptos" w:hAnsi="Aptos"/>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ptos" w:hAnsi="Aptos"/>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ptos" w:hAnsi="Aptos"/>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ptos" w:hAnsi="Aptos"/>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ptos" w:hAnsi="Aptos"/>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ptos" w:hAnsi="Aptos"/>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ptos" w:hAnsi="Apto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before="0"/>
    </w:pPr>
    <w:rPr>
      <w:rFonts w:asciiTheme="majorHAnsi" w:eastAsiaTheme="majorEastAsia" w:hAnsiTheme="majorHAnsi" w:cstheme="majorBidi" w:ascii="Aptos" w:hAnsi="Apto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color w:val="000000"/>
    </w:rPr>
  </w:style>
  <w:style w:type="paragraph" w:styleId="BodyText">
    <w:name w:val="Body Text"/>
    <w:basedOn w:val="Normal"/>
    <w:link w:val="BodyTextChar"/>
    <w:uiPriority w:val="99"/>
    <w:unhideWhenUsed/>
    <w:rsid w:val="00AA1D8D"/>
    <w:pPr>
      <w:spacing w:after="120"/>
    </w:pPr>
    <w:rPr>
      <w:rFonts w:ascii="Aptos" w:hAnsi="Aptos"/>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ptos" w:hAnsi="Aptos"/>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ptos" w:hAnsi="Aptos"/>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ptos" w:hAnsi="Aptos"/>
      <w:color w:val="000000"/>
    </w:rPr>
  </w:style>
  <w:style w:type="paragraph" w:styleId="List2">
    <w:name w:val="List 2"/>
    <w:basedOn w:val="Normal"/>
    <w:uiPriority w:val="99"/>
    <w:unhideWhenUsed/>
    <w:rsid w:val="00326F90"/>
    <w:pPr>
      <w:ind w:left="720" w:hanging="360"/>
      <w:contextualSpacing/>
    </w:pPr>
    <w:rPr>
      <w:rFonts w:ascii="Aptos" w:hAnsi="Aptos"/>
      <w:color w:val="000000"/>
    </w:rPr>
  </w:style>
  <w:style w:type="paragraph" w:styleId="List3">
    <w:name w:val="List 3"/>
    <w:basedOn w:val="Normal"/>
    <w:uiPriority w:val="99"/>
    <w:unhideWhenUsed/>
    <w:rsid w:val="00326F90"/>
    <w:pPr>
      <w:ind w:left="1080" w:hanging="360"/>
      <w:contextualSpacing/>
    </w:pPr>
    <w:rPr>
      <w:rFonts w:ascii="Aptos" w:hAnsi="Aptos"/>
      <w:color w:val="000000"/>
    </w:rPr>
  </w:style>
  <w:style w:type="paragraph" w:styleId="ListBullet">
    <w:name w:val="List Bullet"/>
    <w:basedOn w:val="Normal"/>
    <w:uiPriority w:val="99"/>
    <w:unhideWhenUsed/>
    <w:rsid w:val="00326F90"/>
    <w:pPr>
      <w:numPr>
        <w:numId w:val="1"/>
      </w:numPr>
      <w:contextualSpacing/>
    </w:pPr>
    <w:rPr>
      <w:rFonts w:ascii="Aptos" w:hAnsi="Aptos"/>
      <w:color w:val="000000"/>
    </w:rPr>
  </w:style>
  <w:style w:type="paragraph" w:styleId="ListBullet2">
    <w:name w:val="List Bullet 2"/>
    <w:basedOn w:val="Normal"/>
    <w:uiPriority w:val="99"/>
    <w:unhideWhenUsed/>
    <w:rsid w:val="00326F90"/>
    <w:pPr>
      <w:numPr>
        <w:numId w:val="2"/>
      </w:numPr>
      <w:contextualSpacing/>
    </w:pPr>
    <w:rPr>
      <w:rFonts w:ascii="Aptos" w:hAnsi="Aptos"/>
      <w:color w:val="000000"/>
    </w:rPr>
  </w:style>
  <w:style w:type="paragraph" w:styleId="ListBullet3">
    <w:name w:val="List Bullet 3"/>
    <w:basedOn w:val="Normal"/>
    <w:uiPriority w:val="99"/>
    <w:unhideWhenUsed/>
    <w:rsid w:val="00326F90"/>
    <w:pPr>
      <w:numPr>
        <w:numId w:val="3"/>
      </w:numPr>
      <w:contextualSpacing/>
    </w:pPr>
    <w:rPr>
      <w:rFonts w:ascii="Aptos" w:hAnsi="Aptos"/>
      <w:color w:val="000000"/>
    </w:rPr>
  </w:style>
  <w:style w:type="paragraph" w:styleId="ListNumber">
    <w:name w:val="List Number"/>
    <w:basedOn w:val="Normal"/>
    <w:uiPriority w:val="99"/>
    <w:unhideWhenUsed/>
    <w:rsid w:val="00326F90"/>
    <w:pPr>
      <w:numPr>
        <w:numId w:val="5"/>
      </w:numPr>
      <w:contextualSpacing/>
    </w:pPr>
    <w:rPr>
      <w:rFonts w:ascii="Aptos" w:hAnsi="Aptos"/>
      <w:color w:val="000000"/>
    </w:rPr>
  </w:style>
  <w:style w:type="paragraph" w:styleId="ListNumber2">
    <w:name w:val="List Number 2"/>
    <w:basedOn w:val="Normal"/>
    <w:uiPriority w:val="99"/>
    <w:unhideWhenUsed/>
    <w:rsid w:val="0029639D"/>
    <w:pPr>
      <w:numPr>
        <w:numId w:val="6"/>
      </w:numPr>
      <w:contextualSpacing/>
    </w:pPr>
    <w:rPr>
      <w:rFonts w:ascii="Aptos" w:hAnsi="Aptos"/>
      <w:color w:val="000000"/>
    </w:rPr>
  </w:style>
  <w:style w:type="paragraph" w:styleId="ListNumber3">
    <w:name w:val="List Number 3"/>
    <w:basedOn w:val="Normal"/>
    <w:uiPriority w:val="99"/>
    <w:unhideWhenUsed/>
    <w:rsid w:val="0029639D"/>
    <w:pPr>
      <w:numPr>
        <w:numId w:val="7"/>
      </w:numPr>
      <w:contextualSpacing/>
    </w:pPr>
    <w:rPr>
      <w:rFonts w:ascii="Aptos" w:hAnsi="Aptos"/>
      <w:color w:val="000000"/>
    </w:rPr>
  </w:style>
  <w:style w:type="paragraph" w:styleId="ListContinue">
    <w:name w:val="List Continue"/>
    <w:basedOn w:val="Normal"/>
    <w:uiPriority w:val="99"/>
    <w:unhideWhenUsed/>
    <w:rsid w:val="0029639D"/>
    <w:pPr>
      <w:spacing w:after="120"/>
      <w:ind w:left="360"/>
      <w:contextualSpacing/>
    </w:pPr>
    <w:rPr>
      <w:rFonts w:ascii="Aptos" w:hAnsi="Aptos"/>
      <w:color w:val="000000"/>
    </w:rPr>
  </w:style>
  <w:style w:type="paragraph" w:styleId="ListContinue2">
    <w:name w:val="List Continue 2"/>
    <w:basedOn w:val="Normal"/>
    <w:uiPriority w:val="99"/>
    <w:unhideWhenUsed/>
    <w:rsid w:val="0029639D"/>
    <w:pPr>
      <w:spacing w:after="120"/>
      <w:ind w:left="720"/>
      <w:contextualSpacing/>
    </w:pPr>
    <w:rPr>
      <w:rFonts w:ascii="Aptos" w:hAnsi="Aptos"/>
      <w:color w:val="000000"/>
    </w:rPr>
  </w:style>
  <w:style w:type="paragraph" w:styleId="ListContinue3">
    <w:name w:val="List Continue 3"/>
    <w:basedOn w:val="Normal"/>
    <w:uiPriority w:val="99"/>
    <w:unhideWhenUsed/>
    <w:rsid w:val="0029639D"/>
    <w:pPr>
      <w:spacing w:after="120"/>
      <w:ind w:left="1080"/>
      <w:contextualSpacing/>
    </w:pPr>
    <w:rPr>
      <w:rFonts w:ascii="Aptos" w:hAnsi="Aptos"/>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ptos" w:hAnsi="Aptos"/>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ptos" w:hAnsi="Aptos"/>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ptos" w:hAnsi="Aptos"/>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arn.microsoft.com/en-us/azure/cloud-adoption-framework/ready/landing-zone/" TargetMode="External"/><Relationship Id="rId10" Type="http://schemas.openxmlformats.org/officeDocument/2006/relationships/hyperlink" Target="https://learn.microsoft.com/en-us/azure/well-architected/pillars" TargetMode="External"/><Relationship Id="rId11" Type="http://schemas.openxmlformats.org/officeDocument/2006/relationships/hyperlink" Target="https://learn.microsoft.com/en-us/azure/virtual-machines/sizes/gpu-accelerated/nvadsa10v5-series"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OCI to Azure POC Migration Plan and Timeline for DataWalk and Hyperscience</dc:title>
  <dc:subject>Proposal and eight week schedule for relocating the POC to Azure Government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