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2E74B5"/>
          <w:sz w:val="22"/>
        </w:rPr>
        <w:t>PROOF OF CONCEPT PLAN</w:t>
      </w:r>
    </w:p>
    <w:p>
      <w:pPr>
        <w:spacing w:after="80"/>
      </w:pPr>
      <w:r>
        <w:rPr>
          <w:rFonts w:ascii="Calibri" w:hAnsi="Calibri"/>
          <w:b/>
          <w:color w:val="0B2545"/>
          <w:sz w:val="48"/>
        </w:rPr>
        <w:t>DataWalk and Hyperscience on Oracle Cloud Infrastructure</w:t>
      </w:r>
    </w:p>
    <w:p>
      <w:pPr>
        <w:spacing w:after="300"/>
      </w:pPr>
      <w:r>
        <w:rPr>
          <w:rFonts w:ascii="Calibri" w:hAnsi="Calibri"/>
          <w:color w:val="5B6573"/>
          <w:sz w:val="26"/>
        </w:rPr>
        <w:t>Oracle Kubernetes Engine | OCI Government Cloud | SCCA-aligned landing zone</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1900"/>
        <w:gridCol w:w="7460"/>
      </w:tblGrid>
      <w:tr>
        <w:trPr>
          <w:tblHeader w:val="true"/>
          <w:cantSplit/>
        </w:trPr>
        <w:tc>
          <w:tcPr>
            <w:tcW w:type="dxa" w:w="1900"/>
            <w:tcMar>
              <w:top w:w="80" w:type="dxa"/>
              <w:start w:w="120" w:type="dxa"/>
              <w:bottom w:w="80" w:type="dxa"/>
              <w:end w:w="120" w:type="dxa"/>
            </w:tcMar>
            <w:vAlign w:val="center"/>
            <w:shd w:fill="F2F4F7"/>
          </w:tcPr>
          <w:p>
            <w:pPr>
              <w:spacing w:after="0"/>
            </w:pPr>
            <w:r>
              <w:rPr>
                <w:rFonts w:ascii="Calibri" w:hAnsi="Calibri"/>
                <w:b/>
                <w:color w:val="0B2545"/>
                <w:sz w:val="20"/>
              </w:rPr>
              <w:t>Document</w:t>
            </w:r>
          </w:p>
        </w:tc>
        <w:tc>
          <w:tcPr>
            <w:tcW w:type="dxa" w:w="7460"/>
            <w:tcMar>
              <w:top w:w="80" w:type="dxa"/>
              <w:start w:w="120" w:type="dxa"/>
              <w:bottom w:w="80" w:type="dxa"/>
              <w:end w:w="120" w:type="dxa"/>
            </w:tcMar>
            <w:vAlign w:val="center"/>
            <w:shd w:fill="F2F4F7"/>
          </w:tcPr>
          <w:p>
            <w:pPr>
              <w:spacing w:after="0"/>
            </w:pPr>
            <w:r>
              <w:rPr>
                <w:rFonts w:ascii="Calibri" w:hAnsi="Calibri"/>
                <w:b/>
                <w:color w:val="0B2545"/>
                <w:sz w:val="20"/>
              </w:rPr>
              <w:t>Value</w:t>
            </w:r>
          </w:p>
        </w:tc>
      </w:tr>
      <w:tr>
        <w:trPr>
          <w:cantSplit/>
        </w:trPr>
        <w:tc>
          <w:tcPr>
            <w:tcW w:type="dxa" w:w="1900"/>
          </w:tcPr>
          <w:p>
            <w:pPr>
              <w:spacing w:after="0" w:line="252" w:lineRule="auto"/>
            </w:pPr>
            <w:r>
              <w:rPr>
                <w:rFonts w:ascii="Calibri" w:hAnsi="Calibri"/>
                <w:color w:val="000000"/>
                <w:sz w:val="20"/>
              </w:rPr>
              <w:t>Purpose</w:t>
            </w:r>
          </w:p>
        </w:tc>
        <w:tc>
          <w:tcPr>
            <w:tcW w:type="dxa" w:w="7460"/>
          </w:tcPr>
          <w:p>
            <w:pPr>
              <w:spacing w:after="0" w:line="252" w:lineRule="auto"/>
            </w:pPr>
            <w:r>
              <w:rPr>
                <w:rFonts w:ascii="Calibri" w:hAnsi="Calibri"/>
                <w:color w:val="000000"/>
                <w:sz w:val="20"/>
              </w:rPr>
              <w:t>Authorize and execute a controlled POC, then support a cloud-versus-on-premises decision</w:t>
            </w:r>
          </w:p>
        </w:tc>
      </w:tr>
      <w:tr>
        <w:trPr>
          <w:cantSplit/>
        </w:trPr>
        <w:tc>
          <w:tcPr>
            <w:tcW w:type="dxa" w:w="1900"/>
          </w:tcPr>
          <w:p>
            <w:pPr>
              <w:spacing w:after="0" w:line="252" w:lineRule="auto"/>
            </w:pPr>
            <w:r>
              <w:rPr>
                <w:rFonts w:ascii="Calibri" w:hAnsi="Calibri"/>
                <w:color w:val="000000"/>
                <w:sz w:val="20"/>
              </w:rPr>
              <w:t>Frameworks</w:t>
            </w:r>
          </w:p>
        </w:tc>
        <w:tc>
          <w:tcPr>
            <w:tcW w:type="dxa" w:w="7460"/>
          </w:tcPr>
          <w:p>
            <w:pPr>
              <w:spacing w:after="0" w:line="252" w:lineRule="auto"/>
            </w:pPr>
            <w:r>
              <w:rPr>
                <w:rFonts w:ascii="Calibri" w:hAnsi="Calibri"/>
                <w:color w:val="000000"/>
                <w:sz w:val="20"/>
              </w:rPr>
              <w:t>OCI Cloud Adoption Framework and OCI Well-Architected Framework</w:t>
            </w:r>
          </w:p>
        </w:tc>
      </w:tr>
      <w:tr>
        <w:trPr>
          <w:cantSplit/>
        </w:trPr>
        <w:tc>
          <w:tcPr>
            <w:tcW w:type="dxa" w:w="1900"/>
          </w:tcPr>
          <w:p>
            <w:pPr>
              <w:spacing w:after="0" w:line="252" w:lineRule="auto"/>
            </w:pPr>
            <w:r>
              <w:rPr>
                <w:rFonts w:ascii="Calibri" w:hAnsi="Calibri"/>
                <w:color w:val="000000"/>
                <w:sz w:val="20"/>
              </w:rPr>
              <w:t>POC footprint</w:t>
            </w:r>
          </w:p>
        </w:tc>
        <w:tc>
          <w:tcPr>
            <w:tcW w:type="dxa" w:w="7460"/>
          </w:tcPr>
          <w:p>
            <w:pPr>
              <w:spacing w:after="0" w:line="252" w:lineRule="auto"/>
            </w:pPr>
            <w:r>
              <w:rPr>
                <w:rFonts w:ascii="Calibri" w:hAnsi="Calibri"/>
                <w:color w:val="000000"/>
                <w:sz w:val="20"/>
              </w:rPr>
              <w:t>DataWalk Dev-equivalent cluster + Hyperscience Dev-equivalent cluster</w:t>
            </w:r>
          </w:p>
        </w:tc>
      </w:tr>
      <w:tr>
        <w:trPr>
          <w:cantSplit/>
        </w:trPr>
        <w:tc>
          <w:tcPr>
            <w:tcW w:type="dxa" w:w="1900"/>
          </w:tcPr>
          <w:p>
            <w:pPr>
              <w:spacing w:after="0" w:line="252" w:lineRule="auto"/>
            </w:pPr>
            <w:r>
              <w:rPr>
                <w:rFonts w:ascii="Calibri" w:hAnsi="Calibri"/>
                <w:color w:val="000000"/>
                <w:sz w:val="20"/>
              </w:rPr>
              <w:t>Target topology</w:t>
            </w:r>
          </w:p>
        </w:tc>
        <w:tc>
          <w:tcPr>
            <w:tcW w:type="dxa" w:w="7460"/>
          </w:tcPr>
          <w:p>
            <w:pPr>
              <w:spacing w:after="0" w:line="252" w:lineRule="auto"/>
            </w:pPr>
            <w:r>
              <w:rPr>
                <w:rFonts w:ascii="Calibri" w:hAnsi="Calibri"/>
                <w:color w:val="000000"/>
                <w:sz w:val="20"/>
              </w:rPr>
              <w:t>Five dedicated clusters: DW Dev/Test/Prod and HS Dev/Prod</w:t>
            </w:r>
          </w:p>
        </w:tc>
      </w:tr>
      <w:tr>
        <w:trPr>
          <w:cantSplit/>
        </w:trPr>
        <w:tc>
          <w:tcPr>
            <w:tcW w:type="dxa" w:w="1900"/>
          </w:tcPr>
          <w:p>
            <w:pPr>
              <w:spacing w:after="0" w:line="252" w:lineRule="auto"/>
            </w:pPr>
            <w:r>
              <w:rPr>
                <w:rFonts w:ascii="Calibri" w:hAnsi="Calibri"/>
                <w:color w:val="000000"/>
                <w:sz w:val="20"/>
              </w:rPr>
              <w:t>Status</w:t>
            </w:r>
          </w:p>
        </w:tc>
        <w:tc>
          <w:tcPr>
            <w:tcW w:type="dxa" w:w="7460"/>
          </w:tcPr>
          <w:p>
            <w:pPr>
              <w:spacing w:after="0" w:line="252" w:lineRule="auto"/>
            </w:pPr>
            <w:r>
              <w:rPr>
                <w:rFonts w:ascii="Calibri" w:hAnsi="Calibri"/>
                <w:color w:val="000000"/>
                <w:sz w:val="20"/>
              </w:rPr>
              <w:t>Draft for leadership, security, Oracle, and vendor validation</w:t>
            </w:r>
          </w:p>
        </w:tc>
      </w:tr>
      <w:tr>
        <w:trPr>
          <w:cantSplit/>
        </w:trPr>
        <w:tc>
          <w:tcPr>
            <w:tcW w:type="dxa" w:w="1900"/>
          </w:tcPr>
          <w:p>
            <w:pPr>
              <w:spacing w:after="0" w:line="252" w:lineRule="auto"/>
            </w:pPr>
            <w:r>
              <w:rPr>
                <w:rFonts w:ascii="Calibri" w:hAnsi="Calibri"/>
                <w:color w:val="000000"/>
                <w:sz w:val="20"/>
              </w:rPr>
              <w:t>Date</w:t>
            </w:r>
          </w:p>
        </w:tc>
        <w:tc>
          <w:tcPr>
            <w:tcW w:type="dxa" w:w="7460"/>
          </w:tcPr>
          <w:p>
            <w:pPr>
              <w:spacing w:after="0" w:line="252" w:lineRule="auto"/>
            </w:pPr>
            <w:r>
              <w:rPr>
                <w:rFonts w:ascii="Calibri" w:hAnsi="Calibri"/>
                <w:color w:val="000000"/>
                <w:sz w:val="20"/>
              </w:rPr>
              <w:t>September 3, 2026</w:t>
            </w:r>
          </w:p>
        </w:tc>
      </w:tr>
    </w:tbl>
    <w:p>
      <w:pPr>
        <w:spacing w:after="20"/>
      </w:pP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c>
          <w:tcPr>
            <w:tcW w:type="dxa" w:w="9360"/>
            <w:tcMar>
              <w:top w:w="80" w:type="dxa"/>
              <w:start w:w="120" w:type="dxa"/>
              <w:bottom w:w="80" w:type="dxa"/>
              <w:end w:w="120" w:type="dxa"/>
            </w:tcMar>
            <w:vAlign w:val="center"/>
            <w:shd w:fill="F4F6F9"/>
          </w:tcPr>
          <w:p>
            <w:pPr>
              <w:spacing w:after="0" w:line="264" w:lineRule="auto"/>
            </w:pPr>
            <w:r>
              <w:rPr>
                <w:rFonts w:ascii="Calibri" w:hAnsi="Calibri"/>
                <w:b/>
                <w:color w:val="1F4D78"/>
                <w:sz w:val="21"/>
              </w:rPr>
              <w:t xml:space="preserve">DECISION REQUESTED  </w:t>
            </w:r>
            <w:r>
              <w:rPr>
                <w:rFonts w:ascii="Calibri" w:hAnsi="Calibri"/>
                <w:color w:val="000000"/>
                <w:sz w:val="21"/>
              </w:rPr>
              <w:t>Approve prerequisite activities and a controlled non-production POC. Do not authorize production procurement or migration until the version matrix, vendor support statements, performance results, security evidence, operating model, and complete cost model are accepted.</w:t>
            </w:r>
          </w:p>
        </w:tc>
      </w:tr>
    </w:tbl>
    <w:p>
      <w:pPr>
        <w:spacing w:after="20"/>
      </w:pPr>
    </w:p>
    <w:p>
      <w:pPr>
        <w:spacing w:after="120" w:line="264" w:lineRule="auto"/>
      </w:pPr>
      <w:r>
        <w:rPr>
          <w:rFonts w:ascii="Calibri" w:hAnsi="Calibri"/>
          <w:i w:val="0"/>
        </w:rPr>
        <w:t>Framework basis. Oracle's Cloud Adoption Framework aligns business strategy, people, security, process, technology, and operations [S1]. Oracle's Well-Architected Framework evaluates the resulting design against five OCI pillars [S2]. This plan uses both: CAF governs how the POC is adopted; WAF governs how the POC is designed and tested.</w:t>
      </w:r>
    </w:p>
    <w:p>
      <w:pPr>
        <w:pStyle w:val="Heading1"/>
      </w:pPr>
      <w:r>
        <w:t>1. Executive recommendation</w:t>
      </w:r>
    </w:p>
    <w:p>
      <w:pPr>
        <w:spacing w:after="120" w:line="264" w:lineRule="auto"/>
      </w:pPr>
      <w:r>
        <w:rPr>
          <w:rFonts w:ascii="Calibri" w:hAnsi="Calibri"/>
          <w:i w:val="0"/>
        </w:rPr>
        <w:t>Proceed with the POC, but treat it as an evidence-producing decision project rather than a small production deployment. The POC should prove that each vendor-supported application can run in its own private OCI Kubernetes environment, meet agreed workload outcomes, integrate through approved storage interfaces, satisfy security controls, and be operated by the assigned teams.</w:t>
      </w:r>
    </w:p>
    <w:p>
      <w:pPr>
        <w:numPr>
          <w:ilvl w:val="0"/>
          <w:numId w:val="10"/>
        </w:numPr>
      </w:pPr>
      <w:r>
        <w:rPr>
          <w:rFonts w:ascii="Calibri" w:hAnsi="Calibri"/>
        </w:rPr>
        <w:t>Use two isolated non-production clusters during the POC: one DataWalk Dev-equivalent cluster and one Hyperscience Dev-equivalent cluster.</w:t>
      </w:r>
    </w:p>
    <w:p>
      <w:pPr>
        <w:numPr>
          <w:ilvl w:val="0"/>
          <w:numId w:val="10"/>
        </w:numPr>
      </w:pPr>
      <w:r>
        <w:rPr>
          <w:rFonts w:ascii="Calibri" w:hAnsi="Calibri"/>
        </w:rPr>
        <w:t>Retain the five-cluster target architecture only as the scale-out pattern after the POC: DW Dev, DW Test, DW Prod, HS Dev, and HS Prod.</w:t>
      </w:r>
    </w:p>
    <w:p>
      <w:pPr>
        <w:numPr>
          <w:ilvl w:val="0"/>
          <w:numId w:val="10"/>
        </w:numPr>
      </w:pPr>
      <w:r>
        <w:rPr>
          <w:rFonts w:ascii="Calibri" w:hAnsi="Calibri"/>
        </w:rPr>
        <w:t>Keep DataWalk on CPU workers unless DataWalk gives written confirmation of a supported GPU-consuming component.</w:t>
      </w:r>
    </w:p>
    <w:p>
      <w:pPr>
        <w:numPr>
          <w:ilvl w:val="0"/>
          <w:numId w:val="10"/>
        </w:numPr>
      </w:pPr>
      <w:r>
        <w:rPr>
          <w:rFonts w:ascii="Calibri" w:hAnsi="Calibri"/>
        </w:rPr>
        <w:t>Use VM.GPU.A10.2 only for confirmed Hyperscience trainer or ORCA workloads. Its two 24 GB A10 GPUs are discrete devices, not one 48 GB memory pool.</w:t>
      </w:r>
    </w:p>
    <w:p>
      <w:pPr>
        <w:numPr>
          <w:ilvl w:val="0"/>
          <w:numId w:val="10"/>
        </w:numPr>
      </w:pPr>
      <w:r>
        <w:rPr>
          <w:rFonts w:ascii="Calibri" w:hAnsi="Calibri"/>
        </w:rPr>
        <w:t>Use FastConnect/DRG and the approved enterprise jump-host path for normal administration. OCI Bastion is optional, not a required traffic component.</w:t>
      </w:r>
    </w:p>
    <w:p>
      <w:pPr>
        <w:numPr>
          <w:ilvl w:val="0"/>
          <w:numId w:val="10"/>
        </w:numPr>
      </w:pPr>
      <w:r>
        <w:rPr>
          <w:rFonts w:ascii="Calibri" w:hAnsi="Calibri"/>
        </w:rPr>
        <w:t>Measure actual utilization and workload results before sizing production. Oracle recommends metrics-driven sizing instead of copying on-premises allocations [S2].</w:t>
      </w:r>
    </w:p>
    <w:tbl>
      <w:tblPr>
        <w:tblW w:type="dxa" w:w="9360"/>
        <w:jc w:val="left"/>
        <w:tblLayout w:type="fixed"/>
        <w:tblLook w:firstColumn="1" w:firstRow="1" w:lastColumn="0" w:lastRow="0" w:noHBand="0" w:noVBand="1" w:val="04A0"/>
        <w:tblInd w:w="120" w:type="dxa"/>
        <w:tblBorders>
          <w:top w:val="single" w:sz="10" w:space="0" w:color="1F5D42"/>
          <w:left w:val="single" w:sz="10" w:space="0" w:color="1F5D42"/>
          <w:bottom w:val="single" w:sz="10" w:space="0" w:color="1F5D42"/>
          <w:right w:val="single" w:sz="10" w:space="0" w:color="1F5D42"/>
          <w:insideH w:val="single" w:sz="10" w:space="0" w:color="1F5D42"/>
          <w:insideV w:val="single" w:sz="10" w:space="0" w:color="1F5D42"/>
        </w:tblBorders>
      </w:tblPr>
      <w:tblGrid>
        <w:gridCol w:w="9360"/>
      </w:tblGrid>
      <w:tr>
        <w:tc>
          <w:tcPr>
            <w:tcW w:type="dxa" w:w="9360"/>
            <w:tcMar>
              <w:top w:w="80" w:type="dxa"/>
              <w:start w:w="120" w:type="dxa"/>
              <w:bottom w:w="80" w:type="dxa"/>
              <w:end w:w="120" w:type="dxa"/>
            </w:tcMar>
            <w:vAlign w:val="center"/>
            <w:shd w:fill="EAF4EF"/>
          </w:tcPr>
          <w:p>
            <w:pPr>
              <w:spacing w:after="0" w:line="264" w:lineRule="auto"/>
            </w:pPr>
            <w:r>
              <w:rPr>
                <w:rFonts w:ascii="Calibri" w:hAnsi="Calibri"/>
                <w:b/>
                <w:color w:val="1F5D42"/>
                <w:sz w:val="21"/>
              </w:rPr>
              <w:t xml:space="preserve">CURRENT ARCHITECTURE DECISION  </w:t>
            </w:r>
            <w:r>
              <w:rPr>
                <w:rFonts w:ascii="Calibri" w:hAnsi="Calibri"/>
                <w:color w:val="000000"/>
                <w:sz w:val="21"/>
              </w:rPr>
              <w:t>DataWalk and Hyperscience do not share OKE clusters, worker nodes, ingress, databases, storage, application identities, secrets, or upgrade lifecycles. DataWalk Dev and Test are also separate clusters.</w:t>
            </w:r>
          </w:p>
        </w:tc>
      </w:tr>
    </w:tbl>
    <w:p>
      <w:pPr>
        <w:spacing w:after="20"/>
      </w:pPr>
    </w:p>
    <w:p>
      <w:pPr>
        <w:pStyle w:val="Heading1"/>
      </w:pPr>
      <w:r>
        <w:t>2. Business outcome and decision questions</w:t>
      </w:r>
    </w:p>
    <w:p>
      <w:pPr>
        <w:spacing w:after="120" w:line="264" w:lineRule="auto"/>
      </w:pPr>
      <w:r>
        <w:rPr>
          <w:rFonts w:ascii="Calibri" w:hAnsi="Calibri"/>
          <w:i w:val="0"/>
        </w:rPr>
        <w:t>The POC supports a final recommendation to leadership on whether OCI is a supportable, secure, performant, and financially responsible target for the next DataWalk and Hyperscience platform generations.</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3100"/>
        <w:gridCol w:w="6260"/>
      </w:tblGrid>
      <w:tr>
        <w:trPr>
          <w:tblHeader w:val="true"/>
          <w:cantSplit/>
        </w:trPr>
        <w:tc>
          <w:tcPr>
            <w:tcW w:type="dxa" w:w="3100"/>
            <w:tcMar>
              <w:top w:w="80" w:type="dxa"/>
              <w:start w:w="120" w:type="dxa"/>
              <w:bottom w:w="80" w:type="dxa"/>
              <w:end w:w="120" w:type="dxa"/>
            </w:tcMar>
            <w:vAlign w:val="center"/>
            <w:shd w:fill="F2F4F7"/>
          </w:tcPr>
          <w:p>
            <w:pPr>
              <w:spacing w:after="0"/>
            </w:pPr>
            <w:r>
              <w:rPr>
                <w:rFonts w:ascii="Calibri" w:hAnsi="Calibri"/>
                <w:b/>
                <w:color w:val="0B2545"/>
                <w:sz w:val="19"/>
              </w:rPr>
              <w:t>Decision question</w:t>
            </w:r>
          </w:p>
        </w:tc>
        <w:tc>
          <w:tcPr>
            <w:tcW w:type="dxa" w:w="6260"/>
            <w:tcMar>
              <w:top w:w="80" w:type="dxa"/>
              <w:start w:w="120" w:type="dxa"/>
              <w:bottom w:w="80" w:type="dxa"/>
              <w:end w:w="120" w:type="dxa"/>
            </w:tcMar>
            <w:vAlign w:val="center"/>
            <w:shd w:fill="F2F4F7"/>
          </w:tcPr>
          <w:p>
            <w:pPr>
              <w:spacing w:after="0"/>
            </w:pPr>
            <w:r>
              <w:rPr>
                <w:rFonts w:ascii="Calibri" w:hAnsi="Calibri"/>
                <w:b/>
                <w:color w:val="0B2545"/>
                <w:sz w:val="19"/>
              </w:rPr>
              <w:t>Evidence required</w:t>
            </w:r>
          </w:p>
        </w:tc>
      </w:tr>
      <w:tr>
        <w:trPr>
          <w:cantSplit/>
        </w:trPr>
        <w:tc>
          <w:tcPr>
            <w:tcW w:type="dxa" w:w="3100"/>
          </w:tcPr>
          <w:p>
            <w:pPr>
              <w:spacing w:after="0" w:line="252" w:lineRule="auto"/>
            </w:pPr>
            <w:r>
              <w:rPr>
                <w:rFonts w:ascii="Calibri" w:hAnsi="Calibri"/>
                <w:color w:val="000000"/>
                <w:sz w:val="19"/>
              </w:rPr>
              <w:t>Vendor supportability</w:t>
            </w:r>
          </w:p>
        </w:tc>
        <w:tc>
          <w:tcPr>
            <w:tcW w:type="dxa" w:w="6260"/>
          </w:tcPr>
          <w:p>
            <w:pPr>
              <w:spacing w:after="0" w:line="252" w:lineRule="auto"/>
            </w:pPr>
            <w:r>
              <w:rPr>
                <w:rFonts w:ascii="Calibri" w:hAnsi="Calibri"/>
                <w:color w:val="000000"/>
                <w:sz w:val="19"/>
              </w:rPr>
              <w:t>Written matrix for application, Kubernetes, node image/OS, driver, CUDA, database, storage, registry, and ingress versions</w:t>
            </w:r>
          </w:p>
        </w:tc>
      </w:tr>
      <w:tr>
        <w:trPr>
          <w:cantSplit/>
        </w:trPr>
        <w:tc>
          <w:tcPr>
            <w:tcW w:type="dxa" w:w="3100"/>
          </w:tcPr>
          <w:p>
            <w:pPr>
              <w:spacing w:after="0" w:line="252" w:lineRule="auto"/>
            </w:pPr>
            <w:r>
              <w:rPr>
                <w:rFonts w:ascii="Calibri" w:hAnsi="Calibri"/>
                <w:color w:val="000000"/>
                <w:sz w:val="19"/>
              </w:rPr>
              <w:t>Functional fit</w:t>
            </w:r>
          </w:p>
        </w:tc>
        <w:tc>
          <w:tcPr>
            <w:tcW w:type="dxa" w:w="6260"/>
          </w:tcPr>
          <w:p>
            <w:pPr>
              <w:spacing w:after="0" w:line="252" w:lineRule="auto"/>
            </w:pPr>
            <w:r>
              <w:rPr>
                <w:rFonts w:ascii="Calibri" w:hAnsi="Calibri"/>
                <w:color w:val="000000"/>
                <w:sz w:val="19"/>
              </w:rPr>
              <w:t>Representative DataWalk and Hyperscience workflows complete without unsupported workarounds</w:t>
            </w:r>
          </w:p>
        </w:tc>
      </w:tr>
      <w:tr>
        <w:trPr>
          <w:cantSplit/>
        </w:trPr>
        <w:tc>
          <w:tcPr>
            <w:tcW w:type="dxa" w:w="3100"/>
          </w:tcPr>
          <w:p>
            <w:pPr>
              <w:spacing w:after="0" w:line="252" w:lineRule="auto"/>
            </w:pPr>
            <w:r>
              <w:rPr>
                <w:rFonts w:ascii="Calibri" w:hAnsi="Calibri"/>
                <w:color w:val="000000"/>
                <w:sz w:val="19"/>
              </w:rPr>
              <w:t>Performance</w:t>
            </w:r>
          </w:p>
        </w:tc>
        <w:tc>
          <w:tcPr>
            <w:tcW w:type="dxa" w:w="6260"/>
          </w:tcPr>
          <w:p>
            <w:pPr>
              <w:spacing w:after="0" w:line="252" w:lineRule="auto"/>
            </w:pPr>
            <w:r>
              <w:rPr>
                <w:rFonts w:ascii="Calibri" w:hAnsi="Calibri"/>
                <w:color w:val="000000"/>
                <w:sz w:val="19"/>
              </w:rPr>
              <w:t>Agreed workload throughput, latency, accuracy, concurrency, and utilization compared with the current reference</w:t>
            </w:r>
          </w:p>
        </w:tc>
      </w:tr>
      <w:tr>
        <w:trPr>
          <w:cantSplit/>
        </w:trPr>
        <w:tc>
          <w:tcPr>
            <w:tcW w:type="dxa" w:w="3100"/>
          </w:tcPr>
          <w:p>
            <w:pPr>
              <w:spacing w:after="0" w:line="252" w:lineRule="auto"/>
            </w:pPr>
            <w:r>
              <w:rPr>
                <w:rFonts w:ascii="Calibri" w:hAnsi="Calibri"/>
                <w:color w:val="000000"/>
                <w:sz w:val="19"/>
              </w:rPr>
              <w:t>Security and ATO readiness</w:t>
            </w:r>
          </w:p>
        </w:tc>
        <w:tc>
          <w:tcPr>
            <w:tcW w:type="dxa" w:w="6260"/>
          </w:tcPr>
          <w:p>
            <w:pPr>
              <w:spacing w:after="0" w:line="252" w:lineRule="auto"/>
            </w:pPr>
            <w:r>
              <w:rPr>
                <w:rFonts w:ascii="Calibri" w:hAnsi="Calibri"/>
                <w:color w:val="000000"/>
                <w:sz w:val="19"/>
              </w:rPr>
              <w:t>Private topology, least privilege, encryption, logging, vulnerability evidence, egress control, and documented exceptions</w:t>
            </w:r>
          </w:p>
        </w:tc>
      </w:tr>
      <w:tr>
        <w:trPr>
          <w:cantSplit/>
        </w:trPr>
        <w:tc>
          <w:tcPr>
            <w:tcW w:type="dxa" w:w="3100"/>
          </w:tcPr>
          <w:p>
            <w:pPr>
              <w:spacing w:after="0" w:line="252" w:lineRule="auto"/>
            </w:pPr>
            <w:r>
              <w:rPr>
                <w:rFonts w:ascii="Calibri" w:hAnsi="Calibri"/>
                <w:color w:val="000000"/>
                <w:sz w:val="19"/>
              </w:rPr>
              <w:t>Reliability</w:t>
            </w:r>
          </w:p>
        </w:tc>
        <w:tc>
          <w:tcPr>
            <w:tcW w:type="dxa" w:w="6260"/>
          </w:tcPr>
          <w:p>
            <w:pPr>
              <w:spacing w:after="0" w:line="252" w:lineRule="auto"/>
            </w:pPr>
            <w:r>
              <w:rPr>
                <w:rFonts w:ascii="Calibri" w:hAnsi="Calibri"/>
                <w:color w:val="000000"/>
                <w:sz w:val="19"/>
              </w:rPr>
              <w:t>Pod restart, node maintenance/loss, backup, restore, and recovery results against approved RPO/RTO targets</w:t>
            </w:r>
          </w:p>
        </w:tc>
      </w:tr>
      <w:tr>
        <w:trPr>
          <w:cantSplit/>
        </w:trPr>
        <w:tc>
          <w:tcPr>
            <w:tcW w:type="dxa" w:w="3100"/>
          </w:tcPr>
          <w:p>
            <w:pPr>
              <w:spacing w:after="0" w:line="252" w:lineRule="auto"/>
            </w:pPr>
            <w:r>
              <w:rPr>
                <w:rFonts w:ascii="Calibri" w:hAnsi="Calibri"/>
                <w:color w:val="000000"/>
                <w:sz w:val="19"/>
              </w:rPr>
              <w:t>Operability</w:t>
            </w:r>
          </w:p>
        </w:tc>
        <w:tc>
          <w:tcPr>
            <w:tcW w:type="dxa" w:w="6260"/>
          </w:tcPr>
          <w:p>
            <w:pPr>
              <w:spacing w:after="0" w:line="252" w:lineRule="auto"/>
            </w:pPr>
            <w:r>
              <w:rPr>
                <w:rFonts w:ascii="Calibri" w:hAnsi="Calibri"/>
                <w:color w:val="000000"/>
                <w:sz w:val="19"/>
              </w:rPr>
              <w:t>Named ownership, monitoring, patching, upgrade, rollback, incident, vendor-escalation, and evidence-retention procedures</w:t>
            </w:r>
          </w:p>
        </w:tc>
      </w:tr>
      <w:tr>
        <w:trPr>
          <w:cantSplit/>
        </w:trPr>
        <w:tc>
          <w:tcPr>
            <w:tcW w:type="dxa" w:w="3100"/>
          </w:tcPr>
          <w:p>
            <w:pPr>
              <w:spacing w:after="0" w:line="252" w:lineRule="auto"/>
            </w:pPr>
            <w:r>
              <w:rPr>
                <w:rFonts w:ascii="Calibri" w:hAnsi="Calibri"/>
                <w:color w:val="000000"/>
                <w:sz w:val="19"/>
              </w:rPr>
              <w:t>Affordability</w:t>
            </w:r>
          </w:p>
        </w:tc>
        <w:tc>
          <w:tcPr>
            <w:tcW w:type="dxa" w:w="6260"/>
          </w:tcPr>
          <w:p>
            <w:pPr>
              <w:spacing w:after="0" w:line="252" w:lineRule="auto"/>
            </w:pPr>
            <w:r>
              <w:rPr>
                <w:rFonts w:ascii="Calibri" w:hAnsi="Calibri"/>
                <w:color w:val="000000"/>
                <w:sz w:val="19"/>
              </w:rPr>
              <w:t>Measured POC consumption, production run-rate model, licensing, support labor, and five-year TCO with assumptions</w:t>
            </w:r>
          </w:p>
        </w:tc>
      </w:tr>
    </w:tbl>
    <w:p>
      <w:pPr>
        <w:spacing w:after="20"/>
      </w:pPr>
    </w:p>
    <w:p>
      <w:pPr>
        <w:pStyle w:val="Heading1"/>
      </w:pPr>
      <w:r>
        <w:t>3. Scope, exclusions, and assumptions</w:t>
      </w:r>
    </w:p>
    <w:p>
      <w:pPr>
        <w:pStyle w:val="Heading2"/>
      </w:pPr>
      <w:r>
        <w:t>3.1 In scope</w:t>
      </w:r>
    </w:p>
    <w:p>
      <w:pPr>
        <w:numPr>
          <w:ilvl w:val="0"/>
          <w:numId w:val="10"/>
        </w:numPr>
      </w:pPr>
      <w:r>
        <w:rPr>
          <w:rFonts w:ascii="Calibri" w:hAnsi="Calibri"/>
        </w:rPr>
        <w:t>Landing-zone readiness review for compartments, identity, network, security, monitoring, governance, quotas, and budgets.</w:t>
      </w:r>
    </w:p>
    <w:p>
      <w:pPr>
        <w:numPr>
          <w:ilvl w:val="0"/>
          <w:numId w:val="10"/>
        </w:numPr>
      </w:pPr>
      <w:r>
        <w:rPr>
          <w:rFonts w:ascii="Calibri" w:hAnsi="Calibri"/>
        </w:rPr>
        <w:t>Two private OKE clusters with dedicated control planes and worker lifecycles: DataWalk POC and Hyperscience POC.</w:t>
      </w:r>
    </w:p>
    <w:p>
      <w:pPr>
        <w:numPr>
          <w:ilvl w:val="0"/>
          <w:numId w:val="10"/>
        </w:numPr>
      </w:pPr>
      <w:r>
        <w:rPr>
          <w:rFonts w:ascii="Calibri" w:hAnsi="Calibri"/>
        </w:rPr>
        <w:t>DataWalk CPU system/application node pools and required external database or Decoupled Storage services, subject to vendor design.</w:t>
      </w:r>
    </w:p>
    <w:p>
      <w:pPr>
        <w:numPr>
          <w:ilvl w:val="0"/>
          <w:numId w:val="10"/>
        </w:numPr>
      </w:pPr>
      <w:r>
        <w:rPr>
          <w:rFonts w:ascii="Calibri" w:hAnsi="Calibri"/>
        </w:rPr>
        <w:t>Hyperscience CPU platform node pool plus a VM.GPU.A10.2 trainer/application node pool for the approved use case.</w:t>
      </w:r>
    </w:p>
    <w:p>
      <w:pPr>
        <w:numPr>
          <w:ilvl w:val="0"/>
          <w:numId w:val="10"/>
        </w:numPr>
      </w:pPr>
      <w:r>
        <w:rPr>
          <w:rFonts w:ascii="Calibri" w:hAnsi="Calibri"/>
        </w:rPr>
        <w:t>OCI Container Registry, Vault, Monitoring, Logging, Audit, Events/Notifications, approved load balancing, persistent storage, and backup integration.</w:t>
      </w:r>
    </w:p>
    <w:p>
      <w:pPr>
        <w:numPr>
          <w:ilvl w:val="0"/>
          <w:numId w:val="10"/>
        </w:numPr>
      </w:pPr>
      <w:r>
        <w:rPr>
          <w:rFonts w:ascii="Calibri" w:hAnsi="Calibri"/>
        </w:rPr>
        <w:t>Controlled Hyperscience-output-to-DataWalk-ingestion test using OCI Object Storage's S3-compatible interface only if both vendors approve it.</w:t>
      </w:r>
    </w:p>
    <w:p>
      <w:pPr>
        <w:numPr>
          <w:ilvl w:val="0"/>
          <w:numId w:val="10"/>
        </w:numPr>
      </w:pPr>
      <w:r>
        <w:rPr>
          <w:rFonts w:ascii="Calibri" w:hAnsi="Calibri"/>
        </w:rPr>
        <w:t>Functional, performance, security, resilience, operational, and cost testing with retained evidence.</w:t>
      </w:r>
    </w:p>
    <w:p>
      <w:pPr>
        <w:pStyle w:val="Heading2"/>
      </w:pPr>
      <w:r>
        <w:t>3.2 Out of scope</w:t>
      </w:r>
    </w:p>
    <w:p>
      <w:pPr>
        <w:numPr>
          <w:ilvl w:val="0"/>
          <w:numId w:val="10"/>
        </w:numPr>
      </w:pPr>
      <w:r>
        <w:rPr>
          <w:rFonts w:ascii="Calibri" w:hAnsi="Calibri"/>
        </w:rPr>
        <w:t>Production migration, final cutover, production ATO, or decommissioning the current on-premises environments.</w:t>
      </w:r>
    </w:p>
    <w:p>
      <w:pPr>
        <w:numPr>
          <w:ilvl w:val="0"/>
          <w:numId w:val="10"/>
        </w:numPr>
      </w:pPr>
      <w:r>
        <w:rPr>
          <w:rFonts w:ascii="Calibri" w:hAnsi="Calibri"/>
        </w:rPr>
        <w:t>Provisioning all five target clusters before POC approval.</w:t>
      </w:r>
    </w:p>
    <w:p>
      <w:pPr>
        <w:numPr>
          <w:ilvl w:val="0"/>
          <w:numId w:val="10"/>
        </w:numPr>
      </w:pPr>
      <w:r>
        <w:rPr>
          <w:rFonts w:ascii="Calibri" w:hAnsi="Calibri"/>
        </w:rPr>
        <w:t>Claiming DataWalk GPU acceleration without a vendor-supported use case and version matrix.</w:t>
      </w:r>
    </w:p>
    <w:p>
      <w:pPr>
        <w:numPr>
          <w:ilvl w:val="0"/>
          <w:numId w:val="10"/>
        </w:numPr>
      </w:pPr>
      <w:r>
        <w:rPr>
          <w:rFonts w:ascii="Calibri" w:hAnsi="Calibri"/>
        </w:rPr>
        <w:t>Treating the preliminary $663,000 five-year GPU estimate as the complete solution TCO.</w:t>
      </w:r>
    </w:p>
    <w:p>
      <w:pPr>
        <w:numPr>
          <w:ilvl w:val="0"/>
          <w:numId w:val="10"/>
        </w:numPr>
      </w:pPr>
      <w:r>
        <w:rPr>
          <w:rFonts w:ascii="Calibri" w:hAnsi="Calibri"/>
        </w:rPr>
        <w:t>Changing application business workflows beyond what is required to prove platform compatibility and integration.</w:t>
      </w:r>
    </w:p>
    <w:p>
      <w:pPr>
        <w:pStyle w:val="Heading2"/>
      </w:pPr>
      <w:r>
        <w:t>3.3 Governing assumptions</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2500"/>
        <w:gridCol w:w="6860"/>
      </w:tblGrid>
      <w:tr>
        <w:trPr>
          <w:tblHeader w:val="true"/>
          <w:cantSplit/>
        </w:trPr>
        <w:tc>
          <w:tcPr>
            <w:tcW w:type="dxa" w:w="2500"/>
            <w:tcMar>
              <w:top w:w="80" w:type="dxa"/>
              <w:start w:w="120" w:type="dxa"/>
              <w:bottom w:w="80" w:type="dxa"/>
              <w:end w:w="120" w:type="dxa"/>
            </w:tcMar>
            <w:vAlign w:val="center"/>
            <w:shd w:fill="F2F4F7"/>
          </w:tcPr>
          <w:p>
            <w:pPr>
              <w:spacing w:after="0"/>
            </w:pPr>
            <w:r>
              <w:rPr>
                <w:rFonts w:ascii="Calibri" w:hAnsi="Calibri"/>
                <w:b/>
                <w:color w:val="0B2545"/>
                <w:sz w:val="19"/>
              </w:rPr>
              <w:t>Assumption</w:t>
            </w:r>
          </w:p>
        </w:tc>
        <w:tc>
          <w:tcPr>
            <w:tcW w:type="dxa" w:w="6860"/>
            <w:tcMar>
              <w:top w:w="80" w:type="dxa"/>
              <w:start w:w="120" w:type="dxa"/>
              <w:bottom w:w="80" w:type="dxa"/>
              <w:end w:w="120" w:type="dxa"/>
            </w:tcMar>
            <w:vAlign w:val="center"/>
            <w:shd w:fill="F2F4F7"/>
          </w:tcPr>
          <w:p>
            <w:pPr>
              <w:spacing w:after="0"/>
            </w:pPr>
            <w:r>
              <w:rPr>
                <w:rFonts w:ascii="Calibri" w:hAnsi="Calibri"/>
                <w:b/>
                <w:color w:val="0B2545"/>
                <w:sz w:val="19"/>
              </w:rPr>
              <w:t>POC treatment</w:t>
            </w:r>
          </w:p>
        </w:tc>
      </w:tr>
      <w:tr>
        <w:trPr>
          <w:cantSplit/>
        </w:trPr>
        <w:tc>
          <w:tcPr>
            <w:tcW w:type="dxa" w:w="2500"/>
          </w:tcPr>
          <w:p>
            <w:pPr>
              <w:spacing w:after="0" w:line="252" w:lineRule="auto"/>
            </w:pPr>
            <w:r>
              <w:rPr>
                <w:rFonts w:ascii="Calibri" w:hAnsi="Calibri"/>
                <w:color w:val="000000"/>
                <w:sz w:val="19"/>
              </w:rPr>
              <w:t>OCI Government Cloud, target region and availability domain</w:t>
            </w:r>
          </w:p>
        </w:tc>
        <w:tc>
          <w:tcPr>
            <w:tcW w:type="dxa" w:w="6860"/>
          </w:tcPr>
          <w:p>
            <w:pPr>
              <w:spacing w:after="0" w:line="252" w:lineRule="auto"/>
            </w:pPr>
            <w:r>
              <w:rPr>
                <w:rFonts w:ascii="Calibri" w:hAnsi="Calibri"/>
                <w:color w:val="000000"/>
                <w:sz w:val="19"/>
              </w:rPr>
              <w:t>Confirm current A10.2 capacity, service limits, quotas, and procurement terms before build</w:t>
            </w:r>
          </w:p>
        </w:tc>
      </w:tr>
      <w:tr>
        <w:trPr>
          <w:cantSplit/>
        </w:trPr>
        <w:tc>
          <w:tcPr>
            <w:tcW w:type="dxa" w:w="2500"/>
          </w:tcPr>
          <w:p>
            <w:pPr>
              <w:spacing w:after="0" w:line="252" w:lineRule="auto"/>
            </w:pPr>
            <w:r>
              <w:rPr>
                <w:rFonts w:ascii="Calibri" w:hAnsi="Calibri"/>
                <w:color w:val="000000"/>
                <w:sz w:val="19"/>
              </w:rPr>
              <w:t>Existing SCCA landing zone</w:t>
            </w:r>
          </w:p>
        </w:tc>
        <w:tc>
          <w:tcPr>
            <w:tcW w:type="dxa" w:w="6860"/>
          </w:tcPr>
          <w:p>
            <w:pPr>
              <w:spacing w:after="0" w:line="252" w:lineRule="auto"/>
            </w:pPr>
            <w:r>
              <w:rPr>
                <w:rFonts w:ascii="Calibri" w:hAnsi="Calibri"/>
                <w:color w:val="000000"/>
                <w:sz w:val="19"/>
              </w:rPr>
              <w:t>Reuse approved identity, network, logging, and security guardrails; assess gaps instead of rebuilding the tenancy</w:t>
            </w:r>
          </w:p>
        </w:tc>
      </w:tr>
      <w:tr>
        <w:trPr>
          <w:cantSplit/>
        </w:trPr>
        <w:tc>
          <w:tcPr>
            <w:tcW w:type="dxa" w:w="2500"/>
          </w:tcPr>
          <w:p>
            <w:pPr>
              <w:spacing w:after="0" w:line="252" w:lineRule="auto"/>
            </w:pPr>
            <w:r>
              <w:rPr>
                <w:rFonts w:ascii="Calibri" w:hAnsi="Calibri"/>
                <w:color w:val="000000"/>
                <w:sz w:val="19"/>
              </w:rPr>
              <w:t>Private administration</w:t>
            </w:r>
          </w:p>
        </w:tc>
        <w:tc>
          <w:tcPr>
            <w:tcW w:type="dxa" w:w="6860"/>
          </w:tcPr>
          <w:p>
            <w:pPr>
              <w:spacing w:after="0" w:line="252" w:lineRule="auto"/>
            </w:pPr>
            <w:r>
              <w:rPr>
                <w:rFonts w:ascii="Calibri" w:hAnsi="Calibri"/>
                <w:color w:val="000000"/>
                <w:sz w:val="19"/>
              </w:rPr>
              <w:t>Route through FastConnect/DRG and the approved Windows jump host; no public worker IPs</w:t>
            </w:r>
          </w:p>
        </w:tc>
      </w:tr>
      <w:tr>
        <w:trPr>
          <w:cantSplit/>
        </w:trPr>
        <w:tc>
          <w:tcPr>
            <w:tcW w:type="dxa" w:w="2500"/>
          </w:tcPr>
          <w:p>
            <w:pPr>
              <w:spacing w:after="0" w:line="252" w:lineRule="auto"/>
            </w:pPr>
            <w:r>
              <w:rPr>
                <w:rFonts w:ascii="Calibri" w:hAnsi="Calibri"/>
                <w:color w:val="000000"/>
                <w:sz w:val="19"/>
              </w:rPr>
              <w:t>Managed OKE preferred</w:t>
            </w:r>
          </w:p>
        </w:tc>
        <w:tc>
          <w:tcPr>
            <w:tcW w:type="dxa" w:w="6860"/>
          </w:tcPr>
          <w:p>
            <w:pPr>
              <w:spacing w:after="0" w:line="252" w:lineRule="auto"/>
            </w:pPr>
            <w:r>
              <w:rPr>
                <w:rFonts w:ascii="Calibri" w:hAnsi="Calibri"/>
                <w:color w:val="000000"/>
                <w:sz w:val="19"/>
              </w:rPr>
              <w:t>Proceed only after vendors approve the exact OKE image/OS and Kubernetes version; otherwise evaluate self-managed Kubernetes as a separate decision</w:t>
            </w:r>
          </w:p>
        </w:tc>
      </w:tr>
      <w:tr>
        <w:trPr>
          <w:cantSplit/>
        </w:trPr>
        <w:tc>
          <w:tcPr>
            <w:tcW w:type="dxa" w:w="2500"/>
          </w:tcPr>
          <w:p>
            <w:pPr>
              <w:spacing w:after="0" w:line="252" w:lineRule="auto"/>
            </w:pPr>
            <w:r>
              <w:rPr>
                <w:rFonts w:ascii="Calibri" w:hAnsi="Calibri"/>
                <w:color w:val="000000"/>
                <w:sz w:val="19"/>
              </w:rPr>
              <w:t>RHEL 8.10</w:t>
            </w:r>
          </w:p>
        </w:tc>
        <w:tc>
          <w:tcPr>
            <w:tcW w:type="dxa" w:w="6860"/>
          </w:tcPr>
          <w:p>
            <w:pPr>
              <w:spacing w:after="0" w:line="252" w:lineRule="auto"/>
            </w:pPr>
            <w:r>
              <w:rPr>
                <w:rFonts w:ascii="Calibri" w:hAnsi="Calibri"/>
                <w:color w:val="000000"/>
                <w:sz w:val="19"/>
              </w:rPr>
              <w:t>DataWalk publicly names RHEL 8.10 or Rocky 8 for its container transition [S10], but this is not proof that managed OKE Oracle Linux workers are vendor-supported</w:t>
            </w:r>
          </w:p>
        </w:tc>
      </w:tr>
      <w:tr>
        <w:trPr>
          <w:cantSplit/>
        </w:trPr>
        <w:tc>
          <w:tcPr>
            <w:tcW w:type="dxa" w:w="2500"/>
          </w:tcPr>
          <w:p>
            <w:pPr>
              <w:spacing w:after="0" w:line="252" w:lineRule="auto"/>
            </w:pPr>
            <w:r>
              <w:rPr>
                <w:rFonts w:ascii="Calibri" w:hAnsi="Calibri"/>
                <w:color w:val="000000"/>
                <w:sz w:val="19"/>
              </w:rPr>
              <w:t>Kubernetes SME</w:t>
            </w:r>
          </w:p>
        </w:tc>
        <w:tc>
          <w:tcPr>
            <w:tcW w:type="dxa" w:w="6860"/>
          </w:tcPr>
          <w:p>
            <w:pPr>
              <w:spacing w:after="0" w:line="252" w:lineRule="auto"/>
            </w:pPr>
            <w:r>
              <w:rPr>
                <w:rFonts w:ascii="Calibri" w:hAnsi="Calibri"/>
                <w:color w:val="000000"/>
                <w:sz w:val="19"/>
              </w:rPr>
              <w:t>Required for design, implementation, operations handoff, troubleshooting, and knowledge transfer</w:t>
            </w:r>
          </w:p>
        </w:tc>
      </w:tr>
    </w:tbl>
    <w:p>
      <w:pPr>
        <w:spacing w:after="20"/>
      </w:pPr>
    </w:p>
    <w:p>
      <w:pPr>
        <w:pStyle w:val="Heading1"/>
        <w:pageBreakBefore/>
      </w:pPr>
      <w:r>
        <w:t>4. POC footprint and target-state relationship</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1650"/>
        <w:gridCol w:w="3500"/>
        <w:gridCol w:w="4210"/>
      </w:tblGrid>
      <w:tr>
        <w:trPr>
          <w:tblHeader w:val="true"/>
          <w:cantSplit/>
        </w:trPr>
        <w:tc>
          <w:tcPr>
            <w:tcW w:type="dxa" w:w="1650"/>
            <w:tcMar>
              <w:top w:w="80" w:type="dxa"/>
              <w:start w:w="120" w:type="dxa"/>
              <w:bottom w:w="80" w:type="dxa"/>
              <w:end w:w="120" w:type="dxa"/>
            </w:tcMar>
            <w:vAlign w:val="center"/>
            <w:shd w:fill="F2F4F7"/>
          </w:tcPr>
          <w:p>
            <w:pPr>
              <w:spacing w:after="0"/>
            </w:pPr>
            <w:r>
              <w:rPr>
                <w:rFonts w:ascii="Calibri" w:hAnsi="Calibri"/>
                <w:b/>
                <w:color w:val="0B2545"/>
                <w:sz w:val="19"/>
              </w:rPr>
              <w:t>Layer</w:t>
            </w:r>
          </w:p>
        </w:tc>
        <w:tc>
          <w:tcPr>
            <w:tcW w:type="dxa" w:w="3500"/>
            <w:tcMar>
              <w:top w:w="80" w:type="dxa"/>
              <w:start w:w="120" w:type="dxa"/>
              <w:bottom w:w="80" w:type="dxa"/>
              <w:end w:w="120" w:type="dxa"/>
            </w:tcMar>
            <w:vAlign w:val="center"/>
            <w:shd w:fill="F2F4F7"/>
          </w:tcPr>
          <w:p>
            <w:pPr>
              <w:spacing w:after="0"/>
            </w:pPr>
            <w:r>
              <w:rPr>
                <w:rFonts w:ascii="Calibri" w:hAnsi="Calibri"/>
                <w:b/>
                <w:color w:val="0B2545"/>
                <w:sz w:val="19"/>
              </w:rPr>
              <w:t>POC execution</w:t>
            </w:r>
          </w:p>
        </w:tc>
        <w:tc>
          <w:tcPr>
            <w:tcW w:type="dxa" w:w="4210"/>
            <w:tcMar>
              <w:top w:w="80" w:type="dxa"/>
              <w:start w:w="120" w:type="dxa"/>
              <w:bottom w:w="80" w:type="dxa"/>
              <w:end w:w="120" w:type="dxa"/>
            </w:tcMar>
            <w:vAlign w:val="center"/>
            <w:shd w:fill="F2F4F7"/>
          </w:tcPr>
          <w:p>
            <w:pPr>
              <w:spacing w:after="0"/>
            </w:pPr>
            <w:r>
              <w:rPr>
                <w:rFonts w:ascii="Calibri" w:hAnsi="Calibri"/>
                <w:b/>
                <w:color w:val="0B2545"/>
                <w:sz w:val="19"/>
              </w:rPr>
              <w:t>Post-POC target pattern</w:t>
            </w:r>
          </w:p>
        </w:tc>
      </w:tr>
      <w:tr>
        <w:trPr>
          <w:cantSplit/>
        </w:trPr>
        <w:tc>
          <w:tcPr>
            <w:tcW w:type="dxa" w:w="1650"/>
          </w:tcPr>
          <w:p>
            <w:pPr>
              <w:spacing w:after="0" w:line="252" w:lineRule="auto"/>
            </w:pPr>
            <w:r>
              <w:rPr>
                <w:rFonts w:ascii="Calibri" w:hAnsi="Calibri"/>
                <w:color w:val="000000"/>
                <w:sz w:val="19"/>
              </w:rPr>
              <w:t>DataWalk</w:t>
            </w:r>
          </w:p>
        </w:tc>
        <w:tc>
          <w:tcPr>
            <w:tcW w:type="dxa" w:w="3500"/>
          </w:tcPr>
          <w:p>
            <w:pPr>
              <w:spacing w:after="0" w:line="252" w:lineRule="auto"/>
            </w:pPr>
            <w:r>
              <w:rPr>
                <w:rFonts w:ascii="Calibri" w:hAnsi="Calibri"/>
                <w:color w:val="000000"/>
                <w:sz w:val="19"/>
              </w:rPr>
              <w:t>One Dev-equivalent OKE cluster on CPU workers</w:t>
            </w:r>
          </w:p>
        </w:tc>
        <w:tc>
          <w:tcPr>
            <w:tcW w:type="dxa" w:w="4210"/>
          </w:tcPr>
          <w:p>
            <w:pPr>
              <w:spacing w:after="0" w:line="252" w:lineRule="auto"/>
            </w:pPr>
            <w:r>
              <w:rPr>
                <w:rFonts w:ascii="Calibri" w:hAnsi="Calibri"/>
                <w:color w:val="000000"/>
                <w:sz w:val="19"/>
              </w:rPr>
              <w:t>Separate DW Dev, DW Test, and DW Prod clusters</w:t>
            </w:r>
          </w:p>
        </w:tc>
      </w:tr>
      <w:tr>
        <w:trPr>
          <w:cantSplit/>
        </w:trPr>
        <w:tc>
          <w:tcPr>
            <w:tcW w:type="dxa" w:w="1650"/>
          </w:tcPr>
          <w:p>
            <w:pPr>
              <w:spacing w:after="0" w:line="252" w:lineRule="auto"/>
            </w:pPr>
            <w:r>
              <w:rPr>
                <w:rFonts w:ascii="Calibri" w:hAnsi="Calibri"/>
                <w:color w:val="000000"/>
                <w:sz w:val="19"/>
              </w:rPr>
              <w:t>Hyperscience</w:t>
            </w:r>
          </w:p>
        </w:tc>
        <w:tc>
          <w:tcPr>
            <w:tcW w:type="dxa" w:w="3500"/>
          </w:tcPr>
          <w:p>
            <w:pPr>
              <w:spacing w:after="0" w:line="252" w:lineRule="auto"/>
            </w:pPr>
            <w:r>
              <w:rPr>
                <w:rFonts w:ascii="Calibri" w:hAnsi="Calibri"/>
                <w:color w:val="000000"/>
                <w:sz w:val="19"/>
              </w:rPr>
              <w:t>One Dev-equivalent OKE cluster with CPU platform and A10 GPU pool</w:t>
            </w:r>
          </w:p>
        </w:tc>
        <w:tc>
          <w:tcPr>
            <w:tcW w:type="dxa" w:w="4210"/>
          </w:tcPr>
          <w:p>
            <w:pPr>
              <w:spacing w:after="0" w:line="252" w:lineRule="auto"/>
            </w:pPr>
            <w:r>
              <w:rPr>
                <w:rFonts w:ascii="Calibri" w:hAnsi="Calibri"/>
                <w:color w:val="000000"/>
                <w:sz w:val="19"/>
              </w:rPr>
              <w:t>Separate HS Dev and HS Prod clusters</w:t>
            </w:r>
          </w:p>
        </w:tc>
      </w:tr>
      <w:tr>
        <w:trPr>
          <w:cantSplit/>
        </w:trPr>
        <w:tc>
          <w:tcPr>
            <w:tcW w:type="dxa" w:w="1650"/>
          </w:tcPr>
          <w:p>
            <w:pPr>
              <w:spacing w:after="0" w:line="252" w:lineRule="auto"/>
            </w:pPr>
            <w:r>
              <w:rPr>
                <w:rFonts w:ascii="Calibri" w:hAnsi="Calibri"/>
                <w:color w:val="000000"/>
                <w:sz w:val="19"/>
              </w:rPr>
              <w:t>Ingress</w:t>
            </w:r>
          </w:p>
        </w:tc>
        <w:tc>
          <w:tcPr>
            <w:tcW w:type="dxa" w:w="3500"/>
          </w:tcPr>
          <w:p>
            <w:pPr>
              <w:spacing w:after="0" w:line="252" w:lineRule="auto"/>
            </w:pPr>
            <w:r>
              <w:rPr>
                <w:rFonts w:ascii="Calibri" w:hAnsi="Calibri"/>
                <w:color w:val="000000"/>
                <w:sz w:val="19"/>
              </w:rPr>
              <w:t>Private endpoint per POC cluster</w:t>
            </w:r>
          </w:p>
        </w:tc>
        <w:tc>
          <w:tcPr>
            <w:tcW w:type="dxa" w:w="4210"/>
          </w:tcPr>
          <w:p>
            <w:pPr>
              <w:spacing w:after="0" w:line="252" w:lineRule="auto"/>
            </w:pPr>
            <w:r>
              <w:rPr>
                <w:rFonts w:ascii="Calibri" w:hAnsi="Calibri"/>
                <w:color w:val="000000"/>
                <w:sz w:val="19"/>
              </w:rPr>
              <w:t>Dedicated private endpoint per environment</w:t>
            </w:r>
          </w:p>
        </w:tc>
      </w:tr>
      <w:tr>
        <w:trPr>
          <w:cantSplit/>
        </w:trPr>
        <w:tc>
          <w:tcPr>
            <w:tcW w:type="dxa" w:w="1650"/>
          </w:tcPr>
          <w:p>
            <w:pPr>
              <w:spacing w:after="0" w:line="252" w:lineRule="auto"/>
            </w:pPr>
            <w:r>
              <w:rPr>
                <w:rFonts w:ascii="Calibri" w:hAnsi="Calibri"/>
                <w:color w:val="000000"/>
                <w:sz w:val="19"/>
              </w:rPr>
              <w:t>State</w:t>
            </w:r>
          </w:p>
        </w:tc>
        <w:tc>
          <w:tcPr>
            <w:tcW w:type="dxa" w:w="3500"/>
          </w:tcPr>
          <w:p>
            <w:pPr>
              <w:spacing w:after="0" w:line="252" w:lineRule="auto"/>
            </w:pPr>
            <w:r>
              <w:rPr>
                <w:rFonts w:ascii="Calibri" w:hAnsi="Calibri"/>
                <w:color w:val="000000"/>
                <w:sz w:val="19"/>
              </w:rPr>
              <w:t>Dedicated POC DB/storage</w:t>
            </w:r>
          </w:p>
        </w:tc>
        <w:tc>
          <w:tcPr>
            <w:tcW w:type="dxa" w:w="4210"/>
          </w:tcPr>
          <w:p>
            <w:pPr>
              <w:spacing w:after="0" w:line="252" w:lineRule="auto"/>
            </w:pPr>
            <w:r>
              <w:rPr>
                <w:rFonts w:ascii="Calibri" w:hAnsi="Calibri"/>
                <w:color w:val="000000"/>
                <w:sz w:val="19"/>
              </w:rPr>
              <w:t>Environment-specific DB, storage, keys, backups, retention</w:t>
            </w:r>
          </w:p>
        </w:tc>
      </w:tr>
      <w:tr>
        <w:trPr>
          <w:cantSplit/>
        </w:trPr>
        <w:tc>
          <w:tcPr>
            <w:tcW w:type="dxa" w:w="1650"/>
          </w:tcPr>
          <w:p>
            <w:pPr>
              <w:spacing w:after="0" w:line="252" w:lineRule="auto"/>
            </w:pPr>
            <w:r>
              <w:rPr>
                <w:rFonts w:ascii="Calibri" w:hAnsi="Calibri"/>
                <w:color w:val="000000"/>
                <w:sz w:val="19"/>
              </w:rPr>
              <w:t>Identity</w:t>
            </w:r>
          </w:p>
        </w:tc>
        <w:tc>
          <w:tcPr>
            <w:tcW w:type="dxa" w:w="3500"/>
          </w:tcPr>
          <w:p>
            <w:pPr>
              <w:spacing w:after="0" w:line="252" w:lineRule="auto"/>
            </w:pPr>
            <w:r>
              <w:rPr>
                <w:rFonts w:ascii="Calibri" w:hAnsi="Calibri"/>
                <w:color w:val="000000"/>
                <w:sz w:val="19"/>
              </w:rPr>
              <w:t>Environment-specific service accounts and secrets</w:t>
            </w:r>
          </w:p>
        </w:tc>
        <w:tc>
          <w:tcPr>
            <w:tcW w:type="dxa" w:w="4210"/>
          </w:tcPr>
          <w:p>
            <w:pPr>
              <w:spacing w:after="0" w:line="252" w:lineRule="auto"/>
            </w:pPr>
            <w:r>
              <w:rPr>
                <w:rFonts w:ascii="Calibri" w:hAnsi="Calibri"/>
                <w:color w:val="000000"/>
                <w:sz w:val="19"/>
              </w:rPr>
              <w:t>No production/non-production trust or credential reuse</w:t>
            </w:r>
          </w:p>
        </w:tc>
      </w:tr>
      <w:tr>
        <w:trPr>
          <w:cantSplit/>
        </w:trPr>
        <w:tc>
          <w:tcPr>
            <w:tcW w:type="dxa" w:w="1650"/>
          </w:tcPr>
          <w:p>
            <w:pPr>
              <w:spacing w:after="0" w:line="252" w:lineRule="auto"/>
            </w:pPr>
            <w:r>
              <w:rPr>
                <w:rFonts w:ascii="Calibri" w:hAnsi="Calibri"/>
                <w:color w:val="000000"/>
                <w:sz w:val="19"/>
              </w:rPr>
              <w:t>Operations</w:t>
            </w:r>
          </w:p>
        </w:tc>
        <w:tc>
          <w:tcPr>
            <w:tcW w:type="dxa" w:w="3500"/>
          </w:tcPr>
          <w:p>
            <w:pPr>
              <w:spacing w:after="0" w:line="252" w:lineRule="auto"/>
            </w:pPr>
            <w:r>
              <w:rPr>
                <w:rFonts w:ascii="Calibri" w:hAnsi="Calibri"/>
                <w:color w:val="000000"/>
                <w:sz w:val="19"/>
              </w:rPr>
              <w:t>POC runbooks and alerts</w:t>
            </w:r>
          </w:p>
        </w:tc>
        <w:tc>
          <w:tcPr>
            <w:tcW w:type="dxa" w:w="4210"/>
          </w:tcPr>
          <w:p>
            <w:pPr>
              <w:spacing w:after="0" w:line="252" w:lineRule="auto"/>
            </w:pPr>
            <w:r>
              <w:rPr>
                <w:rFonts w:ascii="Calibri" w:hAnsi="Calibri"/>
                <w:color w:val="000000"/>
                <w:sz w:val="19"/>
              </w:rPr>
              <w:t>Approved production SLOs, on-call, patch, backup, DR, and escalation model</w:t>
            </w:r>
          </w:p>
        </w:tc>
      </w:tr>
    </w:tbl>
    <w:p>
      <w:pPr>
        <w:spacing w:after="20"/>
      </w:pP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c>
          <w:tcPr>
            <w:tcW w:type="dxa" w:w="9360"/>
            <w:tcMar>
              <w:top w:w="80" w:type="dxa"/>
              <w:start w:w="120" w:type="dxa"/>
              <w:bottom w:w="80" w:type="dxa"/>
              <w:end w:w="120" w:type="dxa"/>
            </w:tcMar>
            <w:vAlign w:val="center"/>
            <w:shd w:fill="F4F6F9"/>
          </w:tcPr>
          <w:p>
            <w:pPr>
              <w:spacing w:after="0" w:line="264" w:lineRule="auto"/>
            </w:pPr>
            <w:r>
              <w:rPr>
                <w:rFonts w:ascii="Calibri" w:hAnsi="Calibri"/>
                <w:b/>
                <w:color w:val="1F4D78"/>
                <w:sz w:val="21"/>
              </w:rPr>
              <w:t xml:space="preserve">WHY TWO POC CLUSTERS  </w:t>
            </w:r>
            <w:r>
              <w:rPr>
                <w:rFonts w:ascii="Calibri" w:hAnsi="Calibri"/>
                <w:color w:val="000000"/>
                <w:sz w:val="21"/>
              </w:rPr>
              <w:t>The purpose is to validate each application's required cluster pattern and the integration between them without paying for all five target environments before leadership has the evidence to approve implementation.</w:t>
            </w:r>
          </w:p>
        </w:tc>
      </w:tr>
    </w:tbl>
    <w:p>
      <w:pPr>
        <w:spacing w:after="20"/>
      </w:pPr>
    </w:p>
    <w:p>
      <w:pPr>
        <w:pStyle w:val="Heading2"/>
      </w:pPr>
      <w:r>
        <w:t>4.1 Promotion rules after a successful POC</w:t>
      </w:r>
    </w:p>
    <w:p>
      <w:pPr>
        <w:numPr>
          <w:ilvl w:val="0"/>
          <w:numId w:val="10"/>
        </w:numPr>
      </w:pPr>
      <w:r>
        <w:rPr>
          <w:rFonts w:ascii="Calibri" w:hAnsi="Calibri"/>
        </w:rPr>
        <w:t>Rebuild each approved target environment from controlled infrastructure-as-code; do not convert the POC cluster into production.</w:t>
      </w:r>
    </w:p>
    <w:p>
      <w:pPr>
        <w:numPr>
          <w:ilvl w:val="0"/>
          <w:numId w:val="10"/>
        </w:numPr>
      </w:pPr>
      <w:r>
        <w:rPr>
          <w:rFonts w:ascii="Calibri" w:hAnsi="Calibri"/>
        </w:rPr>
        <w:t>Do not promote POC credentials, keys, temporary accounts, unapproved images, or test data into production.</w:t>
      </w:r>
    </w:p>
    <w:p>
      <w:pPr>
        <w:numPr>
          <w:ilvl w:val="0"/>
          <w:numId w:val="10"/>
        </w:numPr>
      </w:pPr>
      <w:r>
        <w:rPr>
          <w:rFonts w:ascii="Calibri" w:hAnsi="Calibri"/>
        </w:rPr>
        <w:t>Apply the signed version matrix and approved configuration baseline separately to DW Dev, DW Test, DW Prod, HS Dev, and HS Prod.</w:t>
      </w:r>
    </w:p>
    <w:p>
      <w:pPr>
        <w:numPr>
          <w:ilvl w:val="0"/>
          <w:numId w:val="10"/>
        </w:numPr>
      </w:pPr>
      <w:r>
        <w:rPr>
          <w:rFonts w:ascii="Calibri" w:hAnsi="Calibri"/>
        </w:rPr>
        <w:t>Require an environment readiness gate before every deployment, including capacity, security, backup, monitoring, support, and cost approval.</w:t>
      </w:r>
    </w:p>
    <w:p>
      <w:pPr>
        <w:numPr>
          <w:ilvl w:val="0"/>
          <w:numId w:val="10"/>
        </w:numPr>
      </w:pPr>
      <w:r>
        <w:rPr>
          <w:rFonts w:ascii="Calibri" w:hAnsi="Calibri"/>
        </w:rPr>
        <w:t>Size production high availability and GPU resiliency from POC evidence and vendor guidance, not from the minimum POC footprint.</w:t>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80"/>
      </w:pPr>
      <w:r>
        <w:rPr>
          <w:rFonts w:ascii="Calibri" w:hAnsi="Calibri"/>
          <w:b/>
          <w:color w:val="2E74B5"/>
          <w:sz w:val="32"/>
        </w:rPr>
        <w:t>5. Approved target architecture pattern</w:t>
      </w:r>
    </w:p>
    <w:p>
      <w:pPr>
        <w:spacing w:after="120"/>
      </w:pPr>
      <w:r>
        <w:rPr>
          <w:rFonts w:ascii="Calibri" w:hAnsi="Calibri"/>
          <w:color w:val="5B6573"/>
          <w:sz w:val="21"/>
        </w:rPr>
        <w:t>Five dedicated OKE clusters; the POC provisions only the DW Dev-equivalent and HS Dev-equivalent patterns.</w:t>
      </w:r>
    </w:p>
    <w:p>
      <w:pPr>
        <w:spacing w:after="80"/>
        <w:jc w:val="center"/>
      </w:pPr>
      <w:r>
        <w:drawing>
          <wp:inline xmlns:a="http://schemas.openxmlformats.org/drawingml/2006/main" xmlns:pic="http://schemas.openxmlformats.org/drawingml/2006/picture">
            <wp:extent cx="8138160" cy="5425440"/>
            <wp:docPr id="1" name="Picture 1" descr="OCI Government Cloud architecture showing separate DataWalk Dev, Test, and Prod OKE clusters and separate Hyperscience Dev and Prod OKE clusters, with CPU and NVIDIA A10 GPU node pools." title="DataWalk and Hyperscience five-cluster OCI architecture"/>
            <wp:cNvGraphicFramePr>
              <a:graphicFrameLocks noChangeAspect="1"/>
            </wp:cNvGraphicFramePr>
            <a:graphic>
              <a:graphicData uri="http://schemas.openxmlformats.org/drawingml/2006/picture">
                <pic:pic>
                  <pic:nvPicPr>
                    <pic:cNvPr id="0" name="dwhs-five-cluster-architecture.png"/>
                    <pic:cNvPicPr/>
                  </pic:nvPicPr>
                  <pic:blipFill>
                    <a:blip r:embed="rId11"/>
                    <a:stretch>
                      <a:fillRect/>
                    </a:stretch>
                  </pic:blipFill>
                  <pic:spPr>
                    <a:xfrm>
                      <a:off x="0" y="0"/>
                      <a:ext cx="8138160" cy="5425440"/>
                    </a:xfrm>
                    <a:prstGeom prst="rect"/>
                  </pic:spPr>
                </pic:pic>
              </a:graphicData>
            </a:graphic>
          </wp:inline>
        </w:drawing>
      </w:r>
    </w:p>
    <w:p>
      <w:pPr>
        <w:spacing w:after="0"/>
        <w:jc w:val="center"/>
      </w:pPr>
      <w:r>
        <w:rPr>
          <w:rFonts w:ascii="Calibri" w:hAnsi="Calibri"/>
          <w:i/>
          <w:color w:val="5B6573"/>
          <w:sz w:val="17"/>
        </w:rPr>
        <w:t>Figure 1. Production and non-production cluster boundaries. Node counts and shapes remain subject to vendor sizing and POC evidence.</w:t>
      </w:r>
    </w:p>
    <w:p>
      <w:pPr>
        <w:sectPr>
          <w:pgSz w:w="15840" w:h="12240" w:orient="landscape"/>
          <w:pgMar w:top="792" w:right="720" w:bottom="792" w:left="720" w:header="708" w:footer="708" w:gutter="0"/>
          <w:cols w:space="720"/>
          <w:docGrid w:linePitch="360"/>
        </w:sectPr>
      </w:pPr>
    </w:p>
    <w:p>
      <w:pPr>
        <w:pStyle w:val="Heading1"/>
      </w:pPr>
      <w:r>
        <w:t>6. OCI Cloud Adoption Framework execution plan</w:t>
      </w:r>
    </w:p>
    <w:p>
      <w:pPr>
        <w:spacing w:after="120" w:line="264" w:lineRule="auto"/>
      </w:pPr>
      <w:r>
        <w:rPr>
          <w:rFonts w:ascii="Calibri" w:hAnsi="Calibri"/>
          <w:i w:val="0"/>
        </w:rPr>
        <w:t>Oracle's CAF uses six pillars to connect business strategy with people, process, security, technology, and operations [S1]. For this POC, each pillar produces an approval artifact rather than a general discussion.</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1750"/>
        <w:gridCol w:w="3750"/>
        <w:gridCol w:w="3860"/>
      </w:tblGrid>
      <w:tr>
        <w:trPr>
          <w:tblHeader w:val="true"/>
          <w:cantSplit/>
        </w:trPr>
        <w:tc>
          <w:tcPr>
            <w:tcW w:type="dxa" w:w="1750"/>
            <w:tcMar>
              <w:top w:w="80" w:type="dxa"/>
              <w:start w:w="120" w:type="dxa"/>
              <w:bottom w:w="80" w:type="dxa"/>
              <w:end w:w="120" w:type="dxa"/>
            </w:tcMar>
            <w:vAlign w:val="center"/>
            <w:shd w:fill="F2F4F7"/>
          </w:tcPr>
          <w:p>
            <w:pPr>
              <w:spacing w:after="0"/>
            </w:pPr>
            <w:r>
              <w:rPr>
                <w:rFonts w:ascii="Calibri" w:hAnsi="Calibri"/>
                <w:b/>
                <w:color w:val="0B2545"/>
                <w:sz w:val="18"/>
              </w:rPr>
              <w:t>CAF pillar</w:t>
            </w:r>
          </w:p>
        </w:tc>
        <w:tc>
          <w:tcPr>
            <w:tcW w:type="dxa" w:w="3750"/>
            <w:tcMar>
              <w:top w:w="80" w:type="dxa"/>
              <w:start w:w="120" w:type="dxa"/>
              <w:bottom w:w="80" w:type="dxa"/>
              <w:end w:w="120" w:type="dxa"/>
            </w:tcMar>
            <w:vAlign w:val="center"/>
            <w:shd w:fill="F2F4F7"/>
          </w:tcPr>
          <w:p>
            <w:pPr>
              <w:spacing w:after="0"/>
            </w:pPr>
            <w:r>
              <w:rPr>
                <w:rFonts w:ascii="Calibri" w:hAnsi="Calibri"/>
                <w:b/>
                <w:color w:val="0B2545"/>
                <w:sz w:val="18"/>
              </w:rPr>
              <w:t>POC application</w:t>
            </w:r>
          </w:p>
        </w:tc>
        <w:tc>
          <w:tcPr>
            <w:tcW w:type="dxa" w:w="3860"/>
            <w:tcMar>
              <w:top w:w="80" w:type="dxa"/>
              <w:start w:w="120" w:type="dxa"/>
              <w:bottom w:w="80" w:type="dxa"/>
              <w:end w:w="120" w:type="dxa"/>
            </w:tcMar>
            <w:vAlign w:val="center"/>
            <w:shd w:fill="F2F4F7"/>
          </w:tcPr>
          <w:p>
            <w:pPr>
              <w:spacing w:after="0"/>
            </w:pPr>
            <w:r>
              <w:rPr>
                <w:rFonts w:ascii="Calibri" w:hAnsi="Calibri"/>
                <w:b/>
                <w:color w:val="0B2545"/>
                <w:sz w:val="18"/>
              </w:rPr>
              <w:t>Required evidence / owner</w:t>
            </w:r>
          </w:p>
        </w:tc>
      </w:tr>
      <w:tr>
        <w:trPr>
          <w:cantSplit/>
        </w:trPr>
        <w:tc>
          <w:tcPr>
            <w:tcW w:type="dxa" w:w="1750"/>
          </w:tcPr>
          <w:p>
            <w:pPr>
              <w:spacing w:after="0" w:line="252" w:lineRule="auto"/>
            </w:pPr>
            <w:r>
              <w:rPr>
                <w:rFonts w:ascii="Calibri" w:hAnsi="Calibri"/>
                <w:color w:val="000000"/>
                <w:sz w:val="18"/>
              </w:rPr>
              <w:t>Business strategy</w:t>
            </w:r>
          </w:p>
        </w:tc>
        <w:tc>
          <w:tcPr>
            <w:tcW w:type="dxa" w:w="3750"/>
          </w:tcPr>
          <w:p>
            <w:pPr>
              <w:spacing w:after="0" w:line="252" w:lineRule="auto"/>
            </w:pPr>
            <w:r>
              <w:rPr>
                <w:rFonts w:ascii="Calibri" w:hAnsi="Calibri"/>
                <w:color w:val="000000"/>
                <w:sz w:val="18"/>
              </w:rPr>
              <w:t>Define decision, expected mission value, alternatives, cost ceiling, and production trigger</w:t>
            </w:r>
          </w:p>
        </w:tc>
        <w:tc>
          <w:tcPr>
            <w:tcW w:type="dxa" w:w="3860"/>
          </w:tcPr>
          <w:p>
            <w:pPr>
              <w:spacing w:after="0" w:line="252" w:lineRule="auto"/>
            </w:pPr>
            <w:r>
              <w:rPr>
                <w:rFonts w:ascii="Calibri" w:hAnsi="Calibri"/>
                <w:color w:val="000000"/>
                <w:sz w:val="18"/>
              </w:rPr>
              <w:t>Approved POC charter and decision scorecard / Program leadership</w:t>
            </w:r>
          </w:p>
        </w:tc>
      </w:tr>
      <w:tr>
        <w:trPr>
          <w:cantSplit/>
        </w:trPr>
        <w:tc>
          <w:tcPr>
            <w:tcW w:type="dxa" w:w="1750"/>
          </w:tcPr>
          <w:p>
            <w:pPr>
              <w:spacing w:after="0" w:line="252" w:lineRule="auto"/>
            </w:pPr>
            <w:r>
              <w:rPr>
                <w:rFonts w:ascii="Calibri" w:hAnsi="Calibri"/>
                <w:color w:val="000000"/>
                <w:sz w:val="18"/>
              </w:rPr>
              <w:t>People strategy</w:t>
            </w:r>
          </w:p>
        </w:tc>
        <w:tc>
          <w:tcPr>
            <w:tcW w:type="dxa" w:w="3750"/>
          </w:tcPr>
          <w:p>
            <w:pPr>
              <w:spacing w:after="0" w:line="252" w:lineRule="auto"/>
            </w:pPr>
            <w:r>
              <w:rPr>
                <w:rFonts w:ascii="Calibri" w:hAnsi="Calibri"/>
                <w:color w:val="000000"/>
                <w:sz w:val="18"/>
              </w:rPr>
              <w:t>Establish sponsor, PM, OCI architect, Kubernetes SME, application SMEs, security, network, and operations roles</w:t>
            </w:r>
          </w:p>
        </w:tc>
        <w:tc>
          <w:tcPr>
            <w:tcW w:type="dxa" w:w="3860"/>
          </w:tcPr>
          <w:p>
            <w:pPr>
              <w:spacing w:after="0" w:line="252" w:lineRule="auto"/>
            </w:pPr>
            <w:r>
              <w:rPr>
                <w:rFonts w:ascii="Calibri" w:hAnsi="Calibri"/>
                <w:color w:val="000000"/>
                <w:sz w:val="18"/>
              </w:rPr>
              <w:t>RACI, training plan, support contacts / PM</w:t>
            </w:r>
          </w:p>
        </w:tc>
      </w:tr>
      <w:tr>
        <w:trPr>
          <w:cantSplit/>
        </w:trPr>
        <w:tc>
          <w:tcPr>
            <w:tcW w:type="dxa" w:w="1750"/>
          </w:tcPr>
          <w:p>
            <w:pPr>
              <w:spacing w:after="0" w:line="252" w:lineRule="auto"/>
            </w:pPr>
            <w:r>
              <w:rPr>
                <w:rFonts w:ascii="Calibri" w:hAnsi="Calibri"/>
                <w:color w:val="000000"/>
                <w:sz w:val="18"/>
              </w:rPr>
              <w:t>Security</w:t>
            </w:r>
          </w:p>
        </w:tc>
        <w:tc>
          <w:tcPr>
            <w:tcW w:type="dxa" w:w="3750"/>
          </w:tcPr>
          <w:p>
            <w:pPr>
              <w:spacing w:after="0" w:line="252" w:lineRule="auto"/>
            </w:pPr>
            <w:r>
              <w:rPr>
                <w:rFonts w:ascii="Calibri" w:hAnsi="Calibri"/>
                <w:color w:val="000000"/>
                <w:sz w:val="18"/>
              </w:rPr>
              <w:t>Apply SCCA guardrails, least privilege, private access, encryption, logging, vulnerability management, and evidence retention</w:t>
            </w:r>
          </w:p>
        </w:tc>
        <w:tc>
          <w:tcPr>
            <w:tcW w:type="dxa" w:w="3860"/>
          </w:tcPr>
          <w:p>
            <w:pPr>
              <w:spacing w:after="0" w:line="252" w:lineRule="auto"/>
            </w:pPr>
            <w:r>
              <w:rPr>
                <w:rFonts w:ascii="Calibri" w:hAnsi="Calibri"/>
                <w:color w:val="000000"/>
                <w:sz w:val="18"/>
              </w:rPr>
              <w:t>Security control mapping and findings / Security and ATO leads</w:t>
            </w:r>
          </w:p>
        </w:tc>
      </w:tr>
      <w:tr>
        <w:trPr>
          <w:cantSplit/>
        </w:trPr>
        <w:tc>
          <w:tcPr>
            <w:tcW w:type="dxa" w:w="1750"/>
          </w:tcPr>
          <w:p>
            <w:pPr>
              <w:spacing w:after="0" w:line="252" w:lineRule="auto"/>
            </w:pPr>
            <w:r>
              <w:rPr>
                <w:rFonts w:ascii="Calibri" w:hAnsi="Calibri"/>
                <w:color w:val="000000"/>
                <w:sz w:val="18"/>
              </w:rPr>
              <w:t>Process design</w:t>
            </w:r>
          </w:p>
        </w:tc>
        <w:tc>
          <w:tcPr>
            <w:tcW w:type="dxa" w:w="3750"/>
          </w:tcPr>
          <w:p>
            <w:pPr>
              <w:spacing w:after="0" w:line="252" w:lineRule="auto"/>
            </w:pPr>
            <w:r>
              <w:rPr>
                <w:rFonts w:ascii="Calibri" w:hAnsi="Calibri"/>
                <w:color w:val="000000"/>
                <w:sz w:val="18"/>
              </w:rPr>
              <w:t>Define change, release, incident, access, backup, restore, vendor escalation, and approval processes</w:t>
            </w:r>
          </w:p>
        </w:tc>
        <w:tc>
          <w:tcPr>
            <w:tcW w:type="dxa" w:w="3860"/>
          </w:tcPr>
          <w:p>
            <w:pPr>
              <w:spacing w:after="0" w:line="252" w:lineRule="auto"/>
            </w:pPr>
            <w:r>
              <w:rPr>
                <w:rFonts w:ascii="Calibri" w:hAnsi="Calibri"/>
                <w:color w:val="000000"/>
                <w:sz w:val="18"/>
              </w:rPr>
              <w:t>POC runbook and operating procedures / Platform operations</w:t>
            </w:r>
          </w:p>
        </w:tc>
      </w:tr>
      <w:tr>
        <w:trPr>
          <w:cantSplit/>
        </w:trPr>
        <w:tc>
          <w:tcPr>
            <w:tcW w:type="dxa" w:w="1750"/>
          </w:tcPr>
          <w:p>
            <w:pPr>
              <w:spacing w:after="0" w:line="252" w:lineRule="auto"/>
            </w:pPr>
            <w:r>
              <w:rPr>
                <w:rFonts w:ascii="Calibri" w:hAnsi="Calibri"/>
                <w:color w:val="000000"/>
                <w:sz w:val="18"/>
              </w:rPr>
              <w:t>Technology implementation</w:t>
            </w:r>
          </w:p>
        </w:tc>
        <w:tc>
          <w:tcPr>
            <w:tcW w:type="dxa" w:w="3750"/>
          </w:tcPr>
          <w:p>
            <w:pPr>
              <w:spacing w:after="0" w:line="252" w:lineRule="auto"/>
            </w:pPr>
            <w:r>
              <w:rPr>
                <w:rFonts w:ascii="Calibri" w:hAnsi="Calibri"/>
                <w:color w:val="000000"/>
                <w:sz w:val="18"/>
              </w:rPr>
              <w:t>Build landing-zone workload components, private OKE clusters, node pools, external services, and integration</w:t>
            </w:r>
          </w:p>
        </w:tc>
        <w:tc>
          <w:tcPr>
            <w:tcW w:type="dxa" w:w="3860"/>
          </w:tcPr>
          <w:p>
            <w:pPr>
              <w:spacing w:after="0" w:line="252" w:lineRule="auto"/>
            </w:pPr>
            <w:r>
              <w:rPr>
                <w:rFonts w:ascii="Calibri" w:hAnsi="Calibri"/>
                <w:color w:val="000000"/>
                <w:sz w:val="18"/>
              </w:rPr>
              <w:t>Infrastructure-as-code, diagrams, configuration and version matrix / OCI and Kubernetes architects</w:t>
            </w:r>
          </w:p>
        </w:tc>
      </w:tr>
      <w:tr>
        <w:trPr>
          <w:cantSplit/>
        </w:trPr>
        <w:tc>
          <w:tcPr>
            <w:tcW w:type="dxa" w:w="1750"/>
          </w:tcPr>
          <w:p>
            <w:pPr>
              <w:spacing w:after="0" w:line="252" w:lineRule="auto"/>
            </w:pPr>
            <w:r>
              <w:rPr>
                <w:rFonts w:ascii="Calibri" w:hAnsi="Calibri"/>
                <w:color w:val="000000"/>
                <w:sz w:val="18"/>
              </w:rPr>
              <w:t>Management and operations</w:t>
            </w:r>
          </w:p>
        </w:tc>
        <w:tc>
          <w:tcPr>
            <w:tcW w:type="dxa" w:w="3750"/>
          </w:tcPr>
          <w:p>
            <w:pPr>
              <w:spacing w:after="0" w:line="252" w:lineRule="auto"/>
            </w:pPr>
            <w:r>
              <w:rPr>
                <w:rFonts w:ascii="Calibri" w:hAnsi="Calibri"/>
                <w:color w:val="000000"/>
                <w:sz w:val="18"/>
              </w:rPr>
              <w:t>Measure health, performance, cost, capacity, patching, alarms, supportability, and handoff</w:t>
            </w:r>
          </w:p>
        </w:tc>
        <w:tc>
          <w:tcPr>
            <w:tcW w:type="dxa" w:w="3860"/>
          </w:tcPr>
          <w:p>
            <w:pPr>
              <w:spacing w:after="0" w:line="252" w:lineRule="auto"/>
            </w:pPr>
            <w:r>
              <w:rPr>
                <w:rFonts w:ascii="Calibri" w:hAnsi="Calibri"/>
                <w:color w:val="000000"/>
                <w:sz w:val="18"/>
              </w:rPr>
              <w:t>Dashboards, alarms, cost report, support model, lessons learned / Cloud operations</w:t>
            </w:r>
          </w:p>
        </w:tc>
      </w:tr>
    </w:tbl>
    <w:p>
      <w:pPr>
        <w:spacing w:after="20"/>
      </w:pPr>
    </w:p>
    <w:p>
      <w:pPr>
        <w:pStyle w:val="Heading2"/>
      </w:pPr>
      <w:r>
        <w:t>6.1 CAF stage gates</w:t>
      </w:r>
    </w:p>
    <w:p>
      <w:pPr>
        <w:numPr>
          <w:ilvl w:val="0"/>
          <w:numId w:val="11"/>
        </w:numPr>
      </w:pPr>
      <w:r>
        <w:rPr>
          <w:rFonts w:ascii="Calibri" w:hAnsi="Calibri"/>
        </w:rPr>
        <w:t>Gate 0 - Charter: approve the decision questions, POC funding ceiling, roles, and evidence required.</w:t>
      </w:r>
    </w:p>
    <w:p>
      <w:pPr>
        <w:numPr>
          <w:ilvl w:val="0"/>
          <w:numId w:val="11"/>
        </w:numPr>
      </w:pPr>
      <w:r>
        <w:rPr>
          <w:rFonts w:ascii="Calibri" w:hAnsi="Calibri"/>
        </w:rPr>
        <w:t>Gate 1 - Ready: written vendor prerequisites, OCI capacity, security/network design, and the version matrix are complete.</w:t>
      </w:r>
    </w:p>
    <w:p>
      <w:pPr>
        <w:numPr>
          <w:ilvl w:val="0"/>
          <w:numId w:val="11"/>
        </w:numPr>
      </w:pPr>
      <w:r>
        <w:rPr>
          <w:rFonts w:ascii="Calibri" w:hAnsi="Calibri"/>
        </w:rPr>
        <w:t>Gate 2 - Build: infrastructure-as-code deploys the two POC clusters and their external services without uncontrolled exceptions.</w:t>
      </w:r>
    </w:p>
    <w:p>
      <w:pPr>
        <w:numPr>
          <w:ilvl w:val="0"/>
          <w:numId w:val="11"/>
        </w:numPr>
      </w:pPr>
      <w:r>
        <w:rPr>
          <w:rFonts w:ascii="Calibri" w:hAnsi="Calibri"/>
        </w:rPr>
        <w:t>Gate 3 - Validate: functional, performance, integration, security, resilience, operations, and cost tests complete.</w:t>
      </w:r>
    </w:p>
    <w:p>
      <w:pPr>
        <w:numPr>
          <w:ilvl w:val="0"/>
          <w:numId w:val="11"/>
        </w:numPr>
      </w:pPr>
      <w:r>
        <w:rPr>
          <w:rFonts w:ascii="Calibri" w:hAnsi="Calibri"/>
        </w:rPr>
        <w:t>Gate 4 - Decide: leadership issues Go, Conditional Go, Extend, or No-Go with documented rationale.</w:t>
      </w:r>
    </w:p>
    <w:p>
      <w:pPr>
        <w:pStyle w:val="Heading1"/>
        <w:pageBreakBefore/>
      </w:pPr>
      <w:r>
        <w:t>7. OCI Well-Architected Framework review</w:t>
      </w:r>
    </w:p>
    <w:p>
      <w:pPr>
        <w:spacing w:after="120" w:line="264" w:lineRule="auto"/>
      </w:pPr>
      <w:r>
        <w:rPr>
          <w:rFonts w:ascii="Calibri" w:hAnsi="Calibri"/>
          <w:i w:val="0"/>
        </w:rPr>
        <w:t>Oracle's current WAF is organized around five business goals: security and compliance, reliability and resilience, performance and cost optimization, operational efficiency, and distributed cloud [S2]. The POC must produce evidence for each pillar.</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1850"/>
        <w:gridCol w:w="4850"/>
        <w:gridCol w:w="2660"/>
      </w:tblGrid>
      <w:tr>
        <w:trPr>
          <w:tblHeader w:val="true"/>
          <w:cantSplit/>
        </w:trPr>
        <w:tc>
          <w:tcPr>
            <w:tcW w:type="dxa" w:w="1850"/>
            <w:tcMar>
              <w:top w:w="80" w:type="dxa"/>
              <w:start w:w="120" w:type="dxa"/>
              <w:bottom w:w="80" w:type="dxa"/>
              <w:end w:w="120" w:type="dxa"/>
            </w:tcMar>
            <w:vAlign w:val="center"/>
            <w:shd w:fill="F2F4F7"/>
          </w:tcPr>
          <w:p>
            <w:pPr>
              <w:spacing w:after="0"/>
            </w:pPr>
            <w:r>
              <w:rPr>
                <w:rFonts w:ascii="Calibri" w:hAnsi="Calibri"/>
                <w:b/>
                <w:color w:val="0B2545"/>
                <w:sz w:val="17"/>
              </w:rPr>
              <w:t>WAF pillar</w:t>
            </w:r>
          </w:p>
        </w:tc>
        <w:tc>
          <w:tcPr>
            <w:tcW w:type="dxa" w:w="4850"/>
            <w:tcMar>
              <w:top w:w="80" w:type="dxa"/>
              <w:start w:w="120" w:type="dxa"/>
              <w:bottom w:w="80" w:type="dxa"/>
              <w:end w:w="120" w:type="dxa"/>
            </w:tcMar>
            <w:vAlign w:val="center"/>
            <w:shd w:fill="F2F4F7"/>
          </w:tcPr>
          <w:p>
            <w:pPr>
              <w:spacing w:after="0"/>
            </w:pPr>
            <w:r>
              <w:rPr>
                <w:rFonts w:ascii="Calibri" w:hAnsi="Calibri"/>
                <w:b/>
                <w:color w:val="0B2545"/>
                <w:sz w:val="17"/>
              </w:rPr>
              <w:t>POC design and tests</w:t>
            </w:r>
          </w:p>
        </w:tc>
        <w:tc>
          <w:tcPr>
            <w:tcW w:type="dxa" w:w="2660"/>
            <w:tcMar>
              <w:top w:w="80" w:type="dxa"/>
              <w:start w:w="120" w:type="dxa"/>
              <w:bottom w:w="80" w:type="dxa"/>
              <w:end w:w="120" w:type="dxa"/>
            </w:tcMar>
            <w:vAlign w:val="center"/>
            <w:shd w:fill="F2F4F7"/>
          </w:tcPr>
          <w:p>
            <w:pPr>
              <w:spacing w:after="0"/>
            </w:pPr>
            <w:r>
              <w:rPr>
                <w:rFonts w:ascii="Calibri" w:hAnsi="Calibri"/>
                <w:b/>
                <w:color w:val="0B2545"/>
                <w:sz w:val="17"/>
              </w:rPr>
              <w:t>Pass condition</w:t>
            </w:r>
          </w:p>
        </w:tc>
      </w:tr>
      <w:tr>
        <w:trPr>
          <w:cantSplit/>
        </w:trPr>
        <w:tc>
          <w:tcPr>
            <w:tcW w:type="dxa" w:w="1850"/>
          </w:tcPr>
          <w:p>
            <w:pPr>
              <w:spacing w:after="0" w:line="252" w:lineRule="auto"/>
            </w:pPr>
            <w:r>
              <w:rPr>
                <w:rFonts w:ascii="Calibri" w:hAnsi="Calibri"/>
                <w:color w:val="000000"/>
                <w:sz w:val="17"/>
              </w:rPr>
              <w:t>Security and compliance</w:t>
            </w:r>
          </w:p>
        </w:tc>
        <w:tc>
          <w:tcPr>
            <w:tcW w:type="dxa" w:w="4850"/>
          </w:tcPr>
          <w:p>
            <w:pPr>
              <w:spacing w:after="0" w:line="252" w:lineRule="auto"/>
            </w:pPr>
            <w:r>
              <w:rPr>
                <w:rFonts w:ascii="Calibri" w:hAnsi="Calibri"/>
                <w:color w:val="000000"/>
                <w:sz w:val="17"/>
              </w:rPr>
              <w:t>Private API/workers, NSGs, IAM/RBAC, service accounts, Vault, encryption, registry scanning, Kubernetes audit logs, egress controls, vulnerability scans</w:t>
            </w:r>
          </w:p>
        </w:tc>
        <w:tc>
          <w:tcPr>
            <w:tcW w:type="dxa" w:w="2660"/>
          </w:tcPr>
          <w:p>
            <w:pPr>
              <w:spacing w:after="0" w:line="252" w:lineRule="auto"/>
            </w:pPr>
            <w:r>
              <w:rPr>
                <w:rFonts w:ascii="Calibri" w:hAnsi="Calibri"/>
                <w:color w:val="000000"/>
                <w:sz w:val="17"/>
              </w:rPr>
              <w:t>No unapproved public endpoint or critical finding; all required exceptions documented and accepted</w:t>
            </w:r>
          </w:p>
        </w:tc>
      </w:tr>
      <w:tr>
        <w:trPr>
          <w:cantSplit/>
        </w:trPr>
        <w:tc>
          <w:tcPr>
            <w:tcW w:type="dxa" w:w="1850"/>
          </w:tcPr>
          <w:p>
            <w:pPr>
              <w:spacing w:after="0" w:line="252" w:lineRule="auto"/>
            </w:pPr>
            <w:r>
              <w:rPr>
                <w:rFonts w:ascii="Calibri" w:hAnsi="Calibri"/>
                <w:color w:val="000000"/>
                <w:sz w:val="17"/>
              </w:rPr>
              <w:t>Reliability and resilience</w:t>
            </w:r>
          </w:p>
        </w:tc>
        <w:tc>
          <w:tcPr>
            <w:tcW w:type="dxa" w:w="4850"/>
          </w:tcPr>
          <w:p>
            <w:pPr>
              <w:spacing w:after="0" w:line="252" w:lineRule="auto"/>
            </w:pPr>
            <w:r>
              <w:rPr>
                <w:rFonts w:ascii="Calibri" w:hAnsi="Calibri"/>
                <w:color w:val="000000"/>
                <w:sz w:val="17"/>
              </w:rPr>
              <w:t>Health probes, restart, drain, node-loss behavior, fault-domain placement, backup/restore, recovery procedure, service limits</w:t>
            </w:r>
          </w:p>
        </w:tc>
        <w:tc>
          <w:tcPr>
            <w:tcW w:type="dxa" w:w="2660"/>
          </w:tcPr>
          <w:p>
            <w:pPr>
              <w:spacing w:after="0" w:line="252" w:lineRule="auto"/>
            </w:pPr>
            <w:r>
              <w:rPr>
                <w:rFonts w:ascii="Calibri" w:hAnsi="Calibri"/>
                <w:color w:val="000000"/>
                <w:sz w:val="17"/>
              </w:rPr>
              <w:t>Agreed recovery tests pass and production HA gaps are quantified</w:t>
            </w:r>
          </w:p>
        </w:tc>
      </w:tr>
      <w:tr>
        <w:trPr>
          <w:cantSplit/>
        </w:trPr>
        <w:tc>
          <w:tcPr>
            <w:tcW w:type="dxa" w:w="1850"/>
          </w:tcPr>
          <w:p>
            <w:pPr>
              <w:spacing w:after="0" w:line="252" w:lineRule="auto"/>
            </w:pPr>
            <w:r>
              <w:rPr>
                <w:rFonts w:ascii="Calibri" w:hAnsi="Calibri"/>
                <w:color w:val="000000"/>
                <w:sz w:val="17"/>
              </w:rPr>
              <w:t>Performance and cost optimization</w:t>
            </w:r>
          </w:p>
        </w:tc>
        <w:tc>
          <w:tcPr>
            <w:tcW w:type="dxa" w:w="4850"/>
          </w:tcPr>
          <w:p>
            <w:pPr>
              <w:spacing w:after="0" w:line="252" w:lineRule="auto"/>
            </w:pPr>
            <w:r>
              <w:rPr>
                <w:rFonts w:ascii="Calibri" w:hAnsi="Calibri"/>
                <w:color w:val="000000"/>
                <w:sz w:val="17"/>
              </w:rPr>
              <w:t>CPU, memory, GPU, storage IOPS/latency, network, throughput, concurrency, idle time, and cost per workload</w:t>
            </w:r>
          </w:p>
        </w:tc>
        <w:tc>
          <w:tcPr>
            <w:tcW w:type="dxa" w:w="2660"/>
          </w:tcPr>
          <w:p>
            <w:pPr>
              <w:spacing w:after="0" w:line="252" w:lineRule="auto"/>
            </w:pPr>
            <w:r>
              <w:rPr>
                <w:rFonts w:ascii="Calibri" w:hAnsi="Calibri"/>
                <w:color w:val="000000"/>
                <w:sz w:val="17"/>
              </w:rPr>
              <w:t>Workload targets met with documented headroom and right-sized target shapes</w:t>
            </w:r>
          </w:p>
        </w:tc>
      </w:tr>
      <w:tr>
        <w:trPr>
          <w:cantSplit/>
        </w:trPr>
        <w:tc>
          <w:tcPr>
            <w:tcW w:type="dxa" w:w="1850"/>
          </w:tcPr>
          <w:p>
            <w:pPr>
              <w:spacing w:after="0" w:line="252" w:lineRule="auto"/>
            </w:pPr>
            <w:r>
              <w:rPr>
                <w:rFonts w:ascii="Calibri" w:hAnsi="Calibri"/>
                <w:color w:val="000000"/>
                <w:sz w:val="17"/>
              </w:rPr>
              <w:t>Operational efficiency</w:t>
            </w:r>
          </w:p>
        </w:tc>
        <w:tc>
          <w:tcPr>
            <w:tcW w:type="dxa" w:w="4850"/>
          </w:tcPr>
          <w:p>
            <w:pPr>
              <w:spacing w:after="0" w:line="252" w:lineRule="auto"/>
            </w:pPr>
            <w:r>
              <w:rPr>
                <w:rFonts w:ascii="Calibri" w:hAnsi="Calibri"/>
                <w:color w:val="000000"/>
                <w:sz w:val="17"/>
              </w:rPr>
              <w:t>IaC, deployment repeatability, logs, metrics, alarms, patch/upgrade/rollback, runbooks, incident and vendor escalation</w:t>
            </w:r>
          </w:p>
        </w:tc>
        <w:tc>
          <w:tcPr>
            <w:tcW w:type="dxa" w:w="2660"/>
          </w:tcPr>
          <w:p>
            <w:pPr>
              <w:spacing w:after="0" w:line="252" w:lineRule="auto"/>
            </w:pPr>
            <w:r>
              <w:rPr>
                <w:rFonts w:ascii="Calibri" w:hAnsi="Calibri"/>
                <w:color w:val="000000"/>
                <w:sz w:val="17"/>
              </w:rPr>
              <w:t>A second operator can execute the runbook and demonstrate monitoring and rollback</w:t>
            </w:r>
          </w:p>
        </w:tc>
      </w:tr>
      <w:tr>
        <w:trPr>
          <w:cantSplit/>
        </w:trPr>
        <w:tc>
          <w:tcPr>
            <w:tcW w:type="dxa" w:w="1850"/>
          </w:tcPr>
          <w:p>
            <w:pPr>
              <w:spacing w:after="0" w:line="252" w:lineRule="auto"/>
            </w:pPr>
            <w:r>
              <w:rPr>
                <w:rFonts w:ascii="Calibri" w:hAnsi="Calibri"/>
                <w:color w:val="000000"/>
                <w:sz w:val="17"/>
              </w:rPr>
              <w:t>Distributed cloud</w:t>
            </w:r>
          </w:p>
        </w:tc>
        <w:tc>
          <w:tcPr>
            <w:tcW w:type="dxa" w:w="4850"/>
          </w:tcPr>
          <w:p>
            <w:pPr>
              <w:spacing w:after="0" w:line="252" w:lineRule="auto"/>
            </w:pPr>
            <w:r>
              <w:rPr>
                <w:rFonts w:ascii="Calibri" w:hAnsi="Calibri"/>
                <w:color w:val="000000"/>
                <w:sz w:val="17"/>
              </w:rPr>
              <w:t>FastConnect/DRG path, on-premises data sources, DNS, shared integration interface, sovereignty, and migration coexistence</w:t>
            </w:r>
          </w:p>
        </w:tc>
        <w:tc>
          <w:tcPr>
            <w:tcW w:type="dxa" w:w="2660"/>
          </w:tcPr>
          <w:p>
            <w:pPr>
              <w:spacing w:after="0" w:line="252" w:lineRule="auto"/>
            </w:pPr>
            <w:r>
              <w:rPr>
                <w:rFonts w:ascii="Calibri" w:hAnsi="Calibri"/>
                <w:color w:val="000000"/>
                <w:sz w:val="17"/>
              </w:rPr>
              <w:t>Private hybrid data flows meet security, latency, support, and operational requirements</w:t>
            </w:r>
          </w:p>
        </w:tc>
      </w:tr>
    </w:tbl>
    <w:p>
      <w:pPr>
        <w:spacing w:after="20"/>
      </w:pPr>
    </w:p>
    <w:p>
      <w:pPr>
        <w:pStyle w:val="Heading2"/>
      </w:pPr>
      <w:r>
        <w:t>7.1 Well-Architected design controls</w:t>
      </w:r>
    </w:p>
    <w:p>
      <w:pPr>
        <w:numPr>
          <w:ilvl w:val="0"/>
          <w:numId w:val="10"/>
        </w:numPr>
      </w:pPr>
      <w:r>
        <w:rPr>
          <w:rFonts w:ascii="Calibri" w:hAnsi="Calibri"/>
        </w:rPr>
        <w:t>Resource isolation: separate clusters, node pools, namespaces, service accounts, keys, databases, storage, backups, and ingress per application environment.</w:t>
      </w:r>
    </w:p>
    <w:p>
      <w:pPr>
        <w:numPr>
          <w:ilvl w:val="0"/>
          <w:numId w:val="10"/>
        </w:numPr>
      </w:pPr>
      <w:r>
        <w:rPr>
          <w:rFonts w:ascii="Calibri" w:hAnsi="Calibri"/>
        </w:rPr>
        <w:t>Metrics-driven sizing: do not reproduce the legacy 20-server count one-for-one. Measure node and pod utilization, queue depth, storage behavior, and workload completion [S2].</w:t>
      </w:r>
    </w:p>
    <w:p>
      <w:pPr>
        <w:numPr>
          <w:ilvl w:val="0"/>
          <w:numId w:val="10"/>
        </w:numPr>
      </w:pPr>
      <w:r>
        <w:rPr>
          <w:rFonts w:ascii="Calibri" w:hAnsi="Calibri"/>
        </w:rPr>
        <w:t>GPU scheduling: taint/label the A10 pool, require explicit nvidia.com/gpu requests, and confirm the selected OKE GPU image and vendor driver/CUDA matrix [S7].</w:t>
      </w:r>
    </w:p>
    <w:p>
      <w:pPr>
        <w:numPr>
          <w:ilvl w:val="0"/>
          <w:numId w:val="10"/>
        </w:numPr>
      </w:pPr>
      <w:r>
        <w:rPr>
          <w:rFonts w:ascii="Calibri" w:hAnsi="Calibri"/>
        </w:rPr>
        <w:t>Failure isolation: the two GPUs in one A10.2 VM do not provide node-level high availability; production HA requires a separately approved multi-node pattern.</w:t>
      </w:r>
    </w:p>
    <w:p>
      <w:pPr>
        <w:numPr>
          <w:ilvl w:val="0"/>
          <w:numId w:val="10"/>
        </w:numPr>
      </w:pPr>
      <w:r>
        <w:rPr>
          <w:rFonts w:ascii="Calibri" w:hAnsi="Calibri"/>
        </w:rPr>
        <w:t>Observability: enable OKE metrics, alarms, notifications, Kubernetes API audit logs, application logs, and GPU telemetry [S9].</w:t>
      </w:r>
    </w:p>
    <w:p>
      <w:pPr>
        <w:numPr>
          <w:ilvl w:val="0"/>
          <w:numId w:val="10"/>
        </w:numPr>
      </w:pPr>
      <w:r>
        <w:rPr>
          <w:rFonts w:ascii="Calibri" w:hAnsi="Calibri"/>
        </w:rPr>
        <w:t>Hybrid design: treat FastConnect/DRG routes, DNS, firewall policy, bandwidth, and shared data exchange as tested components of the workload, not external assumptions.</w:t>
      </w:r>
    </w:p>
    <w:p>
      <w:pPr>
        <w:pStyle w:val="Heading1"/>
      </w:pPr>
      <w:r>
        <w:t>8. Technical POC design</w:t>
      </w:r>
    </w:p>
    <w:p>
      <w:pPr>
        <w:pStyle w:val="Heading2"/>
      </w:pPr>
      <w:r>
        <w:t>8.1 DataWalk POC cluster</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2200"/>
        <w:gridCol w:w="7160"/>
      </w:tblGrid>
      <w:tr>
        <w:trPr>
          <w:tblHeader w:val="true"/>
          <w:cantSplit/>
        </w:trPr>
        <w:tc>
          <w:tcPr>
            <w:tcW w:type="dxa" w:w="2200"/>
            <w:tcMar>
              <w:top w:w="80" w:type="dxa"/>
              <w:start w:w="120" w:type="dxa"/>
              <w:bottom w:w="80" w:type="dxa"/>
              <w:end w:w="120" w:type="dxa"/>
            </w:tcMar>
            <w:vAlign w:val="center"/>
            <w:shd w:fill="F2F4F7"/>
          </w:tcPr>
          <w:p>
            <w:pPr>
              <w:spacing w:after="0"/>
            </w:pPr>
            <w:r>
              <w:rPr>
                <w:rFonts w:ascii="Calibri" w:hAnsi="Calibri"/>
                <w:b/>
                <w:color w:val="0B2545"/>
                <w:sz w:val="19"/>
              </w:rPr>
              <w:t>Component</w:t>
            </w:r>
          </w:p>
        </w:tc>
        <w:tc>
          <w:tcPr>
            <w:tcW w:type="dxa" w:w="7160"/>
            <w:tcMar>
              <w:top w:w="80" w:type="dxa"/>
              <w:start w:w="120" w:type="dxa"/>
              <w:bottom w:w="80" w:type="dxa"/>
              <w:end w:w="120" w:type="dxa"/>
            </w:tcMar>
            <w:vAlign w:val="center"/>
            <w:shd w:fill="F2F4F7"/>
          </w:tcPr>
          <w:p>
            <w:pPr>
              <w:spacing w:after="0"/>
            </w:pPr>
            <w:r>
              <w:rPr>
                <w:rFonts w:ascii="Calibri" w:hAnsi="Calibri"/>
                <w:b/>
                <w:color w:val="0B2545"/>
                <w:sz w:val="19"/>
              </w:rPr>
              <w:t>POC position</w:t>
            </w:r>
          </w:p>
        </w:tc>
      </w:tr>
      <w:tr>
        <w:trPr>
          <w:cantSplit/>
        </w:trPr>
        <w:tc>
          <w:tcPr>
            <w:tcW w:type="dxa" w:w="2200"/>
          </w:tcPr>
          <w:p>
            <w:pPr>
              <w:spacing w:after="0" w:line="252" w:lineRule="auto"/>
            </w:pPr>
            <w:r>
              <w:rPr>
                <w:rFonts w:ascii="Calibri" w:hAnsi="Calibri"/>
                <w:color w:val="000000"/>
                <w:sz w:val="19"/>
              </w:rPr>
              <w:t>Cluster</w:t>
            </w:r>
          </w:p>
        </w:tc>
        <w:tc>
          <w:tcPr>
            <w:tcW w:type="dxa" w:w="7160"/>
          </w:tcPr>
          <w:p>
            <w:pPr>
              <w:spacing w:after="0" w:line="252" w:lineRule="auto"/>
            </w:pPr>
            <w:r>
              <w:rPr>
                <w:rFonts w:ascii="Calibri" w:hAnsi="Calibri"/>
                <w:color w:val="000000"/>
                <w:sz w:val="19"/>
              </w:rPr>
              <w:t>Private, dedicated DataWalk OKE cluster in the non-production boundary</w:t>
            </w:r>
          </w:p>
        </w:tc>
      </w:tr>
      <w:tr>
        <w:trPr>
          <w:cantSplit/>
        </w:trPr>
        <w:tc>
          <w:tcPr>
            <w:tcW w:type="dxa" w:w="2200"/>
          </w:tcPr>
          <w:p>
            <w:pPr>
              <w:spacing w:after="0" w:line="252" w:lineRule="auto"/>
            </w:pPr>
            <w:r>
              <w:rPr>
                <w:rFonts w:ascii="Calibri" w:hAnsi="Calibri"/>
                <w:color w:val="000000"/>
                <w:sz w:val="19"/>
              </w:rPr>
              <w:t>System pool</w:t>
            </w:r>
          </w:p>
        </w:tc>
        <w:tc>
          <w:tcPr>
            <w:tcW w:type="dxa" w:w="7160"/>
          </w:tcPr>
          <w:p>
            <w:pPr>
              <w:spacing w:after="0" w:line="252" w:lineRule="auto"/>
            </w:pPr>
            <w:r>
              <w:rPr>
                <w:rFonts w:ascii="Calibri" w:hAnsi="Calibri"/>
                <w:color w:val="000000"/>
                <w:sz w:val="19"/>
              </w:rPr>
              <w:t>CPU nodes for ingress, DNS/networking, operators, CSI, metrics, and required platform services</w:t>
            </w:r>
          </w:p>
        </w:tc>
      </w:tr>
      <w:tr>
        <w:trPr>
          <w:cantSplit/>
        </w:trPr>
        <w:tc>
          <w:tcPr>
            <w:tcW w:type="dxa" w:w="2200"/>
          </w:tcPr>
          <w:p>
            <w:pPr>
              <w:spacing w:after="0" w:line="252" w:lineRule="auto"/>
            </w:pPr>
            <w:r>
              <w:rPr>
                <w:rFonts w:ascii="Calibri" w:hAnsi="Calibri"/>
                <w:color w:val="000000"/>
                <w:sz w:val="19"/>
              </w:rPr>
              <w:t>Application pool</w:t>
            </w:r>
          </w:p>
        </w:tc>
        <w:tc>
          <w:tcPr>
            <w:tcW w:type="dxa" w:w="7160"/>
          </w:tcPr>
          <w:p>
            <w:pPr>
              <w:spacing w:after="0" w:line="252" w:lineRule="auto"/>
            </w:pPr>
            <w:r>
              <w:rPr>
                <w:rFonts w:ascii="Calibri" w:hAnsi="Calibri"/>
                <w:color w:val="000000"/>
                <w:sz w:val="19"/>
              </w:rPr>
              <w:t>Dedicated CPU workers; OCPU, memory, node count, and storage are frozen only after DataWalk's written sizing response</w:t>
            </w:r>
          </w:p>
        </w:tc>
      </w:tr>
      <w:tr>
        <w:trPr>
          <w:cantSplit/>
        </w:trPr>
        <w:tc>
          <w:tcPr>
            <w:tcW w:type="dxa" w:w="2200"/>
          </w:tcPr>
          <w:p>
            <w:pPr>
              <w:spacing w:after="0" w:line="252" w:lineRule="auto"/>
            </w:pPr>
            <w:r>
              <w:rPr>
                <w:rFonts w:ascii="Calibri" w:hAnsi="Calibri"/>
                <w:color w:val="000000"/>
                <w:sz w:val="19"/>
              </w:rPr>
              <w:t>GPU</w:t>
            </w:r>
          </w:p>
        </w:tc>
        <w:tc>
          <w:tcPr>
            <w:tcW w:type="dxa" w:w="7160"/>
          </w:tcPr>
          <w:p>
            <w:pPr>
              <w:spacing w:after="0" w:line="252" w:lineRule="auto"/>
            </w:pPr>
            <w:r>
              <w:rPr>
                <w:rFonts w:ascii="Calibri" w:hAnsi="Calibri"/>
                <w:color w:val="000000"/>
                <w:sz w:val="19"/>
              </w:rPr>
              <w:t>Not provisioned for DataWalk unless the vendor identifies a supported GPU component and exact software stack</w:t>
            </w:r>
          </w:p>
        </w:tc>
      </w:tr>
      <w:tr>
        <w:trPr>
          <w:cantSplit/>
        </w:trPr>
        <w:tc>
          <w:tcPr>
            <w:tcW w:type="dxa" w:w="2200"/>
          </w:tcPr>
          <w:p>
            <w:pPr>
              <w:spacing w:after="0" w:line="252" w:lineRule="auto"/>
            </w:pPr>
            <w:r>
              <w:rPr>
                <w:rFonts w:ascii="Calibri" w:hAnsi="Calibri"/>
                <w:color w:val="000000"/>
                <w:sz w:val="19"/>
              </w:rPr>
              <w:t>State</w:t>
            </w:r>
          </w:p>
        </w:tc>
        <w:tc>
          <w:tcPr>
            <w:tcW w:type="dxa" w:w="7160"/>
          </w:tcPr>
          <w:p>
            <w:pPr>
              <w:spacing w:after="0" w:line="252" w:lineRule="auto"/>
            </w:pPr>
            <w:r>
              <w:rPr>
                <w:rFonts w:ascii="Calibri" w:hAnsi="Calibri"/>
                <w:color w:val="000000"/>
                <w:sz w:val="19"/>
              </w:rPr>
              <w:t>External DataWalk database and Decoupled Storage pattern as approved by DataWalk</w:t>
            </w:r>
          </w:p>
        </w:tc>
      </w:tr>
      <w:tr>
        <w:trPr>
          <w:cantSplit/>
        </w:trPr>
        <w:tc>
          <w:tcPr>
            <w:tcW w:type="dxa" w:w="2200"/>
          </w:tcPr>
          <w:p>
            <w:pPr>
              <w:spacing w:after="0" w:line="252" w:lineRule="auto"/>
            </w:pPr>
            <w:r>
              <w:rPr>
                <w:rFonts w:ascii="Calibri" w:hAnsi="Calibri"/>
                <w:color w:val="000000"/>
                <w:sz w:val="19"/>
              </w:rPr>
              <w:t>OS/image gate</w:t>
            </w:r>
          </w:p>
        </w:tc>
        <w:tc>
          <w:tcPr>
            <w:tcW w:type="dxa" w:w="7160"/>
          </w:tcPr>
          <w:p>
            <w:pPr>
              <w:spacing w:after="0" w:line="252" w:lineRule="auto"/>
            </w:pPr>
            <w:r>
              <w:rPr>
                <w:rFonts w:ascii="Calibri" w:hAnsi="Calibri"/>
                <w:color w:val="000000"/>
                <w:sz w:val="19"/>
              </w:rPr>
              <w:t>DataWalk publicly identifies RHEL 8.10 or Rocky 8 for the container transition [S10]; vendor must approve the selected managed OKE image or require an alternate platform</w:t>
            </w:r>
          </w:p>
        </w:tc>
      </w:tr>
    </w:tbl>
    <w:p>
      <w:pPr>
        <w:spacing w:after="20"/>
      </w:pPr>
    </w:p>
    <w:p>
      <w:pPr>
        <w:pStyle w:val="Heading2"/>
      </w:pPr>
      <w:r>
        <w:t>8.2 Hyperscience POC cluster</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2200"/>
        <w:gridCol w:w="7160"/>
      </w:tblGrid>
      <w:tr>
        <w:trPr>
          <w:tblHeader w:val="true"/>
          <w:cantSplit/>
        </w:trPr>
        <w:tc>
          <w:tcPr>
            <w:tcW w:type="dxa" w:w="2200"/>
            <w:tcMar>
              <w:top w:w="80" w:type="dxa"/>
              <w:start w:w="120" w:type="dxa"/>
              <w:bottom w:w="80" w:type="dxa"/>
              <w:end w:w="120" w:type="dxa"/>
            </w:tcMar>
            <w:vAlign w:val="center"/>
            <w:shd w:fill="F2F4F7"/>
          </w:tcPr>
          <w:p>
            <w:pPr>
              <w:spacing w:after="0"/>
            </w:pPr>
            <w:r>
              <w:rPr>
                <w:rFonts w:ascii="Calibri" w:hAnsi="Calibri"/>
                <w:b/>
                <w:color w:val="0B2545"/>
                <w:sz w:val="19"/>
              </w:rPr>
              <w:t>Component</w:t>
            </w:r>
          </w:p>
        </w:tc>
        <w:tc>
          <w:tcPr>
            <w:tcW w:type="dxa" w:w="7160"/>
            <w:tcMar>
              <w:top w:w="80" w:type="dxa"/>
              <w:start w:w="120" w:type="dxa"/>
              <w:bottom w:w="80" w:type="dxa"/>
              <w:end w:w="120" w:type="dxa"/>
            </w:tcMar>
            <w:vAlign w:val="center"/>
            <w:shd w:fill="F2F4F7"/>
          </w:tcPr>
          <w:p>
            <w:pPr>
              <w:spacing w:after="0"/>
            </w:pPr>
            <w:r>
              <w:rPr>
                <w:rFonts w:ascii="Calibri" w:hAnsi="Calibri"/>
                <w:b/>
                <w:color w:val="0B2545"/>
                <w:sz w:val="19"/>
              </w:rPr>
              <w:t>POC position</w:t>
            </w:r>
          </w:p>
        </w:tc>
      </w:tr>
      <w:tr>
        <w:trPr>
          <w:cantSplit/>
        </w:trPr>
        <w:tc>
          <w:tcPr>
            <w:tcW w:type="dxa" w:w="2200"/>
          </w:tcPr>
          <w:p>
            <w:pPr>
              <w:spacing w:after="0" w:line="252" w:lineRule="auto"/>
            </w:pPr>
            <w:r>
              <w:rPr>
                <w:rFonts w:ascii="Calibri" w:hAnsi="Calibri"/>
                <w:color w:val="000000"/>
                <w:sz w:val="19"/>
              </w:rPr>
              <w:t>Cluster</w:t>
            </w:r>
          </w:p>
        </w:tc>
        <w:tc>
          <w:tcPr>
            <w:tcW w:type="dxa" w:w="7160"/>
          </w:tcPr>
          <w:p>
            <w:pPr>
              <w:spacing w:after="0" w:line="252" w:lineRule="auto"/>
            </w:pPr>
            <w:r>
              <w:rPr>
                <w:rFonts w:ascii="Calibri" w:hAnsi="Calibri"/>
                <w:color w:val="000000"/>
                <w:sz w:val="19"/>
              </w:rPr>
              <w:t>Private, dedicated Hyperscience OKE cluster in the non-production boundary</w:t>
            </w:r>
          </w:p>
        </w:tc>
      </w:tr>
      <w:tr>
        <w:trPr>
          <w:cantSplit/>
        </w:trPr>
        <w:tc>
          <w:tcPr>
            <w:tcW w:type="dxa" w:w="2200"/>
          </w:tcPr>
          <w:p>
            <w:pPr>
              <w:spacing w:after="0" w:line="252" w:lineRule="auto"/>
            </w:pPr>
            <w:r>
              <w:rPr>
                <w:rFonts w:ascii="Calibri" w:hAnsi="Calibri"/>
                <w:color w:val="000000"/>
                <w:sz w:val="19"/>
              </w:rPr>
              <w:t>CPU platform pool</w:t>
            </w:r>
          </w:p>
        </w:tc>
        <w:tc>
          <w:tcPr>
            <w:tcW w:type="dxa" w:w="7160"/>
          </w:tcPr>
          <w:p>
            <w:pPr>
              <w:spacing w:after="0" w:line="252" w:lineRule="auto"/>
            </w:pPr>
            <w:r>
              <w:rPr>
                <w:rFonts w:ascii="Calibri" w:hAnsi="Calibri"/>
                <w:color w:val="000000"/>
                <w:sz w:val="19"/>
              </w:rPr>
              <w:t>At least the vendor-approved platform-node count; current planning baseline is 2+ nodes</w:t>
            </w:r>
          </w:p>
        </w:tc>
      </w:tr>
      <w:tr>
        <w:trPr>
          <w:cantSplit/>
        </w:trPr>
        <w:tc>
          <w:tcPr>
            <w:tcW w:type="dxa" w:w="2200"/>
          </w:tcPr>
          <w:p>
            <w:pPr>
              <w:spacing w:after="0" w:line="252" w:lineRule="auto"/>
            </w:pPr>
            <w:r>
              <w:rPr>
                <w:rFonts w:ascii="Calibri" w:hAnsi="Calibri"/>
                <w:color w:val="000000"/>
                <w:sz w:val="19"/>
              </w:rPr>
              <w:t>GPU pool</w:t>
            </w:r>
          </w:p>
        </w:tc>
        <w:tc>
          <w:tcPr>
            <w:tcW w:type="dxa" w:w="7160"/>
          </w:tcPr>
          <w:p>
            <w:pPr>
              <w:spacing w:after="0" w:line="252" w:lineRule="auto"/>
            </w:pPr>
            <w:r>
              <w:rPr>
                <w:rFonts w:ascii="Calibri" w:hAnsi="Calibri"/>
                <w:color w:val="000000"/>
                <w:sz w:val="19"/>
              </w:rPr>
              <w:t>One VM.GPU.A10.2 node for POC unless vendor sizing requires otherwise; two separate NVIDIA A10 24 GB devices</w:t>
            </w:r>
          </w:p>
        </w:tc>
      </w:tr>
      <w:tr>
        <w:trPr>
          <w:cantSplit/>
        </w:trPr>
        <w:tc>
          <w:tcPr>
            <w:tcW w:type="dxa" w:w="2200"/>
          </w:tcPr>
          <w:p>
            <w:pPr>
              <w:spacing w:after="0" w:line="252" w:lineRule="auto"/>
            </w:pPr>
            <w:r>
              <w:rPr>
                <w:rFonts w:ascii="Calibri" w:hAnsi="Calibri"/>
                <w:color w:val="000000"/>
                <w:sz w:val="19"/>
              </w:rPr>
              <w:t>Scheduling</w:t>
            </w:r>
          </w:p>
        </w:tc>
        <w:tc>
          <w:tcPr>
            <w:tcW w:type="dxa" w:w="7160"/>
          </w:tcPr>
          <w:p>
            <w:pPr>
              <w:spacing w:after="0" w:line="252" w:lineRule="auto"/>
            </w:pPr>
            <w:r>
              <w:rPr>
                <w:rFonts w:ascii="Calibri" w:hAnsi="Calibri"/>
                <w:color w:val="000000"/>
                <w:sz w:val="19"/>
              </w:rPr>
              <w:t>Dedicated labels/taints and explicit GPU resource requests; platform pods remain on CPU workers</w:t>
            </w:r>
          </w:p>
        </w:tc>
      </w:tr>
      <w:tr>
        <w:trPr>
          <w:cantSplit/>
        </w:trPr>
        <w:tc>
          <w:tcPr>
            <w:tcW w:type="dxa" w:w="2200"/>
          </w:tcPr>
          <w:p>
            <w:pPr>
              <w:spacing w:after="0" w:line="252" w:lineRule="auto"/>
            </w:pPr>
            <w:r>
              <w:rPr>
                <w:rFonts w:ascii="Calibri" w:hAnsi="Calibri"/>
                <w:color w:val="000000"/>
                <w:sz w:val="19"/>
              </w:rPr>
              <w:t>External services</w:t>
            </w:r>
          </w:p>
        </w:tc>
        <w:tc>
          <w:tcPr>
            <w:tcW w:type="dxa" w:w="7160"/>
          </w:tcPr>
          <w:p>
            <w:pPr>
              <w:spacing w:after="0" w:line="252" w:lineRule="auto"/>
            </w:pPr>
            <w:r>
              <w:rPr>
                <w:rFonts w:ascii="Calibri" w:hAnsi="Calibri"/>
                <w:color w:val="000000"/>
                <w:sz w:val="19"/>
              </w:rPr>
              <w:t>Vendor-supported SQL database, file/object storage, internal registry, ingress, certificates, and secrets</w:t>
            </w:r>
          </w:p>
        </w:tc>
      </w:tr>
      <w:tr>
        <w:trPr>
          <w:cantSplit/>
        </w:trPr>
        <w:tc>
          <w:tcPr>
            <w:tcW w:type="dxa" w:w="2200"/>
          </w:tcPr>
          <w:p>
            <w:pPr>
              <w:spacing w:after="0" w:line="252" w:lineRule="auto"/>
            </w:pPr>
            <w:r>
              <w:rPr>
                <w:rFonts w:ascii="Calibri" w:hAnsi="Calibri"/>
                <w:color w:val="000000"/>
                <w:sz w:val="19"/>
              </w:rPr>
              <w:t>Version gate</w:t>
            </w:r>
          </w:p>
        </w:tc>
        <w:tc>
          <w:tcPr>
            <w:tcW w:type="dxa" w:w="7160"/>
          </w:tcPr>
          <w:p>
            <w:pPr>
              <w:spacing w:after="0" w:line="252" w:lineRule="auto"/>
            </w:pPr>
            <w:r>
              <w:rPr>
                <w:rFonts w:ascii="Calibri" w:hAnsi="Calibri"/>
                <w:color w:val="000000"/>
                <w:sz w:val="19"/>
              </w:rPr>
              <w:t>Hyperscience release, Kubernetes minor, HyperOperator/chart, CUDA, driver, GPU use case, and database/storage versions must be signed before installation [S11]</w:t>
            </w:r>
          </w:p>
        </w:tc>
      </w:tr>
    </w:tbl>
    <w:p>
      <w:pPr>
        <w:spacing w:after="20"/>
      </w:pPr>
    </w:p>
    <w:p>
      <w:pPr>
        <w:pStyle w:val="Heading2"/>
      </w:pPr>
      <w:r>
        <w:t>8.3 Shared integration boundary</w:t>
      </w:r>
    </w:p>
    <w:p>
      <w:pPr>
        <w:spacing w:after="120" w:line="264" w:lineRule="auto"/>
      </w:pPr>
      <w:r>
        <w:rPr>
          <w:rFonts w:ascii="Calibri" w:hAnsi="Calibri"/>
          <w:i w:val="0"/>
        </w:rPr>
        <w:t>The applications remain operationally isolated. If approved, Hyperscience writes authorized output to a controlled integration bucket or file endpoint, and DataWalk reads only the required objects. OCI Object Storage may expose an S3-compatible interface, but interface similarity is not vendor certification. The POC must prove authentication, encryption, object naming, event/queue behavior, checksum, duplicate handling, retention, malware scanning, and error recovery.</w:t>
      </w:r>
    </w:p>
    <w:p>
      <w:pPr>
        <w:pStyle w:val="Heading1"/>
      </w:pPr>
      <w:r>
        <w:t>9. Work plan and deliverables</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1200"/>
        <w:gridCol w:w="5200"/>
        <w:gridCol w:w="2960"/>
      </w:tblGrid>
      <w:tr>
        <w:trPr>
          <w:tblHeader w:val="true"/>
          <w:cantSplit/>
        </w:trPr>
        <w:tc>
          <w:tcPr>
            <w:tcW w:type="dxa" w:w="1200"/>
            <w:tcMar>
              <w:top w:w="80" w:type="dxa"/>
              <w:start w:w="120" w:type="dxa"/>
              <w:bottom w:w="80" w:type="dxa"/>
              <w:end w:w="120" w:type="dxa"/>
            </w:tcMar>
            <w:vAlign w:val="center"/>
            <w:shd w:fill="F2F4F7"/>
          </w:tcPr>
          <w:p>
            <w:pPr>
              <w:spacing w:after="0"/>
            </w:pPr>
            <w:r>
              <w:rPr>
                <w:rFonts w:ascii="Calibri" w:hAnsi="Calibri"/>
                <w:b/>
                <w:color w:val="0B2545"/>
                <w:sz w:val="17"/>
              </w:rPr>
              <w:t>Phase</w:t>
            </w:r>
          </w:p>
        </w:tc>
        <w:tc>
          <w:tcPr>
            <w:tcW w:type="dxa" w:w="5200"/>
            <w:tcMar>
              <w:top w:w="80" w:type="dxa"/>
              <w:start w:w="120" w:type="dxa"/>
              <w:bottom w:w="80" w:type="dxa"/>
              <w:end w:w="120" w:type="dxa"/>
            </w:tcMar>
            <w:vAlign w:val="center"/>
            <w:shd w:fill="F2F4F7"/>
          </w:tcPr>
          <w:p>
            <w:pPr>
              <w:spacing w:after="0"/>
            </w:pPr>
            <w:r>
              <w:rPr>
                <w:rFonts w:ascii="Calibri" w:hAnsi="Calibri"/>
                <w:b/>
                <w:color w:val="0B2545"/>
                <w:sz w:val="17"/>
              </w:rPr>
              <w:t>Activities</w:t>
            </w:r>
          </w:p>
        </w:tc>
        <w:tc>
          <w:tcPr>
            <w:tcW w:type="dxa" w:w="2960"/>
            <w:tcMar>
              <w:top w:w="80" w:type="dxa"/>
              <w:start w:w="120" w:type="dxa"/>
              <w:bottom w:w="80" w:type="dxa"/>
              <w:end w:w="120" w:type="dxa"/>
            </w:tcMar>
            <w:vAlign w:val="center"/>
            <w:shd w:fill="F2F4F7"/>
          </w:tcPr>
          <w:p>
            <w:pPr>
              <w:spacing w:after="0"/>
            </w:pPr>
            <w:r>
              <w:rPr>
                <w:rFonts w:ascii="Calibri" w:hAnsi="Calibri"/>
                <w:b/>
                <w:color w:val="0B2545"/>
                <w:sz w:val="17"/>
              </w:rPr>
              <w:t>Exit deliverable</w:t>
            </w:r>
          </w:p>
        </w:tc>
      </w:tr>
      <w:tr>
        <w:trPr>
          <w:cantSplit/>
        </w:trPr>
        <w:tc>
          <w:tcPr>
            <w:tcW w:type="dxa" w:w="1200"/>
          </w:tcPr>
          <w:p>
            <w:pPr>
              <w:spacing w:after="0" w:line="252" w:lineRule="auto"/>
            </w:pPr>
            <w:r>
              <w:rPr>
                <w:rFonts w:ascii="Calibri" w:hAnsi="Calibri"/>
                <w:color w:val="000000"/>
                <w:sz w:val="17"/>
              </w:rPr>
              <w:t>0. Mobilize</w:t>
            </w:r>
          </w:p>
        </w:tc>
        <w:tc>
          <w:tcPr>
            <w:tcW w:type="dxa" w:w="5200"/>
          </w:tcPr>
          <w:p>
            <w:pPr>
              <w:spacing w:after="0" w:line="252" w:lineRule="auto"/>
            </w:pPr>
            <w:r>
              <w:rPr>
                <w:rFonts w:ascii="Calibri" w:hAnsi="Calibri"/>
                <w:color w:val="000000"/>
                <w:sz w:val="17"/>
              </w:rPr>
              <w:t>Approve charter, funding ceiling, owners, test data, vendor participation, data handling, and decision scorecard</w:t>
            </w:r>
          </w:p>
        </w:tc>
        <w:tc>
          <w:tcPr>
            <w:tcW w:type="dxa" w:w="2960"/>
          </w:tcPr>
          <w:p>
            <w:pPr>
              <w:spacing w:after="0" w:line="252" w:lineRule="auto"/>
            </w:pPr>
            <w:r>
              <w:rPr>
                <w:rFonts w:ascii="Calibri" w:hAnsi="Calibri"/>
                <w:color w:val="000000"/>
                <w:sz w:val="17"/>
              </w:rPr>
              <w:t>Signed POC charter</w:t>
            </w:r>
          </w:p>
        </w:tc>
      </w:tr>
      <w:tr>
        <w:trPr>
          <w:cantSplit/>
        </w:trPr>
        <w:tc>
          <w:tcPr>
            <w:tcW w:type="dxa" w:w="1200"/>
          </w:tcPr>
          <w:p>
            <w:pPr>
              <w:spacing w:after="0" w:line="252" w:lineRule="auto"/>
            </w:pPr>
            <w:r>
              <w:rPr>
                <w:rFonts w:ascii="Calibri" w:hAnsi="Calibri"/>
                <w:color w:val="000000"/>
                <w:sz w:val="17"/>
              </w:rPr>
              <w:t>1. Validate</w:t>
            </w:r>
          </w:p>
        </w:tc>
        <w:tc>
          <w:tcPr>
            <w:tcW w:type="dxa" w:w="5200"/>
          </w:tcPr>
          <w:p>
            <w:pPr>
              <w:spacing w:after="0" w:line="252" w:lineRule="auto"/>
            </w:pPr>
            <w:r>
              <w:rPr>
                <w:rFonts w:ascii="Calibri" w:hAnsi="Calibri"/>
                <w:color w:val="000000"/>
                <w:sz w:val="17"/>
              </w:rPr>
              <w:t>Freeze application/Kubernetes/OS/image/driver/CUDA/database/storage/registry matrix; confirm A10.2 capacity and service limits</w:t>
            </w:r>
          </w:p>
        </w:tc>
        <w:tc>
          <w:tcPr>
            <w:tcW w:type="dxa" w:w="2960"/>
          </w:tcPr>
          <w:p>
            <w:pPr>
              <w:spacing w:after="0" w:line="252" w:lineRule="auto"/>
            </w:pPr>
            <w:r>
              <w:rPr>
                <w:rFonts w:ascii="Calibri" w:hAnsi="Calibri"/>
                <w:color w:val="000000"/>
                <w:sz w:val="17"/>
              </w:rPr>
              <w:t>Signed compatibility and capacity matrix</w:t>
            </w:r>
          </w:p>
        </w:tc>
      </w:tr>
      <w:tr>
        <w:trPr>
          <w:cantSplit/>
        </w:trPr>
        <w:tc>
          <w:tcPr>
            <w:tcW w:type="dxa" w:w="1200"/>
          </w:tcPr>
          <w:p>
            <w:pPr>
              <w:spacing w:after="0" w:line="252" w:lineRule="auto"/>
            </w:pPr>
            <w:r>
              <w:rPr>
                <w:rFonts w:ascii="Calibri" w:hAnsi="Calibri"/>
                <w:color w:val="000000"/>
                <w:sz w:val="17"/>
              </w:rPr>
              <w:t>2. Prepare landing zone</w:t>
            </w:r>
          </w:p>
        </w:tc>
        <w:tc>
          <w:tcPr>
            <w:tcW w:type="dxa" w:w="5200"/>
          </w:tcPr>
          <w:p>
            <w:pPr>
              <w:spacing w:after="0" w:line="252" w:lineRule="auto"/>
            </w:pPr>
            <w:r>
              <w:rPr>
                <w:rFonts w:ascii="Calibri" w:hAnsi="Calibri"/>
                <w:color w:val="000000"/>
                <w:sz w:val="17"/>
              </w:rPr>
              <w:t>Assess compartments, IAM, network, DNS, logging, Vault, budgets/tags, security zones/guardrails, quotas, and jump-host path</w:t>
            </w:r>
          </w:p>
        </w:tc>
        <w:tc>
          <w:tcPr>
            <w:tcW w:type="dxa" w:w="2960"/>
          </w:tcPr>
          <w:p>
            <w:pPr>
              <w:spacing w:after="0" w:line="252" w:lineRule="auto"/>
            </w:pPr>
            <w:r>
              <w:rPr>
                <w:rFonts w:ascii="Calibri" w:hAnsi="Calibri"/>
                <w:color w:val="000000"/>
                <w:sz w:val="17"/>
              </w:rPr>
              <w:t>Landing-zone readiness checklist</w:t>
            </w:r>
          </w:p>
        </w:tc>
      </w:tr>
      <w:tr>
        <w:trPr>
          <w:cantSplit/>
        </w:trPr>
        <w:tc>
          <w:tcPr>
            <w:tcW w:type="dxa" w:w="1200"/>
          </w:tcPr>
          <w:p>
            <w:pPr>
              <w:spacing w:after="0" w:line="252" w:lineRule="auto"/>
            </w:pPr>
            <w:r>
              <w:rPr>
                <w:rFonts w:ascii="Calibri" w:hAnsi="Calibri"/>
                <w:color w:val="000000"/>
                <w:sz w:val="17"/>
              </w:rPr>
              <w:t>3. Build platform</w:t>
            </w:r>
          </w:p>
        </w:tc>
        <w:tc>
          <w:tcPr>
            <w:tcW w:type="dxa" w:w="5200"/>
          </w:tcPr>
          <w:p>
            <w:pPr>
              <w:spacing w:after="0" w:line="252" w:lineRule="auto"/>
            </w:pPr>
            <w:r>
              <w:rPr>
                <w:rFonts w:ascii="Calibri" w:hAnsi="Calibri"/>
                <w:color w:val="000000"/>
                <w:sz w:val="17"/>
              </w:rPr>
              <w:t>Deploy two private OKE clusters, CPU/GPU pools, ingress, registry, storage, secrets, monitoring, and alarms using IaC</w:t>
            </w:r>
          </w:p>
        </w:tc>
        <w:tc>
          <w:tcPr>
            <w:tcW w:type="dxa" w:w="2960"/>
          </w:tcPr>
          <w:p>
            <w:pPr>
              <w:spacing w:after="0" w:line="252" w:lineRule="auto"/>
            </w:pPr>
            <w:r>
              <w:rPr>
                <w:rFonts w:ascii="Calibri" w:hAnsi="Calibri"/>
                <w:color w:val="000000"/>
                <w:sz w:val="17"/>
              </w:rPr>
              <w:t>Repeatable platform build and configuration record</w:t>
            </w:r>
          </w:p>
        </w:tc>
      </w:tr>
      <w:tr>
        <w:trPr>
          <w:cantSplit/>
        </w:trPr>
        <w:tc>
          <w:tcPr>
            <w:tcW w:type="dxa" w:w="1200"/>
          </w:tcPr>
          <w:p>
            <w:pPr>
              <w:spacing w:after="0" w:line="252" w:lineRule="auto"/>
            </w:pPr>
            <w:r>
              <w:rPr>
                <w:rFonts w:ascii="Calibri" w:hAnsi="Calibri"/>
                <w:color w:val="000000"/>
                <w:sz w:val="17"/>
              </w:rPr>
              <w:t>4. Install applications</w:t>
            </w:r>
          </w:p>
        </w:tc>
        <w:tc>
          <w:tcPr>
            <w:tcW w:type="dxa" w:w="5200"/>
          </w:tcPr>
          <w:p>
            <w:pPr>
              <w:spacing w:after="0" w:line="252" w:lineRule="auto"/>
            </w:pPr>
            <w:r>
              <w:rPr>
                <w:rFonts w:ascii="Calibri" w:hAnsi="Calibri"/>
                <w:color w:val="000000"/>
                <w:sz w:val="17"/>
              </w:rPr>
              <w:t>Vendor-led DataWalk and Hyperscience installation, smoke tests, integration setup, and support-bundle verification</w:t>
            </w:r>
          </w:p>
        </w:tc>
        <w:tc>
          <w:tcPr>
            <w:tcW w:type="dxa" w:w="2960"/>
          </w:tcPr>
          <w:p>
            <w:pPr>
              <w:spacing w:after="0" w:line="252" w:lineRule="auto"/>
            </w:pPr>
            <w:r>
              <w:rPr>
                <w:rFonts w:ascii="Calibri" w:hAnsi="Calibri"/>
                <w:color w:val="000000"/>
                <w:sz w:val="17"/>
              </w:rPr>
              <w:t>Application installation acceptance</w:t>
            </w:r>
          </w:p>
        </w:tc>
      </w:tr>
      <w:tr>
        <w:trPr>
          <w:cantSplit/>
        </w:trPr>
        <w:tc>
          <w:tcPr>
            <w:tcW w:type="dxa" w:w="1200"/>
          </w:tcPr>
          <w:p>
            <w:pPr>
              <w:spacing w:after="0" w:line="252" w:lineRule="auto"/>
            </w:pPr>
            <w:r>
              <w:rPr>
                <w:rFonts w:ascii="Calibri" w:hAnsi="Calibri"/>
                <w:color w:val="000000"/>
                <w:sz w:val="17"/>
              </w:rPr>
              <w:t>5. Execute tests</w:t>
            </w:r>
          </w:p>
        </w:tc>
        <w:tc>
          <w:tcPr>
            <w:tcW w:type="dxa" w:w="5200"/>
          </w:tcPr>
          <w:p>
            <w:pPr>
              <w:spacing w:after="0" w:line="252" w:lineRule="auto"/>
            </w:pPr>
            <w:r>
              <w:rPr>
                <w:rFonts w:ascii="Calibri" w:hAnsi="Calibri"/>
                <w:color w:val="000000"/>
                <w:sz w:val="17"/>
              </w:rPr>
              <w:t>Functional, performance, integration, security, resilience, backup/restore, operability, and cost tests</w:t>
            </w:r>
          </w:p>
        </w:tc>
        <w:tc>
          <w:tcPr>
            <w:tcW w:type="dxa" w:w="2960"/>
          </w:tcPr>
          <w:p>
            <w:pPr>
              <w:spacing w:after="0" w:line="252" w:lineRule="auto"/>
            </w:pPr>
            <w:r>
              <w:rPr>
                <w:rFonts w:ascii="Calibri" w:hAnsi="Calibri"/>
                <w:color w:val="000000"/>
                <w:sz w:val="17"/>
              </w:rPr>
              <w:t>Evidence package and defect log</w:t>
            </w:r>
          </w:p>
        </w:tc>
      </w:tr>
      <w:tr>
        <w:trPr>
          <w:cantSplit/>
        </w:trPr>
        <w:tc>
          <w:tcPr>
            <w:tcW w:type="dxa" w:w="1200"/>
          </w:tcPr>
          <w:p>
            <w:pPr>
              <w:spacing w:after="0" w:line="252" w:lineRule="auto"/>
            </w:pPr>
            <w:r>
              <w:rPr>
                <w:rFonts w:ascii="Calibri" w:hAnsi="Calibri"/>
                <w:color w:val="000000"/>
                <w:sz w:val="17"/>
              </w:rPr>
              <w:t>6. Decide and hand off</w:t>
            </w:r>
          </w:p>
        </w:tc>
        <w:tc>
          <w:tcPr>
            <w:tcW w:type="dxa" w:w="5200"/>
          </w:tcPr>
          <w:p>
            <w:pPr>
              <w:spacing w:after="0" w:line="252" w:lineRule="auto"/>
            </w:pPr>
            <w:r>
              <w:rPr>
                <w:rFonts w:ascii="Calibri" w:hAnsi="Calibri"/>
                <w:color w:val="000000"/>
                <w:sz w:val="17"/>
              </w:rPr>
              <w:t>Score results, quantify gaps and TCO, document target sizing, lessons, conditions, and implementation plan</w:t>
            </w:r>
          </w:p>
        </w:tc>
        <w:tc>
          <w:tcPr>
            <w:tcW w:type="dxa" w:w="2960"/>
          </w:tcPr>
          <w:p>
            <w:pPr>
              <w:spacing w:after="0" w:line="252" w:lineRule="auto"/>
            </w:pPr>
            <w:r>
              <w:rPr>
                <w:rFonts w:ascii="Calibri" w:hAnsi="Calibri"/>
                <w:color w:val="000000"/>
                <w:sz w:val="17"/>
              </w:rPr>
              <w:t>POC final report and decision memorandum</w:t>
            </w:r>
          </w:p>
        </w:tc>
      </w:tr>
    </w:tbl>
    <w:p>
      <w:pPr>
        <w:spacing w:after="20"/>
      </w:pPr>
    </w:p>
    <w:p>
      <w:pPr>
        <w:pStyle w:val="Heading1"/>
      </w:pPr>
      <w:r>
        <w:t>10. Test and acceptance plan</w:t>
      </w:r>
    </w:p>
    <w:p>
      <w:pPr>
        <w:spacing w:after="120" w:line="264" w:lineRule="auto"/>
      </w:pPr>
      <w:r>
        <w:rPr>
          <w:rFonts w:ascii="Calibri" w:hAnsi="Calibri"/>
          <w:i w:val="0"/>
        </w:rPr>
        <w:t>Numeric workload thresholds must be agreed before test execution. The POC team may refine test mechanics during build, but it must not lower acceptance thresholds after results are known.</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1350"/>
        <w:gridCol w:w="2950"/>
        <w:gridCol w:w="2500"/>
        <w:gridCol w:w="2560"/>
      </w:tblGrid>
      <w:tr>
        <w:trPr>
          <w:tblHeader w:val="true"/>
          <w:cantSplit/>
        </w:trPr>
        <w:tc>
          <w:tcPr>
            <w:tcW w:type="dxa" w:w="1350"/>
            <w:tcMar>
              <w:top w:w="80" w:type="dxa"/>
              <w:start w:w="120" w:type="dxa"/>
              <w:bottom w:w="80" w:type="dxa"/>
              <w:end w:w="120" w:type="dxa"/>
            </w:tcMar>
            <w:vAlign w:val="center"/>
            <w:shd w:fill="F2F4F7"/>
          </w:tcPr>
          <w:p>
            <w:pPr>
              <w:spacing w:after="0"/>
            </w:pPr>
            <w:r>
              <w:rPr>
                <w:rFonts w:ascii="Calibri" w:hAnsi="Calibri"/>
                <w:b/>
                <w:color w:val="0B2545"/>
                <w:sz w:val="16"/>
              </w:rPr>
              <w:t>Test domain</w:t>
            </w:r>
          </w:p>
        </w:tc>
        <w:tc>
          <w:tcPr>
            <w:tcW w:type="dxa" w:w="2950"/>
            <w:tcMar>
              <w:top w:w="80" w:type="dxa"/>
              <w:start w:w="120" w:type="dxa"/>
              <w:bottom w:w="80" w:type="dxa"/>
              <w:end w:w="120" w:type="dxa"/>
            </w:tcMar>
            <w:vAlign w:val="center"/>
            <w:shd w:fill="F2F4F7"/>
          </w:tcPr>
          <w:p>
            <w:pPr>
              <w:spacing w:after="0"/>
            </w:pPr>
            <w:r>
              <w:rPr>
                <w:rFonts w:ascii="Calibri" w:hAnsi="Calibri"/>
                <w:b/>
                <w:color w:val="0B2545"/>
                <w:sz w:val="16"/>
              </w:rPr>
              <w:t>Minimum test</w:t>
            </w:r>
          </w:p>
        </w:tc>
        <w:tc>
          <w:tcPr>
            <w:tcW w:type="dxa" w:w="2500"/>
            <w:tcMar>
              <w:top w:w="80" w:type="dxa"/>
              <w:start w:w="120" w:type="dxa"/>
              <w:bottom w:w="80" w:type="dxa"/>
              <w:end w:w="120" w:type="dxa"/>
            </w:tcMar>
            <w:vAlign w:val="center"/>
            <w:shd w:fill="F2F4F7"/>
          </w:tcPr>
          <w:p>
            <w:pPr>
              <w:spacing w:after="0"/>
            </w:pPr>
            <w:r>
              <w:rPr>
                <w:rFonts w:ascii="Calibri" w:hAnsi="Calibri"/>
                <w:b/>
                <w:color w:val="0B2545"/>
                <w:sz w:val="16"/>
              </w:rPr>
              <w:t>Required evidence</w:t>
            </w:r>
          </w:p>
        </w:tc>
        <w:tc>
          <w:tcPr>
            <w:tcW w:type="dxa" w:w="2560"/>
            <w:tcMar>
              <w:top w:w="80" w:type="dxa"/>
              <w:start w:w="120" w:type="dxa"/>
              <w:bottom w:w="80" w:type="dxa"/>
              <w:end w:w="120" w:type="dxa"/>
            </w:tcMar>
            <w:vAlign w:val="center"/>
            <w:shd w:fill="F2F4F7"/>
          </w:tcPr>
          <w:p>
            <w:pPr>
              <w:spacing w:after="0"/>
            </w:pPr>
            <w:r>
              <w:rPr>
                <w:rFonts w:ascii="Calibri" w:hAnsi="Calibri"/>
                <w:b/>
                <w:color w:val="0B2545"/>
                <w:sz w:val="16"/>
              </w:rPr>
              <w:t>Acceptance</w:t>
            </w:r>
          </w:p>
        </w:tc>
      </w:tr>
      <w:tr>
        <w:trPr>
          <w:cantSplit/>
        </w:trPr>
        <w:tc>
          <w:tcPr>
            <w:tcW w:type="dxa" w:w="1350"/>
          </w:tcPr>
          <w:p>
            <w:pPr>
              <w:spacing w:after="0" w:line="252" w:lineRule="auto"/>
            </w:pPr>
            <w:r>
              <w:rPr>
                <w:rFonts w:ascii="Calibri" w:hAnsi="Calibri"/>
                <w:color w:val="000000"/>
                <w:sz w:val="16"/>
              </w:rPr>
              <w:t>Platform</w:t>
            </w:r>
          </w:p>
        </w:tc>
        <w:tc>
          <w:tcPr>
            <w:tcW w:type="dxa" w:w="2950"/>
          </w:tcPr>
          <w:p>
            <w:pPr>
              <w:spacing w:after="0" w:line="252" w:lineRule="auto"/>
            </w:pPr>
            <w:r>
              <w:rPr>
                <w:rFonts w:ascii="Calibri" w:hAnsi="Calibri"/>
                <w:color w:val="000000"/>
                <w:sz w:val="16"/>
              </w:rPr>
              <w:t>Create clusters/pools; verify private endpoints; validate Kubernetes and GPU resources</w:t>
            </w:r>
          </w:p>
        </w:tc>
        <w:tc>
          <w:tcPr>
            <w:tcW w:type="dxa" w:w="2500"/>
          </w:tcPr>
          <w:p>
            <w:pPr>
              <w:spacing w:after="0" w:line="252" w:lineRule="auto"/>
            </w:pPr>
            <w:r>
              <w:rPr>
                <w:rFonts w:ascii="Calibri" w:hAnsi="Calibri"/>
                <w:color w:val="000000"/>
                <w:sz w:val="16"/>
              </w:rPr>
              <w:t>IaC output, configurations, screenshots/logs</w:t>
            </w:r>
          </w:p>
        </w:tc>
        <w:tc>
          <w:tcPr>
            <w:tcW w:type="dxa" w:w="2560"/>
          </w:tcPr>
          <w:p>
            <w:pPr>
              <w:spacing w:after="0" w:line="252" w:lineRule="auto"/>
            </w:pPr>
            <w:r>
              <w:rPr>
                <w:rFonts w:ascii="Calibri" w:hAnsi="Calibri"/>
                <w:color w:val="000000"/>
                <w:sz w:val="16"/>
              </w:rPr>
              <w:t>Expected resources healthy; no public worker/API exposure</w:t>
            </w:r>
          </w:p>
        </w:tc>
      </w:tr>
      <w:tr>
        <w:trPr>
          <w:cantSplit/>
        </w:trPr>
        <w:tc>
          <w:tcPr>
            <w:tcW w:type="dxa" w:w="1350"/>
          </w:tcPr>
          <w:p>
            <w:pPr>
              <w:spacing w:after="0" w:line="252" w:lineRule="auto"/>
            </w:pPr>
            <w:r>
              <w:rPr>
                <w:rFonts w:ascii="Calibri" w:hAnsi="Calibri"/>
                <w:color w:val="000000"/>
                <w:sz w:val="16"/>
              </w:rPr>
              <w:t>DataWalk function</w:t>
            </w:r>
          </w:p>
        </w:tc>
        <w:tc>
          <w:tcPr>
            <w:tcW w:type="dxa" w:w="2950"/>
          </w:tcPr>
          <w:p>
            <w:pPr>
              <w:spacing w:after="0" w:line="252" w:lineRule="auto"/>
            </w:pPr>
            <w:r>
              <w:rPr>
                <w:rFonts w:ascii="Calibri" w:hAnsi="Calibri"/>
                <w:color w:val="000000"/>
                <w:sz w:val="16"/>
              </w:rPr>
              <w:t>Ingest representative data; build/query graph; execute integration and management workflows</w:t>
            </w:r>
          </w:p>
        </w:tc>
        <w:tc>
          <w:tcPr>
            <w:tcW w:type="dxa" w:w="2500"/>
          </w:tcPr>
          <w:p>
            <w:pPr>
              <w:spacing w:after="0" w:line="252" w:lineRule="auto"/>
            </w:pPr>
            <w:r>
              <w:rPr>
                <w:rFonts w:ascii="Calibri" w:hAnsi="Calibri"/>
                <w:color w:val="000000"/>
                <w:sz w:val="16"/>
              </w:rPr>
              <w:t>Test cases, logs, result checksums</w:t>
            </w:r>
          </w:p>
        </w:tc>
        <w:tc>
          <w:tcPr>
            <w:tcW w:type="dxa" w:w="2560"/>
          </w:tcPr>
          <w:p>
            <w:pPr>
              <w:spacing w:after="0" w:line="252" w:lineRule="auto"/>
            </w:pPr>
            <w:r>
              <w:rPr>
                <w:rFonts w:ascii="Calibri" w:hAnsi="Calibri"/>
                <w:color w:val="000000"/>
                <w:sz w:val="16"/>
              </w:rPr>
              <w:t>100% critical use cases pass; no unresolved Sev-1/Sev-2 defect</w:t>
            </w:r>
          </w:p>
        </w:tc>
      </w:tr>
      <w:tr>
        <w:trPr>
          <w:cantSplit/>
        </w:trPr>
        <w:tc>
          <w:tcPr>
            <w:tcW w:type="dxa" w:w="1350"/>
          </w:tcPr>
          <w:p>
            <w:pPr>
              <w:spacing w:after="0" w:line="252" w:lineRule="auto"/>
            </w:pPr>
            <w:r>
              <w:rPr>
                <w:rFonts w:ascii="Calibri" w:hAnsi="Calibri"/>
                <w:color w:val="000000"/>
                <w:sz w:val="16"/>
              </w:rPr>
              <w:t>Hyperscience function</w:t>
            </w:r>
          </w:p>
        </w:tc>
        <w:tc>
          <w:tcPr>
            <w:tcW w:type="dxa" w:w="2950"/>
          </w:tcPr>
          <w:p>
            <w:pPr>
              <w:spacing w:after="0" w:line="252" w:lineRule="auto"/>
            </w:pPr>
            <w:r>
              <w:rPr>
                <w:rFonts w:ascii="Calibri" w:hAnsi="Calibri"/>
                <w:color w:val="000000"/>
                <w:sz w:val="16"/>
              </w:rPr>
              <w:t>Process agreed document set; train/infer approved model; export outputs</w:t>
            </w:r>
          </w:p>
        </w:tc>
        <w:tc>
          <w:tcPr>
            <w:tcW w:type="dxa" w:w="2500"/>
          </w:tcPr>
          <w:p>
            <w:pPr>
              <w:spacing w:after="0" w:line="252" w:lineRule="auto"/>
            </w:pPr>
            <w:r>
              <w:rPr>
                <w:rFonts w:ascii="Calibri" w:hAnsi="Calibri"/>
                <w:color w:val="000000"/>
                <w:sz w:val="16"/>
              </w:rPr>
              <w:t>Accuracy, throughput, job logs, GPU telemetry</w:t>
            </w:r>
          </w:p>
        </w:tc>
        <w:tc>
          <w:tcPr>
            <w:tcW w:type="dxa" w:w="2560"/>
          </w:tcPr>
          <w:p>
            <w:pPr>
              <w:spacing w:after="0" w:line="252" w:lineRule="auto"/>
            </w:pPr>
            <w:r>
              <w:rPr>
                <w:rFonts w:ascii="Calibri" w:hAnsi="Calibri"/>
                <w:color w:val="000000"/>
                <w:sz w:val="16"/>
              </w:rPr>
              <w:t>Functional and quality thresholds agreed with the application owner are met</w:t>
            </w:r>
          </w:p>
        </w:tc>
      </w:tr>
      <w:tr>
        <w:trPr>
          <w:cantSplit/>
        </w:trPr>
        <w:tc>
          <w:tcPr>
            <w:tcW w:type="dxa" w:w="1350"/>
          </w:tcPr>
          <w:p>
            <w:pPr>
              <w:spacing w:after="0" w:line="252" w:lineRule="auto"/>
            </w:pPr>
            <w:r>
              <w:rPr>
                <w:rFonts w:ascii="Calibri" w:hAnsi="Calibri"/>
                <w:color w:val="000000"/>
                <w:sz w:val="16"/>
              </w:rPr>
              <w:t>Integration</w:t>
            </w:r>
          </w:p>
        </w:tc>
        <w:tc>
          <w:tcPr>
            <w:tcW w:type="dxa" w:w="2950"/>
          </w:tcPr>
          <w:p>
            <w:pPr>
              <w:spacing w:after="0" w:line="252" w:lineRule="auto"/>
            </w:pPr>
            <w:r>
              <w:rPr>
                <w:rFonts w:ascii="Calibri" w:hAnsi="Calibri"/>
                <w:color w:val="000000"/>
                <w:sz w:val="16"/>
              </w:rPr>
              <w:t>HS output to approved endpoint; DW idempotent ingestion; retry and bad-object handling</w:t>
            </w:r>
          </w:p>
        </w:tc>
        <w:tc>
          <w:tcPr>
            <w:tcW w:type="dxa" w:w="2500"/>
          </w:tcPr>
          <w:p>
            <w:pPr>
              <w:spacing w:after="0" w:line="252" w:lineRule="auto"/>
            </w:pPr>
            <w:r>
              <w:rPr>
                <w:rFonts w:ascii="Calibri" w:hAnsi="Calibri"/>
                <w:color w:val="000000"/>
                <w:sz w:val="16"/>
              </w:rPr>
              <w:t>Object/event logs, checksums, reconciliation</w:t>
            </w:r>
          </w:p>
        </w:tc>
        <w:tc>
          <w:tcPr>
            <w:tcW w:type="dxa" w:w="2560"/>
          </w:tcPr>
          <w:p>
            <w:pPr>
              <w:spacing w:after="0" w:line="252" w:lineRule="auto"/>
            </w:pPr>
            <w:r>
              <w:rPr>
                <w:rFonts w:ascii="Calibri" w:hAnsi="Calibri"/>
                <w:color w:val="000000"/>
                <w:sz w:val="16"/>
              </w:rPr>
              <w:t>No data loss, silent duplication, or unauthorized access</w:t>
            </w:r>
          </w:p>
        </w:tc>
      </w:tr>
      <w:tr>
        <w:trPr>
          <w:cantSplit/>
        </w:trPr>
        <w:tc>
          <w:tcPr>
            <w:tcW w:type="dxa" w:w="1350"/>
          </w:tcPr>
          <w:p>
            <w:pPr>
              <w:spacing w:after="0" w:line="252" w:lineRule="auto"/>
            </w:pPr>
            <w:r>
              <w:rPr>
                <w:rFonts w:ascii="Calibri" w:hAnsi="Calibri"/>
                <w:color w:val="000000"/>
                <w:sz w:val="16"/>
              </w:rPr>
              <w:t>Performance</w:t>
            </w:r>
          </w:p>
        </w:tc>
        <w:tc>
          <w:tcPr>
            <w:tcW w:type="dxa" w:w="2950"/>
          </w:tcPr>
          <w:p>
            <w:pPr>
              <w:spacing w:after="0" w:line="252" w:lineRule="auto"/>
            </w:pPr>
            <w:r>
              <w:rPr>
                <w:rFonts w:ascii="Calibri" w:hAnsi="Calibri"/>
                <w:color w:val="000000"/>
                <w:sz w:val="16"/>
              </w:rPr>
              <w:t>Baseline and peak workload runs with warm/cold conditions</w:t>
            </w:r>
          </w:p>
        </w:tc>
        <w:tc>
          <w:tcPr>
            <w:tcW w:type="dxa" w:w="2500"/>
          </w:tcPr>
          <w:p>
            <w:pPr>
              <w:spacing w:after="0" w:line="252" w:lineRule="auto"/>
            </w:pPr>
            <w:r>
              <w:rPr>
                <w:rFonts w:ascii="Calibri" w:hAnsi="Calibri"/>
                <w:color w:val="000000"/>
                <w:sz w:val="16"/>
              </w:rPr>
              <w:t>Latency, throughput, concurrency, CPU/RAM/GPU/IO/network data</w:t>
            </w:r>
          </w:p>
        </w:tc>
        <w:tc>
          <w:tcPr>
            <w:tcW w:type="dxa" w:w="2560"/>
          </w:tcPr>
          <w:p>
            <w:pPr>
              <w:spacing w:after="0" w:line="252" w:lineRule="auto"/>
            </w:pPr>
            <w:r>
              <w:rPr>
                <w:rFonts w:ascii="Calibri" w:hAnsi="Calibri"/>
                <w:color w:val="000000"/>
                <w:sz w:val="16"/>
              </w:rPr>
              <w:t>Meets frozen target with documented capacity headroom</w:t>
            </w:r>
          </w:p>
        </w:tc>
      </w:tr>
      <w:tr>
        <w:trPr>
          <w:cantSplit/>
        </w:trPr>
        <w:tc>
          <w:tcPr>
            <w:tcW w:type="dxa" w:w="1350"/>
          </w:tcPr>
          <w:p>
            <w:pPr>
              <w:spacing w:after="0" w:line="252" w:lineRule="auto"/>
            </w:pPr>
            <w:r>
              <w:rPr>
                <w:rFonts w:ascii="Calibri" w:hAnsi="Calibri"/>
                <w:color w:val="000000"/>
                <w:sz w:val="16"/>
              </w:rPr>
              <w:t>Resilience</w:t>
            </w:r>
          </w:p>
        </w:tc>
        <w:tc>
          <w:tcPr>
            <w:tcW w:type="dxa" w:w="2950"/>
          </w:tcPr>
          <w:p>
            <w:pPr>
              <w:spacing w:after="0" w:line="252" w:lineRule="auto"/>
            </w:pPr>
            <w:r>
              <w:rPr>
                <w:rFonts w:ascii="Calibri" w:hAnsi="Calibri"/>
                <w:color w:val="000000"/>
                <w:sz w:val="16"/>
              </w:rPr>
              <w:t>Pod restart, cordon/drain, CPU node loss, GPU node outage observation, backup/restore</w:t>
            </w:r>
          </w:p>
        </w:tc>
        <w:tc>
          <w:tcPr>
            <w:tcW w:type="dxa" w:w="2500"/>
          </w:tcPr>
          <w:p>
            <w:pPr>
              <w:spacing w:after="0" w:line="252" w:lineRule="auto"/>
            </w:pPr>
            <w:r>
              <w:rPr>
                <w:rFonts w:ascii="Calibri" w:hAnsi="Calibri"/>
                <w:color w:val="000000"/>
                <w:sz w:val="16"/>
              </w:rPr>
              <w:t>Timeline, alerts, recovery data</w:t>
            </w:r>
          </w:p>
        </w:tc>
        <w:tc>
          <w:tcPr>
            <w:tcW w:type="dxa" w:w="2560"/>
          </w:tcPr>
          <w:p>
            <w:pPr>
              <w:spacing w:after="0" w:line="252" w:lineRule="auto"/>
            </w:pPr>
            <w:r>
              <w:rPr>
                <w:rFonts w:ascii="Calibri" w:hAnsi="Calibri"/>
                <w:color w:val="000000"/>
                <w:sz w:val="16"/>
              </w:rPr>
              <w:t>Approved RPO/RTO met or production remediation explicitly costed</w:t>
            </w:r>
          </w:p>
        </w:tc>
      </w:tr>
      <w:tr>
        <w:trPr>
          <w:cantSplit/>
        </w:trPr>
        <w:tc>
          <w:tcPr>
            <w:tcW w:type="dxa" w:w="1350"/>
          </w:tcPr>
          <w:p>
            <w:pPr>
              <w:spacing w:after="0" w:line="252" w:lineRule="auto"/>
            </w:pPr>
            <w:r>
              <w:rPr>
                <w:rFonts w:ascii="Calibri" w:hAnsi="Calibri"/>
                <w:color w:val="000000"/>
                <w:sz w:val="16"/>
              </w:rPr>
              <w:t>Security</w:t>
            </w:r>
          </w:p>
        </w:tc>
        <w:tc>
          <w:tcPr>
            <w:tcW w:type="dxa" w:w="2950"/>
          </w:tcPr>
          <w:p>
            <w:pPr>
              <w:spacing w:after="0" w:line="252" w:lineRule="auto"/>
            </w:pPr>
            <w:r>
              <w:rPr>
                <w:rFonts w:ascii="Calibri" w:hAnsi="Calibri"/>
                <w:color w:val="000000"/>
                <w:sz w:val="16"/>
              </w:rPr>
              <w:t>IAM/RBAC, NSG, egress, image/vulnerability scan, encryption, audit and log forwarding</w:t>
            </w:r>
          </w:p>
        </w:tc>
        <w:tc>
          <w:tcPr>
            <w:tcW w:type="dxa" w:w="2500"/>
          </w:tcPr>
          <w:p>
            <w:pPr>
              <w:spacing w:after="0" w:line="252" w:lineRule="auto"/>
            </w:pPr>
            <w:r>
              <w:rPr>
                <w:rFonts w:ascii="Calibri" w:hAnsi="Calibri"/>
                <w:color w:val="000000"/>
                <w:sz w:val="16"/>
              </w:rPr>
              <w:t>Control checklist, scan reports, audit events</w:t>
            </w:r>
          </w:p>
        </w:tc>
        <w:tc>
          <w:tcPr>
            <w:tcW w:type="dxa" w:w="2560"/>
          </w:tcPr>
          <w:p>
            <w:pPr>
              <w:spacing w:after="0" w:line="252" w:lineRule="auto"/>
            </w:pPr>
            <w:r>
              <w:rPr>
                <w:rFonts w:ascii="Calibri" w:hAnsi="Calibri"/>
                <w:color w:val="000000"/>
                <w:sz w:val="16"/>
              </w:rPr>
              <w:t>No critical open finding; exceptions accepted by security</w:t>
            </w:r>
          </w:p>
        </w:tc>
      </w:tr>
      <w:tr>
        <w:trPr>
          <w:cantSplit/>
        </w:trPr>
        <w:tc>
          <w:tcPr>
            <w:tcW w:type="dxa" w:w="1350"/>
          </w:tcPr>
          <w:p>
            <w:pPr>
              <w:spacing w:after="0" w:line="252" w:lineRule="auto"/>
            </w:pPr>
            <w:r>
              <w:rPr>
                <w:rFonts w:ascii="Calibri" w:hAnsi="Calibri"/>
                <w:color w:val="000000"/>
                <w:sz w:val="16"/>
              </w:rPr>
              <w:t>Operations</w:t>
            </w:r>
          </w:p>
        </w:tc>
        <w:tc>
          <w:tcPr>
            <w:tcW w:type="dxa" w:w="2950"/>
          </w:tcPr>
          <w:p>
            <w:pPr>
              <w:spacing w:after="0" w:line="252" w:lineRule="auto"/>
            </w:pPr>
            <w:r>
              <w:rPr>
                <w:rFonts w:ascii="Calibri" w:hAnsi="Calibri"/>
                <w:color w:val="000000"/>
                <w:sz w:val="16"/>
              </w:rPr>
              <w:t>Alarm, incident, patch/upgrade/rollback, support bundle, vendor escalation</w:t>
            </w:r>
          </w:p>
        </w:tc>
        <w:tc>
          <w:tcPr>
            <w:tcW w:type="dxa" w:w="2500"/>
          </w:tcPr>
          <w:p>
            <w:pPr>
              <w:spacing w:after="0" w:line="252" w:lineRule="auto"/>
            </w:pPr>
            <w:r>
              <w:rPr>
                <w:rFonts w:ascii="Calibri" w:hAnsi="Calibri"/>
                <w:color w:val="000000"/>
                <w:sz w:val="16"/>
              </w:rPr>
              <w:t>Runbook execution and operator sign-off</w:t>
            </w:r>
          </w:p>
        </w:tc>
        <w:tc>
          <w:tcPr>
            <w:tcW w:type="dxa" w:w="2560"/>
          </w:tcPr>
          <w:p>
            <w:pPr>
              <w:spacing w:after="0" w:line="252" w:lineRule="auto"/>
            </w:pPr>
            <w:r>
              <w:rPr>
                <w:rFonts w:ascii="Calibri" w:hAnsi="Calibri"/>
                <w:color w:val="000000"/>
                <w:sz w:val="16"/>
              </w:rPr>
              <w:t>Named operations team accepts the support model</w:t>
            </w:r>
          </w:p>
        </w:tc>
      </w:tr>
      <w:tr>
        <w:trPr>
          <w:cantSplit/>
        </w:trPr>
        <w:tc>
          <w:tcPr>
            <w:tcW w:type="dxa" w:w="1350"/>
          </w:tcPr>
          <w:p>
            <w:pPr>
              <w:spacing w:after="0" w:line="252" w:lineRule="auto"/>
            </w:pPr>
            <w:r>
              <w:rPr>
                <w:rFonts w:ascii="Calibri" w:hAnsi="Calibri"/>
                <w:color w:val="000000"/>
                <w:sz w:val="16"/>
              </w:rPr>
              <w:t>Cost</w:t>
            </w:r>
          </w:p>
        </w:tc>
        <w:tc>
          <w:tcPr>
            <w:tcW w:type="dxa" w:w="2950"/>
          </w:tcPr>
          <w:p>
            <w:pPr>
              <w:spacing w:after="0" w:line="252" w:lineRule="auto"/>
            </w:pPr>
            <w:r>
              <w:rPr>
                <w:rFonts w:ascii="Calibri" w:hAnsi="Calibri"/>
                <w:color w:val="000000"/>
                <w:sz w:val="16"/>
              </w:rPr>
              <w:t>Tag POC resources; record hourly/daily consumption and idle utilization</w:t>
            </w:r>
          </w:p>
        </w:tc>
        <w:tc>
          <w:tcPr>
            <w:tcW w:type="dxa" w:w="2500"/>
          </w:tcPr>
          <w:p>
            <w:pPr>
              <w:spacing w:after="0" w:line="252" w:lineRule="auto"/>
            </w:pPr>
            <w:r>
              <w:rPr>
                <w:rFonts w:ascii="Calibri" w:hAnsi="Calibri"/>
                <w:color w:val="000000"/>
                <w:sz w:val="16"/>
              </w:rPr>
              <w:t>Cost report and production model</w:t>
            </w:r>
          </w:p>
        </w:tc>
        <w:tc>
          <w:tcPr>
            <w:tcW w:type="dxa" w:w="2560"/>
          </w:tcPr>
          <w:p>
            <w:pPr>
              <w:spacing w:after="0" w:line="252" w:lineRule="auto"/>
            </w:pPr>
            <w:r>
              <w:rPr>
                <w:rFonts w:ascii="Calibri" w:hAnsi="Calibri"/>
                <w:color w:val="000000"/>
                <w:sz w:val="16"/>
              </w:rPr>
              <w:t>Complete assumptions and approved budget/TCO range</w:t>
            </w:r>
          </w:p>
        </w:tc>
      </w:tr>
    </w:tbl>
    <w:p>
      <w:pPr>
        <w:spacing w:after="20"/>
      </w:pPr>
    </w:p>
    <w:p>
      <w:pPr>
        <w:pStyle w:val="Heading2"/>
      </w:pPr>
      <w:r>
        <w:t>10.1 Workload definition form</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2200"/>
        <w:gridCol w:w="3580"/>
        <w:gridCol w:w="3580"/>
      </w:tblGrid>
      <w:tr>
        <w:trPr>
          <w:tblHeader w:val="true"/>
          <w:cantSplit/>
        </w:trPr>
        <w:tc>
          <w:tcPr>
            <w:tcW w:type="dxa" w:w="2200"/>
            <w:tcMar>
              <w:top w:w="80" w:type="dxa"/>
              <w:start w:w="120" w:type="dxa"/>
              <w:bottom w:w="80" w:type="dxa"/>
              <w:end w:w="120" w:type="dxa"/>
            </w:tcMar>
            <w:vAlign w:val="center"/>
            <w:shd w:fill="F2F4F7"/>
          </w:tcPr>
          <w:p>
            <w:pPr>
              <w:spacing w:after="0"/>
            </w:pPr>
            <w:r>
              <w:rPr>
                <w:rFonts w:ascii="Calibri" w:hAnsi="Calibri"/>
                <w:b/>
                <w:color w:val="0B2545"/>
                <w:sz w:val="19"/>
              </w:rPr>
              <w:t>Measure</w:t>
            </w:r>
          </w:p>
        </w:tc>
        <w:tc>
          <w:tcPr>
            <w:tcW w:type="dxa" w:w="3580"/>
            <w:tcMar>
              <w:top w:w="80" w:type="dxa"/>
              <w:start w:w="120" w:type="dxa"/>
              <w:bottom w:w="80" w:type="dxa"/>
              <w:end w:w="120" w:type="dxa"/>
            </w:tcMar>
            <w:vAlign w:val="center"/>
            <w:shd w:fill="F2F4F7"/>
          </w:tcPr>
          <w:p>
            <w:pPr>
              <w:spacing w:after="0"/>
            </w:pPr>
            <w:r>
              <w:rPr>
                <w:rFonts w:ascii="Calibri" w:hAnsi="Calibri"/>
                <w:b/>
                <w:color w:val="0B2545"/>
                <w:sz w:val="19"/>
              </w:rPr>
              <w:t>DataWalk</w:t>
            </w:r>
          </w:p>
        </w:tc>
        <w:tc>
          <w:tcPr>
            <w:tcW w:type="dxa" w:w="3580"/>
            <w:tcMar>
              <w:top w:w="80" w:type="dxa"/>
              <w:start w:w="120" w:type="dxa"/>
              <w:bottom w:w="80" w:type="dxa"/>
              <w:end w:w="120" w:type="dxa"/>
            </w:tcMar>
            <w:vAlign w:val="center"/>
            <w:shd w:fill="F2F4F7"/>
          </w:tcPr>
          <w:p>
            <w:pPr>
              <w:spacing w:after="0"/>
            </w:pPr>
            <w:r>
              <w:rPr>
                <w:rFonts w:ascii="Calibri" w:hAnsi="Calibri"/>
                <w:b/>
                <w:color w:val="0B2545"/>
                <w:sz w:val="19"/>
              </w:rPr>
              <w:t>Hyperscience</w:t>
            </w:r>
          </w:p>
        </w:tc>
      </w:tr>
      <w:tr>
        <w:trPr>
          <w:cantSplit/>
        </w:trPr>
        <w:tc>
          <w:tcPr>
            <w:tcW w:type="dxa" w:w="2200"/>
          </w:tcPr>
          <w:p>
            <w:pPr>
              <w:spacing w:after="0" w:line="252" w:lineRule="auto"/>
            </w:pPr>
            <w:r>
              <w:rPr>
                <w:rFonts w:ascii="Calibri" w:hAnsi="Calibri"/>
                <w:color w:val="000000"/>
                <w:sz w:val="19"/>
              </w:rPr>
              <w:t>Dataset/document set</w:t>
            </w:r>
          </w:p>
        </w:tc>
        <w:tc>
          <w:tcPr>
            <w:tcW w:type="dxa" w:w="3580"/>
          </w:tcPr>
          <w:p>
            <w:pPr>
              <w:spacing w:after="0" w:line="252" w:lineRule="auto"/>
            </w:pPr>
            <w:r>
              <w:rPr>
                <w:rFonts w:ascii="Calibri" w:hAnsi="Calibri"/>
                <w:color w:val="000000"/>
                <w:sz w:val="19"/>
              </w:rPr>
              <w:t>TBD before Gate 1</w:t>
            </w:r>
          </w:p>
        </w:tc>
        <w:tc>
          <w:tcPr>
            <w:tcW w:type="dxa" w:w="3580"/>
          </w:tcPr>
          <w:p>
            <w:pPr>
              <w:spacing w:after="0" w:line="252" w:lineRule="auto"/>
            </w:pPr>
            <w:r>
              <w:rPr>
                <w:rFonts w:ascii="Calibri" w:hAnsi="Calibri"/>
                <w:color w:val="000000"/>
                <w:sz w:val="19"/>
              </w:rPr>
              <w:t>TBD before Gate 1</w:t>
            </w:r>
          </w:p>
        </w:tc>
      </w:tr>
      <w:tr>
        <w:trPr>
          <w:cantSplit/>
        </w:trPr>
        <w:tc>
          <w:tcPr>
            <w:tcW w:type="dxa" w:w="2200"/>
          </w:tcPr>
          <w:p>
            <w:pPr>
              <w:spacing w:after="0" w:line="252" w:lineRule="auto"/>
            </w:pPr>
            <w:r>
              <w:rPr>
                <w:rFonts w:ascii="Calibri" w:hAnsi="Calibri"/>
                <w:color w:val="000000"/>
                <w:sz w:val="19"/>
              </w:rPr>
              <w:t>Volume and duration</w:t>
            </w:r>
          </w:p>
        </w:tc>
        <w:tc>
          <w:tcPr>
            <w:tcW w:type="dxa" w:w="3580"/>
          </w:tcPr>
          <w:p>
            <w:pPr>
              <w:spacing w:after="0" w:line="252" w:lineRule="auto"/>
            </w:pPr>
            <w:r>
              <w:rPr>
                <w:rFonts w:ascii="Calibri" w:hAnsi="Calibri"/>
                <w:color w:val="000000"/>
                <w:sz w:val="19"/>
              </w:rPr>
              <w:t>TBD</w:t>
            </w:r>
          </w:p>
        </w:tc>
        <w:tc>
          <w:tcPr>
            <w:tcW w:type="dxa" w:w="3580"/>
          </w:tcPr>
          <w:p>
            <w:pPr>
              <w:spacing w:after="0" w:line="252" w:lineRule="auto"/>
            </w:pPr>
            <w:r>
              <w:rPr>
                <w:rFonts w:ascii="Calibri" w:hAnsi="Calibri"/>
                <w:color w:val="000000"/>
                <w:sz w:val="19"/>
              </w:rPr>
              <w:t>TBD</w:t>
            </w:r>
          </w:p>
        </w:tc>
      </w:tr>
      <w:tr>
        <w:trPr>
          <w:cantSplit/>
        </w:trPr>
        <w:tc>
          <w:tcPr>
            <w:tcW w:type="dxa" w:w="2200"/>
          </w:tcPr>
          <w:p>
            <w:pPr>
              <w:spacing w:after="0" w:line="252" w:lineRule="auto"/>
            </w:pPr>
            <w:r>
              <w:rPr>
                <w:rFonts w:ascii="Calibri" w:hAnsi="Calibri"/>
                <w:color w:val="000000"/>
                <w:sz w:val="19"/>
              </w:rPr>
              <w:t>Concurrent users/jobs</w:t>
            </w:r>
          </w:p>
        </w:tc>
        <w:tc>
          <w:tcPr>
            <w:tcW w:type="dxa" w:w="3580"/>
          </w:tcPr>
          <w:p>
            <w:pPr>
              <w:spacing w:after="0" w:line="252" w:lineRule="auto"/>
            </w:pPr>
            <w:r>
              <w:rPr>
                <w:rFonts w:ascii="Calibri" w:hAnsi="Calibri"/>
                <w:color w:val="000000"/>
                <w:sz w:val="19"/>
              </w:rPr>
              <w:t>TBD</w:t>
            </w:r>
          </w:p>
        </w:tc>
        <w:tc>
          <w:tcPr>
            <w:tcW w:type="dxa" w:w="3580"/>
          </w:tcPr>
          <w:p>
            <w:pPr>
              <w:spacing w:after="0" w:line="252" w:lineRule="auto"/>
            </w:pPr>
            <w:r>
              <w:rPr>
                <w:rFonts w:ascii="Calibri" w:hAnsi="Calibri"/>
                <w:color w:val="000000"/>
                <w:sz w:val="19"/>
              </w:rPr>
              <w:t>TBD</w:t>
            </w:r>
          </w:p>
        </w:tc>
      </w:tr>
      <w:tr>
        <w:trPr>
          <w:cantSplit/>
        </w:trPr>
        <w:tc>
          <w:tcPr>
            <w:tcW w:type="dxa" w:w="2200"/>
          </w:tcPr>
          <w:p>
            <w:pPr>
              <w:spacing w:after="0" w:line="252" w:lineRule="auto"/>
            </w:pPr>
            <w:r>
              <w:rPr>
                <w:rFonts w:ascii="Calibri" w:hAnsi="Calibri"/>
                <w:color w:val="000000"/>
                <w:sz w:val="19"/>
              </w:rPr>
              <w:t>Throughput target</w:t>
            </w:r>
          </w:p>
        </w:tc>
        <w:tc>
          <w:tcPr>
            <w:tcW w:type="dxa" w:w="3580"/>
          </w:tcPr>
          <w:p>
            <w:pPr>
              <w:spacing w:after="0" w:line="252" w:lineRule="auto"/>
            </w:pPr>
            <w:r>
              <w:rPr>
                <w:rFonts w:ascii="Calibri" w:hAnsi="Calibri"/>
                <w:color w:val="000000"/>
                <w:sz w:val="19"/>
              </w:rPr>
              <w:t>TBD</w:t>
            </w:r>
          </w:p>
        </w:tc>
        <w:tc>
          <w:tcPr>
            <w:tcW w:type="dxa" w:w="3580"/>
          </w:tcPr>
          <w:p>
            <w:pPr>
              <w:spacing w:after="0" w:line="252" w:lineRule="auto"/>
            </w:pPr>
            <w:r>
              <w:rPr>
                <w:rFonts w:ascii="Calibri" w:hAnsi="Calibri"/>
                <w:color w:val="000000"/>
                <w:sz w:val="19"/>
              </w:rPr>
              <w:t>TBD</w:t>
            </w:r>
          </w:p>
        </w:tc>
      </w:tr>
      <w:tr>
        <w:trPr>
          <w:cantSplit/>
        </w:trPr>
        <w:tc>
          <w:tcPr>
            <w:tcW w:type="dxa" w:w="2200"/>
          </w:tcPr>
          <w:p>
            <w:pPr>
              <w:spacing w:after="0" w:line="252" w:lineRule="auto"/>
            </w:pPr>
            <w:r>
              <w:rPr>
                <w:rFonts w:ascii="Calibri" w:hAnsi="Calibri"/>
                <w:color w:val="000000"/>
                <w:sz w:val="19"/>
              </w:rPr>
              <w:t>Latency target</w:t>
            </w:r>
          </w:p>
        </w:tc>
        <w:tc>
          <w:tcPr>
            <w:tcW w:type="dxa" w:w="3580"/>
          </w:tcPr>
          <w:p>
            <w:pPr>
              <w:spacing w:after="0" w:line="252" w:lineRule="auto"/>
            </w:pPr>
            <w:r>
              <w:rPr>
                <w:rFonts w:ascii="Calibri" w:hAnsi="Calibri"/>
                <w:color w:val="000000"/>
                <w:sz w:val="19"/>
              </w:rPr>
              <w:t>TBD</w:t>
            </w:r>
          </w:p>
        </w:tc>
        <w:tc>
          <w:tcPr>
            <w:tcW w:type="dxa" w:w="3580"/>
          </w:tcPr>
          <w:p>
            <w:pPr>
              <w:spacing w:after="0" w:line="252" w:lineRule="auto"/>
            </w:pPr>
            <w:r>
              <w:rPr>
                <w:rFonts w:ascii="Calibri" w:hAnsi="Calibri"/>
                <w:color w:val="000000"/>
                <w:sz w:val="19"/>
              </w:rPr>
              <w:t>TBD</w:t>
            </w:r>
          </w:p>
        </w:tc>
      </w:tr>
      <w:tr>
        <w:trPr>
          <w:cantSplit/>
        </w:trPr>
        <w:tc>
          <w:tcPr>
            <w:tcW w:type="dxa" w:w="2200"/>
          </w:tcPr>
          <w:p>
            <w:pPr>
              <w:spacing w:after="0" w:line="252" w:lineRule="auto"/>
            </w:pPr>
            <w:r>
              <w:rPr>
                <w:rFonts w:ascii="Calibri" w:hAnsi="Calibri"/>
                <w:color w:val="000000"/>
                <w:sz w:val="19"/>
              </w:rPr>
              <w:t>Accuracy/quality target</w:t>
            </w:r>
          </w:p>
        </w:tc>
        <w:tc>
          <w:tcPr>
            <w:tcW w:type="dxa" w:w="3580"/>
          </w:tcPr>
          <w:p>
            <w:pPr>
              <w:spacing w:after="0" w:line="252" w:lineRule="auto"/>
            </w:pPr>
            <w:r>
              <w:rPr>
                <w:rFonts w:ascii="Calibri" w:hAnsi="Calibri"/>
                <w:color w:val="000000"/>
                <w:sz w:val="19"/>
              </w:rPr>
              <w:t>Not applicable or owner-defined</w:t>
            </w:r>
          </w:p>
        </w:tc>
        <w:tc>
          <w:tcPr>
            <w:tcW w:type="dxa" w:w="3580"/>
          </w:tcPr>
          <w:p>
            <w:pPr>
              <w:spacing w:after="0" w:line="252" w:lineRule="auto"/>
            </w:pPr>
            <w:r>
              <w:rPr>
                <w:rFonts w:ascii="Calibri" w:hAnsi="Calibri"/>
                <w:color w:val="000000"/>
                <w:sz w:val="19"/>
              </w:rPr>
              <w:t>TBD against current approved baseline</w:t>
            </w:r>
          </w:p>
        </w:tc>
      </w:tr>
      <w:tr>
        <w:trPr>
          <w:cantSplit/>
        </w:trPr>
        <w:tc>
          <w:tcPr>
            <w:tcW w:type="dxa" w:w="2200"/>
          </w:tcPr>
          <w:p>
            <w:pPr>
              <w:spacing w:after="0" w:line="252" w:lineRule="auto"/>
            </w:pPr>
            <w:r>
              <w:rPr>
                <w:rFonts w:ascii="Calibri" w:hAnsi="Calibri"/>
                <w:color w:val="000000"/>
                <w:sz w:val="19"/>
              </w:rPr>
              <w:t>RPO/RTO</w:t>
            </w:r>
          </w:p>
        </w:tc>
        <w:tc>
          <w:tcPr>
            <w:tcW w:type="dxa" w:w="3580"/>
          </w:tcPr>
          <w:p>
            <w:pPr>
              <w:spacing w:after="0" w:line="252" w:lineRule="auto"/>
            </w:pPr>
            <w:r>
              <w:rPr>
                <w:rFonts w:ascii="Calibri" w:hAnsi="Calibri"/>
                <w:color w:val="000000"/>
                <w:sz w:val="19"/>
              </w:rPr>
              <w:t>TBD with security/operations</w:t>
            </w:r>
          </w:p>
        </w:tc>
        <w:tc>
          <w:tcPr>
            <w:tcW w:type="dxa" w:w="3580"/>
          </w:tcPr>
          <w:p>
            <w:pPr>
              <w:spacing w:after="0" w:line="252" w:lineRule="auto"/>
            </w:pPr>
            <w:r>
              <w:rPr>
                <w:rFonts w:ascii="Calibri" w:hAnsi="Calibri"/>
                <w:color w:val="000000"/>
                <w:sz w:val="19"/>
              </w:rPr>
              <w:t>TBD with security/operations</w:t>
            </w:r>
          </w:p>
        </w:tc>
      </w:tr>
    </w:tbl>
    <w:p>
      <w:pPr>
        <w:spacing w:after="20"/>
      </w:pPr>
    </w:p>
    <w:p>
      <w:pPr>
        <w:pStyle w:val="Heading1"/>
        <w:pageBreakBefore/>
      </w:pPr>
      <w:r>
        <w:t>11. Security, compliance, and ATO evidence</w:t>
      </w:r>
    </w:p>
    <w:p>
      <w:pPr>
        <w:spacing w:after="120" w:line="264" w:lineRule="auto"/>
      </w:pPr>
      <w:r>
        <w:rPr>
          <w:rFonts w:ascii="Calibri" w:hAnsi="Calibri"/>
          <w:i w:val="0"/>
        </w:rPr>
        <w:t>Oracle's SCCA landing-zone guidance describes a standardized framework for DOD mission workloads and IL2/4/5 security baselines [S4]. The existing landing zone remains the control foundation, but application authorization is not inherited automatically. The POC must generate application-specific evidence and document every deviation.</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2450"/>
        <w:gridCol w:w="6910"/>
      </w:tblGrid>
      <w:tr>
        <w:trPr>
          <w:tblHeader w:val="true"/>
          <w:cantSplit/>
        </w:trPr>
        <w:tc>
          <w:tcPr>
            <w:tcW w:type="dxa" w:w="2450"/>
            <w:tcMar>
              <w:top w:w="80" w:type="dxa"/>
              <w:start w:w="120" w:type="dxa"/>
              <w:bottom w:w="80" w:type="dxa"/>
              <w:end w:w="120" w:type="dxa"/>
            </w:tcMar>
            <w:vAlign w:val="center"/>
            <w:shd w:fill="F2F4F7"/>
          </w:tcPr>
          <w:p>
            <w:pPr>
              <w:spacing w:after="0"/>
            </w:pPr>
            <w:r>
              <w:rPr>
                <w:rFonts w:ascii="Calibri" w:hAnsi="Calibri"/>
                <w:b/>
                <w:color w:val="0B2545"/>
                <w:sz w:val="18"/>
              </w:rPr>
              <w:t>Control area</w:t>
            </w:r>
          </w:p>
        </w:tc>
        <w:tc>
          <w:tcPr>
            <w:tcW w:type="dxa" w:w="6910"/>
            <w:tcMar>
              <w:top w:w="80" w:type="dxa"/>
              <w:start w:w="120" w:type="dxa"/>
              <w:bottom w:w="80" w:type="dxa"/>
              <w:end w:w="120" w:type="dxa"/>
            </w:tcMar>
            <w:vAlign w:val="center"/>
            <w:shd w:fill="F2F4F7"/>
          </w:tcPr>
          <w:p>
            <w:pPr>
              <w:spacing w:after="0"/>
            </w:pPr>
            <w:r>
              <w:rPr>
                <w:rFonts w:ascii="Calibri" w:hAnsi="Calibri"/>
                <w:b/>
                <w:color w:val="0B2545"/>
                <w:sz w:val="18"/>
              </w:rPr>
              <w:t>POC requirement</w:t>
            </w:r>
          </w:p>
        </w:tc>
      </w:tr>
      <w:tr>
        <w:trPr>
          <w:cantSplit/>
        </w:trPr>
        <w:tc>
          <w:tcPr>
            <w:tcW w:type="dxa" w:w="2450"/>
          </w:tcPr>
          <w:p>
            <w:pPr>
              <w:spacing w:after="0" w:line="252" w:lineRule="auto"/>
            </w:pPr>
            <w:r>
              <w:rPr>
                <w:rFonts w:ascii="Calibri" w:hAnsi="Calibri"/>
                <w:color w:val="000000"/>
                <w:sz w:val="18"/>
              </w:rPr>
              <w:t>Identity and privileged access</w:t>
            </w:r>
          </w:p>
        </w:tc>
        <w:tc>
          <w:tcPr>
            <w:tcW w:type="dxa" w:w="6910"/>
          </w:tcPr>
          <w:p>
            <w:pPr>
              <w:spacing w:after="0" w:line="252" w:lineRule="auto"/>
            </w:pPr>
            <w:r>
              <w:rPr>
                <w:rFonts w:ascii="Calibri" w:hAnsi="Calibri"/>
                <w:color w:val="000000"/>
                <w:sz w:val="18"/>
              </w:rPr>
              <w:t>Federated identity/MFA, least-privilege OCI IAM, Kubernetes RBAC, separate service accounts, break-glass process, access review evidence</w:t>
            </w:r>
          </w:p>
        </w:tc>
      </w:tr>
      <w:tr>
        <w:trPr>
          <w:cantSplit/>
        </w:trPr>
        <w:tc>
          <w:tcPr>
            <w:tcW w:type="dxa" w:w="2450"/>
          </w:tcPr>
          <w:p>
            <w:pPr>
              <w:spacing w:after="0" w:line="252" w:lineRule="auto"/>
            </w:pPr>
            <w:r>
              <w:rPr>
                <w:rFonts w:ascii="Calibri" w:hAnsi="Calibri"/>
                <w:color w:val="000000"/>
                <w:sz w:val="18"/>
              </w:rPr>
              <w:t>Network</w:t>
            </w:r>
          </w:p>
        </w:tc>
        <w:tc>
          <w:tcPr>
            <w:tcW w:type="dxa" w:w="6910"/>
          </w:tcPr>
          <w:p>
            <w:pPr>
              <w:spacing w:after="0" w:line="252" w:lineRule="auto"/>
            </w:pPr>
            <w:r>
              <w:rPr>
                <w:rFonts w:ascii="Calibri" w:hAnsi="Calibri"/>
                <w:color w:val="000000"/>
                <w:sz w:val="18"/>
              </w:rPr>
              <w:t>Private cluster endpoints and workers; approved FastConnect/DRG routes; NSGs; firewall/port matrix; controlled ingress/egress; DNS and TLS ownership</w:t>
            </w:r>
          </w:p>
        </w:tc>
      </w:tr>
      <w:tr>
        <w:trPr>
          <w:cantSplit/>
        </w:trPr>
        <w:tc>
          <w:tcPr>
            <w:tcW w:type="dxa" w:w="2450"/>
          </w:tcPr>
          <w:p>
            <w:pPr>
              <w:spacing w:after="0" w:line="252" w:lineRule="auto"/>
            </w:pPr>
            <w:r>
              <w:rPr>
                <w:rFonts w:ascii="Calibri" w:hAnsi="Calibri"/>
                <w:color w:val="000000"/>
                <w:sz w:val="18"/>
              </w:rPr>
              <w:t>Data protection</w:t>
            </w:r>
          </w:p>
        </w:tc>
        <w:tc>
          <w:tcPr>
            <w:tcW w:type="dxa" w:w="6910"/>
          </w:tcPr>
          <w:p>
            <w:pPr>
              <w:spacing w:after="0" w:line="252" w:lineRule="auto"/>
            </w:pPr>
            <w:r>
              <w:rPr>
                <w:rFonts w:ascii="Calibri" w:hAnsi="Calibri"/>
                <w:color w:val="000000"/>
                <w:sz w:val="18"/>
              </w:rPr>
              <w:t>Encryption in transit and at rest; approved OCI Vault keys; separate POC data; backup encryption; retention and disposal procedure</w:t>
            </w:r>
          </w:p>
        </w:tc>
      </w:tr>
      <w:tr>
        <w:trPr>
          <w:cantSplit/>
        </w:trPr>
        <w:tc>
          <w:tcPr>
            <w:tcW w:type="dxa" w:w="2450"/>
          </w:tcPr>
          <w:p>
            <w:pPr>
              <w:spacing w:after="0" w:line="252" w:lineRule="auto"/>
            </w:pPr>
            <w:r>
              <w:rPr>
                <w:rFonts w:ascii="Calibri" w:hAnsi="Calibri"/>
                <w:color w:val="000000"/>
                <w:sz w:val="18"/>
              </w:rPr>
              <w:t>Workload security</w:t>
            </w:r>
          </w:p>
        </w:tc>
        <w:tc>
          <w:tcPr>
            <w:tcW w:type="dxa" w:w="6910"/>
          </w:tcPr>
          <w:p>
            <w:pPr>
              <w:spacing w:after="0" w:line="252" w:lineRule="auto"/>
            </w:pPr>
            <w:r>
              <w:rPr>
                <w:rFonts w:ascii="Calibri" w:hAnsi="Calibri"/>
                <w:color w:val="000000"/>
                <w:sz w:val="18"/>
              </w:rPr>
              <w:t>Signed/scanned images, OCIR controls, non-root/restricted contexts where supported, admission policy, secrets management, documented vendor exceptions</w:t>
            </w:r>
          </w:p>
        </w:tc>
      </w:tr>
      <w:tr>
        <w:trPr>
          <w:cantSplit/>
        </w:trPr>
        <w:tc>
          <w:tcPr>
            <w:tcW w:type="dxa" w:w="2450"/>
          </w:tcPr>
          <w:p>
            <w:pPr>
              <w:spacing w:after="0" w:line="252" w:lineRule="auto"/>
            </w:pPr>
            <w:r>
              <w:rPr>
                <w:rFonts w:ascii="Calibri" w:hAnsi="Calibri"/>
                <w:color w:val="000000"/>
                <w:sz w:val="18"/>
              </w:rPr>
              <w:t>Monitoring and audit</w:t>
            </w:r>
          </w:p>
        </w:tc>
        <w:tc>
          <w:tcPr>
            <w:tcW w:type="dxa" w:w="6910"/>
          </w:tcPr>
          <w:p>
            <w:pPr>
              <w:spacing w:after="0" w:line="252" w:lineRule="auto"/>
            </w:pPr>
            <w:r>
              <w:rPr>
                <w:rFonts w:ascii="Calibri" w:hAnsi="Calibri"/>
                <w:color w:val="000000"/>
                <w:sz w:val="18"/>
              </w:rPr>
              <w:t>OCI Audit, Logging, OKE API audit logs, application/security logs, alarms, time synchronization, retention, and SIEM/CrowdStrike integration as required</w:t>
            </w:r>
          </w:p>
        </w:tc>
      </w:tr>
      <w:tr>
        <w:trPr>
          <w:cantSplit/>
        </w:trPr>
        <w:tc>
          <w:tcPr>
            <w:tcW w:type="dxa" w:w="2450"/>
          </w:tcPr>
          <w:p>
            <w:pPr>
              <w:spacing w:after="0" w:line="252" w:lineRule="auto"/>
            </w:pPr>
            <w:r>
              <w:rPr>
                <w:rFonts w:ascii="Calibri" w:hAnsi="Calibri"/>
                <w:color w:val="000000"/>
                <w:sz w:val="18"/>
              </w:rPr>
              <w:t>Vulnerability and configuration</w:t>
            </w:r>
          </w:p>
        </w:tc>
        <w:tc>
          <w:tcPr>
            <w:tcW w:type="dxa" w:w="6910"/>
          </w:tcPr>
          <w:p>
            <w:pPr>
              <w:spacing w:after="0" w:line="252" w:lineRule="auto"/>
            </w:pPr>
            <w:r>
              <w:rPr>
                <w:rFonts w:ascii="Calibri" w:hAnsi="Calibri"/>
                <w:color w:val="000000"/>
                <w:sz w:val="18"/>
              </w:rPr>
              <w:t>Host/image/container scanning, patch baseline, configuration drift detection, remediation workflow, and evidence hashes</w:t>
            </w:r>
          </w:p>
        </w:tc>
      </w:tr>
      <w:tr>
        <w:trPr>
          <w:cantSplit/>
        </w:trPr>
        <w:tc>
          <w:tcPr>
            <w:tcW w:type="dxa" w:w="2450"/>
          </w:tcPr>
          <w:p>
            <w:pPr>
              <w:spacing w:after="0" w:line="252" w:lineRule="auto"/>
            </w:pPr>
            <w:r>
              <w:rPr>
                <w:rFonts w:ascii="Calibri" w:hAnsi="Calibri"/>
                <w:color w:val="000000"/>
                <w:sz w:val="18"/>
              </w:rPr>
              <w:t>Continuity</w:t>
            </w:r>
          </w:p>
        </w:tc>
        <w:tc>
          <w:tcPr>
            <w:tcW w:type="dxa" w:w="6910"/>
          </w:tcPr>
          <w:p>
            <w:pPr>
              <w:spacing w:after="0" w:line="252" w:lineRule="auto"/>
            </w:pPr>
            <w:r>
              <w:rPr>
                <w:rFonts w:ascii="Calibri" w:hAnsi="Calibri"/>
                <w:color w:val="000000"/>
                <w:sz w:val="18"/>
              </w:rPr>
              <w:t>Backup/restore proof, recovery steps, dependency mapping, and preliminary production DR/RPO/RTO design</w:t>
            </w:r>
          </w:p>
        </w:tc>
      </w:tr>
    </w:tbl>
    <w:p>
      <w:pPr>
        <w:spacing w:after="20"/>
      </w:pPr>
    </w:p>
    <w:tbl>
      <w:tblPr>
        <w:tblW w:type="dxa" w:w="9360"/>
        <w:jc w:val="left"/>
        <w:tblLayout w:type="fixed"/>
        <w:tblLook w:firstColumn="1" w:firstRow="1" w:lastColumn="0" w:lastRow="0" w:noHBand="0" w:noVBand="1" w:val="04A0"/>
        <w:tblInd w:w="120" w:type="dxa"/>
        <w:tbl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blBorders>
      </w:tblPr>
      <w:tblGrid>
        <w:gridCol w:w="9360"/>
      </w:tblGrid>
      <w:tr>
        <w:tc>
          <w:tcPr>
            <w:tcW w:type="dxa" w:w="9360"/>
            <w:tcMar>
              <w:top w:w="80" w:type="dxa"/>
              <w:start w:w="120" w:type="dxa"/>
              <w:bottom w:w="80" w:type="dxa"/>
              <w:end w:w="120" w:type="dxa"/>
            </w:tcMar>
            <w:vAlign w:val="center"/>
            <w:shd w:fill="FFF5D6"/>
          </w:tcPr>
          <w:p>
            <w:pPr>
              <w:spacing w:after="0" w:line="264" w:lineRule="auto"/>
            </w:pPr>
            <w:r>
              <w:rPr>
                <w:rFonts w:ascii="Calibri" w:hAnsi="Calibri"/>
                <w:b/>
                <w:color w:val="7A5A00"/>
                <w:sz w:val="21"/>
              </w:rPr>
              <w:t xml:space="preserve">AUTHORIZATION BOUNDARY  </w:t>
            </w:r>
            <w:r>
              <w:rPr>
                <w:rFonts w:ascii="Calibri" w:hAnsi="Calibri"/>
                <w:color w:val="000000"/>
                <w:sz w:val="21"/>
              </w:rPr>
              <w:t>A successful POC supports the production ATO package; it does not itself authorize production processing or migration.</w:t>
            </w:r>
          </w:p>
        </w:tc>
      </w:tr>
    </w:tbl>
    <w:p>
      <w:pPr>
        <w:spacing w:after="20"/>
      </w:pPr>
    </w:p>
    <w:p>
      <w:pPr>
        <w:pStyle w:val="Heading1"/>
      </w:pPr>
      <w:r>
        <w:t>12. Operating model and ownership</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2300"/>
        <w:gridCol w:w="2700"/>
        <w:gridCol w:w="4360"/>
      </w:tblGrid>
      <w:tr>
        <w:trPr>
          <w:tblHeader w:val="true"/>
          <w:cantSplit/>
        </w:trPr>
        <w:tc>
          <w:tcPr>
            <w:tcW w:type="dxa" w:w="2300"/>
            <w:tcMar>
              <w:top w:w="80" w:type="dxa"/>
              <w:start w:w="120" w:type="dxa"/>
              <w:bottom w:w="80" w:type="dxa"/>
              <w:end w:w="120" w:type="dxa"/>
            </w:tcMar>
            <w:vAlign w:val="center"/>
            <w:shd w:fill="F2F4F7"/>
          </w:tcPr>
          <w:p>
            <w:pPr>
              <w:spacing w:after="0"/>
            </w:pPr>
            <w:r>
              <w:rPr>
                <w:rFonts w:ascii="Calibri" w:hAnsi="Calibri"/>
                <w:b/>
                <w:color w:val="0B2545"/>
                <w:sz w:val="17"/>
              </w:rPr>
              <w:t>Capability</w:t>
            </w:r>
          </w:p>
        </w:tc>
        <w:tc>
          <w:tcPr>
            <w:tcW w:type="dxa" w:w="2700"/>
            <w:tcMar>
              <w:top w:w="80" w:type="dxa"/>
              <w:start w:w="120" w:type="dxa"/>
              <w:bottom w:w="80" w:type="dxa"/>
              <w:end w:w="120" w:type="dxa"/>
            </w:tcMar>
            <w:vAlign w:val="center"/>
            <w:shd w:fill="F2F4F7"/>
          </w:tcPr>
          <w:p>
            <w:pPr>
              <w:spacing w:after="0"/>
            </w:pPr>
            <w:r>
              <w:rPr>
                <w:rFonts w:ascii="Calibri" w:hAnsi="Calibri"/>
                <w:b/>
                <w:color w:val="0B2545"/>
                <w:sz w:val="17"/>
              </w:rPr>
              <w:t>Accountable role</w:t>
            </w:r>
          </w:p>
        </w:tc>
        <w:tc>
          <w:tcPr>
            <w:tcW w:type="dxa" w:w="4360"/>
            <w:tcMar>
              <w:top w:w="80" w:type="dxa"/>
              <w:start w:w="120" w:type="dxa"/>
              <w:bottom w:w="80" w:type="dxa"/>
              <w:end w:w="120" w:type="dxa"/>
            </w:tcMar>
            <w:vAlign w:val="center"/>
            <w:shd w:fill="F2F4F7"/>
          </w:tcPr>
          <w:p>
            <w:pPr>
              <w:spacing w:after="0"/>
            </w:pPr>
            <w:r>
              <w:rPr>
                <w:rFonts w:ascii="Calibri" w:hAnsi="Calibri"/>
                <w:b/>
                <w:color w:val="0B2545"/>
                <w:sz w:val="17"/>
              </w:rPr>
              <w:t>POC responsibility</w:t>
            </w:r>
          </w:p>
        </w:tc>
      </w:tr>
      <w:tr>
        <w:trPr>
          <w:cantSplit/>
        </w:trPr>
        <w:tc>
          <w:tcPr>
            <w:tcW w:type="dxa" w:w="2300"/>
          </w:tcPr>
          <w:p>
            <w:pPr>
              <w:spacing w:after="0" w:line="252" w:lineRule="auto"/>
            </w:pPr>
            <w:r>
              <w:rPr>
                <w:rFonts w:ascii="Calibri" w:hAnsi="Calibri"/>
                <w:color w:val="000000"/>
                <w:sz w:val="17"/>
              </w:rPr>
              <w:t>Program decision and funding</w:t>
            </w:r>
          </w:p>
        </w:tc>
        <w:tc>
          <w:tcPr>
            <w:tcW w:type="dxa" w:w="2700"/>
          </w:tcPr>
          <w:p>
            <w:pPr>
              <w:spacing w:after="0" w:line="252" w:lineRule="auto"/>
            </w:pPr>
            <w:r>
              <w:rPr>
                <w:rFonts w:ascii="Calibri" w:hAnsi="Calibri"/>
                <w:color w:val="000000"/>
                <w:sz w:val="17"/>
              </w:rPr>
              <w:t>Government program sponsor</w:t>
            </w:r>
          </w:p>
        </w:tc>
        <w:tc>
          <w:tcPr>
            <w:tcW w:type="dxa" w:w="4360"/>
          </w:tcPr>
          <w:p>
            <w:pPr>
              <w:spacing w:after="0" w:line="252" w:lineRule="auto"/>
            </w:pPr>
            <w:r>
              <w:rPr>
                <w:rFonts w:ascii="Calibri" w:hAnsi="Calibri"/>
                <w:color w:val="000000"/>
                <w:sz w:val="17"/>
              </w:rPr>
              <w:t>Approve charter, success criteria, funding ceiling, and final decision</w:t>
            </w:r>
          </w:p>
        </w:tc>
      </w:tr>
      <w:tr>
        <w:trPr>
          <w:cantSplit/>
        </w:trPr>
        <w:tc>
          <w:tcPr>
            <w:tcW w:type="dxa" w:w="2300"/>
          </w:tcPr>
          <w:p>
            <w:pPr>
              <w:spacing w:after="0" w:line="252" w:lineRule="auto"/>
            </w:pPr>
            <w:r>
              <w:rPr>
                <w:rFonts w:ascii="Calibri" w:hAnsi="Calibri"/>
                <w:color w:val="000000"/>
                <w:sz w:val="17"/>
              </w:rPr>
              <w:t>POC coordination</w:t>
            </w:r>
          </w:p>
        </w:tc>
        <w:tc>
          <w:tcPr>
            <w:tcW w:type="dxa" w:w="2700"/>
          </w:tcPr>
          <w:p>
            <w:pPr>
              <w:spacing w:after="0" w:line="252" w:lineRule="auto"/>
            </w:pPr>
            <w:r>
              <w:rPr>
                <w:rFonts w:ascii="Calibri" w:hAnsi="Calibri"/>
                <w:color w:val="000000"/>
                <w:sz w:val="17"/>
              </w:rPr>
              <w:t>Project manager</w:t>
            </w:r>
          </w:p>
        </w:tc>
        <w:tc>
          <w:tcPr>
            <w:tcW w:type="dxa" w:w="4360"/>
          </w:tcPr>
          <w:p>
            <w:pPr>
              <w:spacing w:after="0" w:line="252" w:lineRule="auto"/>
            </w:pPr>
            <w:r>
              <w:rPr>
                <w:rFonts w:ascii="Calibri" w:hAnsi="Calibri"/>
                <w:color w:val="000000"/>
                <w:sz w:val="17"/>
              </w:rPr>
              <w:t>Schedule prerequisites, vendor sessions, decisions, risks, evidence, and exit review</w:t>
            </w:r>
          </w:p>
        </w:tc>
      </w:tr>
      <w:tr>
        <w:trPr>
          <w:cantSplit/>
        </w:trPr>
        <w:tc>
          <w:tcPr>
            <w:tcW w:type="dxa" w:w="2300"/>
          </w:tcPr>
          <w:p>
            <w:pPr>
              <w:spacing w:after="0" w:line="252" w:lineRule="auto"/>
            </w:pPr>
            <w:r>
              <w:rPr>
                <w:rFonts w:ascii="Calibri" w:hAnsi="Calibri"/>
                <w:color w:val="000000"/>
                <w:sz w:val="17"/>
              </w:rPr>
              <w:t>OCI architecture</w:t>
            </w:r>
          </w:p>
        </w:tc>
        <w:tc>
          <w:tcPr>
            <w:tcW w:type="dxa" w:w="2700"/>
          </w:tcPr>
          <w:p>
            <w:pPr>
              <w:spacing w:after="0" w:line="252" w:lineRule="auto"/>
            </w:pPr>
            <w:r>
              <w:rPr>
                <w:rFonts w:ascii="Calibri" w:hAnsi="Calibri"/>
                <w:color w:val="000000"/>
                <w:sz w:val="17"/>
              </w:rPr>
              <w:t>OCI architecture lead</w:t>
            </w:r>
          </w:p>
        </w:tc>
        <w:tc>
          <w:tcPr>
            <w:tcW w:type="dxa" w:w="4360"/>
          </w:tcPr>
          <w:p>
            <w:pPr>
              <w:spacing w:after="0" w:line="252" w:lineRule="auto"/>
            </w:pPr>
            <w:r>
              <w:rPr>
                <w:rFonts w:ascii="Calibri" w:hAnsi="Calibri"/>
                <w:color w:val="000000"/>
                <w:sz w:val="17"/>
              </w:rPr>
              <w:t>Landing-zone fit, compartments, network, services, capacity, cost model, and architecture record</w:t>
            </w:r>
          </w:p>
        </w:tc>
      </w:tr>
      <w:tr>
        <w:trPr>
          <w:cantSplit/>
        </w:trPr>
        <w:tc>
          <w:tcPr>
            <w:tcW w:type="dxa" w:w="2300"/>
          </w:tcPr>
          <w:p>
            <w:pPr>
              <w:spacing w:after="0" w:line="252" w:lineRule="auto"/>
            </w:pPr>
            <w:r>
              <w:rPr>
                <w:rFonts w:ascii="Calibri" w:hAnsi="Calibri"/>
                <w:color w:val="000000"/>
                <w:sz w:val="17"/>
              </w:rPr>
              <w:t>Kubernetes platform</w:t>
            </w:r>
          </w:p>
        </w:tc>
        <w:tc>
          <w:tcPr>
            <w:tcW w:type="dxa" w:w="2700"/>
          </w:tcPr>
          <w:p>
            <w:pPr>
              <w:spacing w:after="0" w:line="252" w:lineRule="auto"/>
            </w:pPr>
            <w:r>
              <w:rPr>
                <w:rFonts w:ascii="Calibri" w:hAnsi="Calibri"/>
                <w:color w:val="000000"/>
                <w:sz w:val="17"/>
              </w:rPr>
              <w:t>Kubernetes SME / platform owner</w:t>
            </w:r>
          </w:p>
        </w:tc>
        <w:tc>
          <w:tcPr>
            <w:tcW w:type="dxa" w:w="4360"/>
          </w:tcPr>
          <w:p>
            <w:pPr>
              <w:spacing w:after="0" w:line="252" w:lineRule="auto"/>
            </w:pPr>
            <w:r>
              <w:rPr>
                <w:rFonts w:ascii="Calibri" w:hAnsi="Calibri"/>
                <w:color w:val="000000"/>
                <w:sz w:val="17"/>
              </w:rPr>
              <w:t>OKE build, node pools, add-ons, policies, upgrades, monitoring, and knowledge transfer</w:t>
            </w:r>
          </w:p>
        </w:tc>
      </w:tr>
      <w:tr>
        <w:trPr>
          <w:cantSplit/>
        </w:trPr>
        <w:tc>
          <w:tcPr>
            <w:tcW w:type="dxa" w:w="2300"/>
          </w:tcPr>
          <w:p>
            <w:pPr>
              <w:spacing w:after="0" w:line="252" w:lineRule="auto"/>
            </w:pPr>
            <w:r>
              <w:rPr>
                <w:rFonts w:ascii="Calibri" w:hAnsi="Calibri"/>
                <w:color w:val="000000"/>
                <w:sz w:val="17"/>
              </w:rPr>
              <w:t>DataWalk</w:t>
            </w:r>
          </w:p>
        </w:tc>
        <w:tc>
          <w:tcPr>
            <w:tcW w:type="dxa" w:w="2700"/>
          </w:tcPr>
          <w:p>
            <w:pPr>
              <w:spacing w:after="0" w:line="252" w:lineRule="auto"/>
            </w:pPr>
            <w:r>
              <w:rPr>
                <w:rFonts w:ascii="Calibri" w:hAnsi="Calibri"/>
                <w:color w:val="000000"/>
                <w:sz w:val="17"/>
              </w:rPr>
              <w:t>DataWalk vendor + application owner</w:t>
            </w:r>
          </w:p>
        </w:tc>
        <w:tc>
          <w:tcPr>
            <w:tcW w:type="dxa" w:w="4360"/>
          </w:tcPr>
          <w:p>
            <w:pPr>
              <w:spacing w:after="0" w:line="252" w:lineRule="auto"/>
            </w:pPr>
            <w:r>
              <w:rPr>
                <w:rFonts w:ascii="Calibri" w:hAnsi="Calibri"/>
                <w:color w:val="000000"/>
                <w:sz w:val="17"/>
              </w:rPr>
              <w:t>Supported design, installation, test cases, sizing, acceptance, and support statement</w:t>
            </w:r>
          </w:p>
        </w:tc>
      </w:tr>
      <w:tr>
        <w:trPr>
          <w:cantSplit/>
        </w:trPr>
        <w:tc>
          <w:tcPr>
            <w:tcW w:type="dxa" w:w="2300"/>
          </w:tcPr>
          <w:p>
            <w:pPr>
              <w:spacing w:after="0" w:line="252" w:lineRule="auto"/>
            </w:pPr>
            <w:r>
              <w:rPr>
                <w:rFonts w:ascii="Calibri" w:hAnsi="Calibri"/>
                <w:color w:val="000000"/>
                <w:sz w:val="17"/>
              </w:rPr>
              <w:t>Hyperscience</w:t>
            </w:r>
          </w:p>
        </w:tc>
        <w:tc>
          <w:tcPr>
            <w:tcW w:type="dxa" w:w="2700"/>
          </w:tcPr>
          <w:p>
            <w:pPr>
              <w:spacing w:after="0" w:line="252" w:lineRule="auto"/>
            </w:pPr>
            <w:r>
              <w:rPr>
                <w:rFonts w:ascii="Calibri" w:hAnsi="Calibri"/>
                <w:color w:val="000000"/>
                <w:sz w:val="17"/>
              </w:rPr>
              <w:t>Hyperscience vendor + application owner</w:t>
            </w:r>
          </w:p>
        </w:tc>
        <w:tc>
          <w:tcPr>
            <w:tcW w:type="dxa" w:w="4360"/>
          </w:tcPr>
          <w:p>
            <w:pPr>
              <w:spacing w:after="0" w:line="252" w:lineRule="auto"/>
            </w:pPr>
            <w:r>
              <w:rPr>
                <w:rFonts w:ascii="Calibri" w:hAnsi="Calibri"/>
                <w:color w:val="000000"/>
                <w:sz w:val="17"/>
              </w:rPr>
              <w:t>Supported design, installation, GPU/version matrix, test cases, acceptance, and support statement</w:t>
            </w:r>
          </w:p>
        </w:tc>
      </w:tr>
      <w:tr>
        <w:trPr>
          <w:cantSplit/>
        </w:trPr>
        <w:tc>
          <w:tcPr>
            <w:tcW w:type="dxa" w:w="2300"/>
          </w:tcPr>
          <w:p>
            <w:pPr>
              <w:spacing w:after="0" w:line="252" w:lineRule="auto"/>
            </w:pPr>
            <w:r>
              <w:rPr>
                <w:rFonts w:ascii="Calibri" w:hAnsi="Calibri"/>
                <w:color w:val="000000"/>
                <w:sz w:val="17"/>
              </w:rPr>
              <w:t>Security and ATO</w:t>
            </w:r>
          </w:p>
        </w:tc>
        <w:tc>
          <w:tcPr>
            <w:tcW w:type="dxa" w:w="2700"/>
          </w:tcPr>
          <w:p>
            <w:pPr>
              <w:spacing w:after="0" w:line="252" w:lineRule="auto"/>
            </w:pPr>
            <w:r>
              <w:rPr>
                <w:rFonts w:ascii="Calibri" w:hAnsi="Calibri"/>
                <w:color w:val="000000"/>
                <w:sz w:val="17"/>
              </w:rPr>
              <w:t>Security/ISSO/AO stakeholders</w:t>
            </w:r>
          </w:p>
        </w:tc>
        <w:tc>
          <w:tcPr>
            <w:tcW w:type="dxa" w:w="4360"/>
          </w:tcPr>
          <w:p>
            <w:pPr>
              <w:spacing w:after="0" w:line="252" w:lineRule="auto"/>
            </w:pPr>
            <w:r>
              <w:rPr>
                <w:rFonts w:ascii="Calibri" w:hAnsi="Calibri"/>
                <w:color w:val="000000"/>
                <w:sz w:val="17"/>
              </w:rPr>
              <w:t>Control review, evidence requirements, findings, exceptions, and production authorization path</w:t>
            </w:r>
          </w:p>
        </w:tc>
      </w:tr>
      <w:tr>
        <w:trPr>
          <w:cantSplit/>
        </w:trPr>
        <w:tc>
          <w:tcPr>
            <w:tcW w:type="dxa" w:w="2300"/>
          </w:tcPr>
          <w:p>
            <w:pPr>
              <w:spacing w:after="0" w:line="252" w:lineRule="auto"/>
            </w:pPr>
            <w:r>
              <w:rPr>
                <w:rFonts w:ascii="Calibri" w:hAnsi="Calibri"/>
                <w:color w:val="000000"/>
                <w:sz w:val="17"/>
              </w:rPr>
              <w:t>Network and enterprise access</w:t>
            </w:r>
          </w:p>
        </w:tc>
        <w:tc>
          <w:tcPr>
            <w:tcW w:type="dxa" w:w="2700"/>
          </w:tcPr>
          <w:p>
            <w:pPr>
              <w:spacing w:after="0" w:line="252" w:lineRule="auto"/>
            </w:pPr>
            <w:r>
              <w:rPr>
                <w:rFonts w:ascii="Calibri" w:hAnsi="Calibri"/>
                <w:color w:val="000000"/>
                <w:sz w:val="17"/>
              </w:rPr>
              <w:t>Network team</w:t>
            </w:r>
          </w:p>
        </w:tc>
        <w:tc>
          <w:tcPr>
            <w:tcW w:type="dxa" w:w="4360"/>
          </w:tcPr>
          <w:p>
            <w:pPr>
              <w:spacing w:after="0" w:line="252" w:lineRule="auto"/>
            </w:pPr>
            <w:r>
              <w:rPr>
                <w:rFonts w:ascii="Calibri" w:hAnsi="Calibri"/>
                <w:color w:val="000000"/>
                <w:sz w:val="17"/>
              </w:rPr>
              <w:t>FastConnect/DRG routes, firewall policy, DNS, load-balancer reachability, and jump-host access</w:t>
            </w:r>
          </w:p>
        </w:tc>
      </w:tr>
      <w:tr>
        <w:trPr>
          <w:cantSplit/>
        </w:trPr>
        <w:tc>
          <w:tcPr>
            <w:tcW w:type="dxa" w:w="2300"/>
          </w:tcPr>
          <w:p>
            <w:pPr>
              <w:spacing w:after="0" w:line="252" w:lineRule="auto"/>
            </w:pPr>
            <w:r>
              <w:rPr>
                <w:rFonts w:ascii="Calibri" w:hAnsi="Calibri"/>
                <w:color w:val="000000"/>
                <w:sz w:val="17"/>
              </w:rPr>
              <w:t>Cloud operations</w:t>
            </w:r>
          </w:p>
        </w:tc>
        <w:tc>
          <w:tcPr>
            <w:tcW w:type="dxa" w:w="2700"/>
          </w:tcPr>
          <w:p>
            <w:pPr>
              <w:spacing w:after="0" w:line="252" w:lineRule="auto"/>
            </w:pPr>
            <w:r>
              <w:rPr>
                <w:rFonts w:ascii="Calibri" w:hAnsi="Calibri"/>
                <w:color w:val="000000"/>
                <w:sz w:val="17"/>
              </w:rPr>
              <w:t>Operations owner</w:t>
            </w:r>
          </w:p>
        </w:tc>
        <w:tc>
          <w:tcPr>
            <w:tcW w:type="dxa" w:w="4360"/>
          </w:tcPr>
          <w:p>
            <w:pPr>
              <w:spacing w:after="0" w:line="252" w:lineRule="auto"/>
            </w:pPr>
            <w:r>
              <w:rPr>
                <w:rFonts w:ascii="Calibri" w:hAnsi="Calibri"/>
                <w:color w:val="000000"/>
                <w:sz w:val="17"/>
              </w:rPr>
              <w:t>Monitoring, alerting, patching, backup, incident response, first-response support, and handoff acceptance</w:t>
            </w:r>
          </w:p>
        </w:tc>
      </w:tr>
    </w:tbl>
    <w:p>
      <w:pPr>
        <w:spacing w:after="20"/>
      </w:pPr>
    </w:p>
    <w:p>
      <w:pPr>
        <w:pStyle w:val="Heading1"/>
      </w:pPr>
      <w:r>
        <w:t>13. Schedule and readiness dependencies</w:t>
      </w:r>
    </w:p>
    <w:p>
      <w:pPr>
        <w:spacing w:after="120" w:line="264" w:lineRule="auto"/>
      </w:pPr>
      <w:r>
        <w:rPr>
          <w:rFonts w:ascii="Calibri" w:hAnsi="Calibri"/>
          <w:i w:val="0"/>
        </w:rPr>
        <w:t>Recommended planning baseline: complete prerequisites first, then run approximately 30 execution days (about six calendar weeks) for build, installation, testing, remediation, and decision. Vendor availability, security approvals, capacity, and data preparation can extend the calendar.</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1850"/>
        <w:gridCol w:w="4050"/>
        <w:gridCol w:w="3460"/>
      </w:tblGrid>
      <w:tr>
        <w:trPr>
          <w:tblHeader w:val="true"/>
          <w:cantSplit/>
        </w:trPr>
        <w:tc>
          <w:tcPr>
            <w:tcW w:type="dxa" w:w="1850"/>
            <w:tcMar>
              <w:top w:w="80" w:type="dxa"/>
              <w:start w:w="120" w:type="dxa"/>
              <w:bottom w:w="80" w:type="dxa"/>
              <w:end w:w="120" w:type="dxa"/>
            </w:tcMar>
            <w:vAlign w:val="center"/>
            <w:shd w:fill="F2F4F7"/>
          </w:tcPr>
          <w:p>
            <w:pPr>
              <w:spacing w:after="0"/>
            </w:pPr>
            <w:r>
              <w:rPr>
                <w:rFonts w:ascii="Calibri" w:hAnsi="Calibri"/>
                <w:b/>
                <w:color w:val="0B2545"/>
                <w:sz w:val="19"/>
              </w:rPr>
              <w:t>Window</w:t>
            </w:r>
          </w:p>
        </w:tc>
        <w:tc>
          <w:tcPr>
            <w:tcW w:type="dxa" w:w="4050"/>
            <w:tcMar>
              <w:top w:w="80" w:type="dxa"/>
              <w:start w:w="120" w:type="dxa"/>
              <w:bottom w:w="80" w:type="dxa"/>
              <w:end w:w="120" w:type="dxa"/>
            </w:tcMar>
            <w:vAlign w:val="center"/>
            <w:shd w:fill="F2F4F7"/>
          </w:tcPr>
          <w:p>
            <w:pPr>
              <w:spacing w:after="0"/>
            </w:pPr>
            <w:r>
              <w:rPr>
                <w:rFonts w:ascii="Calibri" w:hAnsi="Calibri"/>
                <w:b/>
                <w:color w:val="0B2545"/>
                <w:sz w:val="19"/>
              </w:rPr>
              <w:t>Milestone</w:t>
            </w:r>
          </w:p>
        </w:tc>
        <w:tc>
          <w:tcPr>
            <w:tcW w:type="dxa" w:w="3460"/>
            <w:tcMar>
              <w:top w:w="80" w:type="dxa"/>
              <w:start w:w="120" w:type="dxa"/>
              <w:bottom w:w="80" w:type="dxa"/>
              <w:end w:w="120" w:type="dxa"/>
            </w:tcMar>
            <w:vAlign w:val="center"/>
            <w:shd w:fill="F2F4F7"/>
          </w:tcPr>
          <w:p>
            <w:pPr>
              <w:spacing w:after="0"/>
            </w:pPr>
            <w:r>
              <w:rPr>
                <w:rFonts w:ascii="Calibri" w:hAnsi="Calibri"/>
                <w:b/>
                <w:color w:val="0B2545"/>
                <w:sz w:val="19"/>
              </w:rPr>
              <w:t>Dependency</w:t>
            </w:r>
          </w:p>
        </w:tc>
      </w:tr>
      <w:tr>
        <w:trPr>
          <w:cantSplit/>
        </w:trPr>
        <w:tc>
          <w:tcPr>
            <w:tcW w:type="dxa" w:w="1850"/>
          </w:tcPr>
          <w:p>
            <w:pPr>
              <w:spacing w:after="0" w:line="252" w:lineRule="auto"/>
            </w:pPr>
            <w:r>
              <w:rPr>
                <w:rFonts w:ascii="Calibri" w:hAnsi="Calibri"/>
                <w:color w:val="000000"/>
                <w:sz w:val="19"/>
              </w:rPr>
              <w:t>Pre-POC, 2-4 weeks</w:t>
            </w:r>
          </w:p>
        </w:tc>
        <w:tc>
          <w:tcPr>
            <w:tcW w:type="dxa" w:w="4050"/>
          </w:tcPr>
          <w:p>
            <w:pPr>
              <w:spacing w:after="0" w:line="252" w:lineRule="auto"/>
            </w:pPr>
            <w:r>
              <w:rPr>
                <w:rFonts w:ascii="Calibri" w:hAnsi="Calibri"/>
                <w:color w:val="000000"/>
                <w:sz w:val="19"/>
              </w:rPr>
              <w:t>Charter, vendor matrix, A10 capacity, test data, security/network design, accounts and procurement path</w:t>
            </w:r>
          </w:p>
        </w:tc>
        <w:tc>
          <w:tcPr>
            <w:tcW w:type="dxa" w:w="3460"/>
          </w:tcPr>
          <w:p>
            <w:pPr>
              <w:spacing w:after="0" w:line="252" w:lineRule="auto"/>
            </w:pPr>
            <w:r>
              <w:rPr>
                <w:rFonts w:ascii="Calibri" w:hAnsi="Calibri"/>
                <w:color w:val="000000"/>
                <w:sz w:val="19"/>
              </w:rPr>
              <w:t>All Gate 1 blockers closed</w:t>
            </w:r>
          </w:p>
        </w:tc>
      </w:tr>
      <w:tr>
        <w:trPr>
          <w:cantSplit/>
        </w:trPr>
        <w:tc>
          <w:tcPr>
            <w:tcW w:type="dxa" w:w="1850"/>
          </w:tcPr>
          <w:p>
            <w:pPr>
              <w:spacing w:after="0" w:line="252" w:lineRule="auto"/>
            </w:pPr>
            <w:r>
              <w:rPr>
                <w:rFonts w:ascii="Calibri" w:hAnsi="Calibri"/>
                <w:color w:val="000000"/>
                <w:sz w:val="19"/>
              </w:rPr>
              <w:t>Execution days 1-5</w:t>
            </w:r>
          </w:p>
        </w:tc>
        <w:tc>
          <w:tcPr>
            <w:tcW w:type="dxa" w:w="4050"/>
          </w:tcPr>
          <w:p>
            <w:pPr>
              <w:spacing w:after="0" w:line="252" w:lineRule="auto"/>
            </w:pPr>
            <w:r>
              <w:rPr>
                <w:rFonts w:ascii="Calibri" w:hAnsi="Calibri"/>
                <w:color w:val="000000"/>
                <w:sz w:val="19"/>
              </w:rPr>
              <w:t>Landing-zone workload preparation and two-cluster build</w:t>
            </w:r>
          </w:p>
        </w:tc>
        <w:tc>
          <w:tcPr>
            <w:tcW w:type="dxa" w:w="3460"/>
          </w:tcPr>
          <w:p>
            <w:pPr>
              <w:spacing w:after="0" w:line="252" w:lineRule="auto"/>
            </w:pPr>
            <w:r>
              <w:rPr>
                <w:rFonts w:ascii="Calibri" w:hAnsi="Calibri"/>
                <w:color w:val="000000"/>
                <w:sz w:val="19"/>
              </w:rPr>
              <w:t>IaC, quotas, routing, DNS, IAM, keys, registry</w:t>
            </w:r>
          </w:p>
        </w:tc>
      </w:tr>
      <w:tr>
        <w:trPr>
          <w:cantSplit/>
        </w:trPr>
        <w:tc>
          <w:tcPr>
            <w:tcW w:type="dxa" w:w="1850"/>
          </w:tcPr>
          <w:p>
            <w:pPr>
              <w:spacing w:after="0" w:line="252" w:lineRule="auto"/>
            </w:pPr>
            <w:r>
              <w:rPr>
                <w:rFonts w:ascii="Calibri" w:hAnsi="Calibri"/>
                <w:color w:val="000000"/>
                <w:sz w:val="19"/>
              </w:rPr>
              <w:t>Days 6-12</w:t>
            </w:r>
          </w:p>
        </w:tc>
        <w:tc>
          <w:tcPr>
            <w:tcW w:type="dxa" w:w="4050"/>
          </w:tcPr>
          <w:p>
            <w:pPr>
              <w:spacing w:after="0" w:line="252" w:lineRule="auto"/>
            </w:pPr>
            <w:r>
              <w:rPr>
                <w:rFonts w:ascii="Calibri" w:hAnsi="Calibri"/>
                <w:color w:val="000000"/>
                <w:sz w:val="19"/>
              </w:rPr>
              <w:t>Vendor installation and smoke tests</w:t>
            </w:r>
          </w:p>
        </w:tc>
        <w:tc>
          <w:tcPr>
            <w:tcW w:type="dxa" w:w="3460"/>
          </w:tcPr>
          <w:p>
            <w:pPr>
              <w:spacing w:after="0" w:line="252" w:lineRule="auto"/>
            </w:pPr>
            <w:r>
              <w:rPr>
                <w:rFonts w:ascii="Calibri" w:hAnsi="Calibri"/>
                <w:color w:val="000000"/>
                <w:sz w:val="19"/>
              </w:rPr>
              <w:t>Vendor engineers and approved artifacts available</w:t>
            </w:r>
          </w:p>
        </w:tc>
      </w:tr>
      <w:tr>
        <w:trPr>
          <w:cantSplit/>
        </w:trPr>
        <w:tc>
          <w:tcPr>
            <w:tcW w:type="dxa" w:w="1850"/>
          </w:tcPr>
          <w:p>
            <w:pPr>
              <w:spacing w:after="0" w:line="252" w:lineRule="auto"/>
            </w:pPr>
            <w:r>
              <w:rPr>
                <w:rFonts w:ascii="Calibri" w:hAnsi="Calibri"/>
                <w:color w:val="000000"/>
                <w:sz w:val="19"/>
              </w:rPr>
              <w:t>Days 13-22</w:t>
            </w:r>
          </w:p>
        </w:tc>
        <w:tc>
          <w:tcPr>
            <w:tcW w:type="dxa" w:w="4050"/>
          </w:tcPr>
          <w:p>
            <w:pPr>
              <w:spacing w:after="0" w:line="252" w:lineRule="auto"/>
            </w:pPr>
            <w:r>
              <w:rPr>
                <w:rFonts w:ascii="Calibri" w:hAnsi="Calibri"/>
                <w:color w:val="000000"/>
                <w:sz w:val="19"/>
              </w:rPr>
              <w:t>Functional, integration and performance testing</w:t>
            </w:r>
          </w:p>
        </w:tc>
        <w:tc>
          <w:tcPr>
            <w:tcW w:type="dxa" w:w="3460"/>
          </w:tcPr>
          <w:p>
            <w:pPr>
              <w:spacing w:after="0" w:line="252" w:lineRule="auto"/>
            </w:pPr>
            <w:r>
              <w:rPr>
                <w:rFonts w:ascii="Calibri" w:hAnsi="Calibri"/>
                <w:color w:val="000000"/>
                <w:sz w:val="19"/>
              </w:rPr>
              <w:t>Frozen workload definitions and baseline</w:t>
            </w:r>
          </w:p>
        </w:tc>
      </w:tr>
      <w:tr>
        <w:trPr>
          <w:cantSplit/>
        </w:trPr>
        <w:tc>
          <w:tcPr>
            <w:tcW w:type="dxa" w:w="1850"/>
          </w:tcPr>
          <w:p>
            <w:pPr>
              <w:spacing w:after="0" w:line="252" w:lineRule="auto"/>
            </w:pPr>
            <w:r>
              <w:rPr>
                <w:rFonts w:ascii="Calibri" w:hAnsi="Calibri"/>
                <w:color w:val="000000"/>
                <w:sz w:val="19"/>
              </w:rPr>
              <w:t>Days 23-27</w:t>
            </w:r>
          </w:p>
        </w:tc>
        <w:tc>
          <w:tcPr>
            <w:tcW w:type="dxa" w:w="4050"/>
          </w:tcPr>
          <w:p>
            <w:pPr>
              <w:spacing w:after="0" w:line="252" w:lineRule="auto"/>
            </w:pPr>
            <w:r>
              <w:rPr>
                <w:rFonts w:ascii="Calibri" w:hAnsi="Calibri"/>
                <w:color w:val="000000"/>
                <w:sz w:val="19"/>
              </w:rPr>
              <w:t>Security, resilience, backup/restore and operational tests</w:t>
            </w:r>
          </w:p>
        </w:tc>
        <w:tc>
          <w:tcPr>
            <w:tcW w:type="dxa" w:w="3460"/>
          </w:tcPr>
          <w:p>
            <w:pPr>
              <w:spacing w:after="0" w:line="252" w:lineRule="auto"/>
            </w:pPr>
            <w:r>
              <w:rPr>
                <w:rFonts w:ascii="Calibri" w:hAnsi="Calibri"/>
                <w:color w:val="000000"/>
                <w:sz w:val="19"/>
              </w:rPr>
              <w:t>Security and operations participation</w:t>
            </w:r>
          </w:p>
        </w:tc>
      </w:tr>
      <w:tr>
        <w:trPr>
          <w:cantSplit/>
        </w:trPr>
        <w:tc>
          <w:tcPr>
            <w:tcW w:type="dxa" w:w="1850"/>
          </w:tcPr>
          <w:p>
            <w:pPr>
              <w:spacing w:after="0" w:line="252" w:lineRule="auto"/>
            </w:pPr>
            <w:r>
              <w:rPr>
                <w:rFonts w:ascii="Calibri" w:hAnsi="Calibri"/>
                <w:color w:val="000000"/>
                <w:sz w:val="19"/>
              </w:rPr>
              <w:t>Days 28-30</w:t>
            </w:r>
          </w:p>
        </w:tc>
        <w:tc>
          <w:tcPr>
            <w:tcW w:type="dxa" w:w="4050"/>
          </w:tcPr>
          <w:p>
            <w:pPr>
              <w:spacing w:after="0" w:line="252" w:lineRule="auto"/>
            </w:pPr>
            <w:r>
              <w:rPr>
                <w:rFonts w:ascii="Calibri" w:hAnsi="Calibri"/>
                <w:color w:val="000000"/>
                <w:sz w:val="19"/>
              </w:rPr>
              <w:t>Remediation closeout, cost model, findings and decision review</w:t>
            </w:r>
          </w:p>
        </w:tc>
        <w:tc>
          <w:tcPr>
            <w:tcW w:type="dxa" w:w="3460"/>
          </w:tcPr>
          <w:p>
            <w:pPr>
              <w:spacing w:after="0" w:line="252" w:lineRule="auto"/>
            </w:pPr>
            <w:r>
              <w:rPr>
                <w:rFonts w:ascii="Calibri" w:hAnsi="Calibri"/>
                <w:color w:val="000000"/>
                <w:sz w:val="19"/>
              </w:rPr>
              <w:t>Evidence package complete</w:t>
            </w:r>
          </w:p>
        </w:tc>
      </w:tr>
    </w:tbl>
    <w:p>
      <w:pPr>
        <w:spacing w:after="20"/>
      </w:pPr>
    </w:p>
    <w:p>
      <w:pPr>
        <w:pStyle w:val="Heading2"/>
      </w:pPr>
      <w:r>
        <w:t>13.1 POC start checklist</w:t>
      </w:r>
    </w:p>
    <w:p>
      <w:pPr>
        <w:numPr>
          <w:ilvl w:val="0"/>
          <w:numId w:val="10"/>
        </w:numPr>
      </w:pPr>
      <w:r>
        <w:rPr>
          <w:rFonts w:ascii="Calibri" w:hAnsi="Calibri"/>
        </w:rPr>
        <w:t>Written DataWalk and Hyperscience support statements received.</w:t>
      </w:r>
    </w:p>
    <w:p>
      <w:pPr>
        <w:numPr>
          <w:ilvl w:val="0"/>
          <w:numId w:val="10"/>
        </w:numPr>
      </w:pPr>
      <w:r>
        <w:rPr>
          <w:rFonts w:ascii="Calibri" w:hAnsi="Calibri"/>
        </w:rPr>
        <w:t>Version compatibility matrix approved and immutable for the POC run.</w:t>
      </w:r>
    </w:p>
    <w:p>
      <w:pPr>
        <w:numPr>
          <w:ilvl w:val="0"/>
          <w:numId w:val="10"/>
        </w:numPr>
      </w:pPr>
      <w:r>
        <w:rPr>
          <w:rFonts w:ascii="Calibri" w:hAnsi="Calibri"/>
        </w:rPr>
        <w:t>A10.2 service limits and physical capacity confirmed in the target OCI Government region.</w:t>
      </w:r>
    </w:p>
    <w:p>
      <w:pPr>
        <w:numPr>
          <w:ilvl w:val="0"/>
          <w:numId w:val="10"/>
        </w:numPr>
      </w:pPr>
      <w:r>
        <w:rPr>
          <w:rFonts w:ascii="Calibri" w:hAnsi="Calibri"/>
        </w:rPr>
        <w:t>OCI budget, tags, compartment placement, quotas, and cost alerts approved.</w:t>
      </w:r>
    </w:p>
    <w:p>
      <w:pPr>
        <w:numPr>
          <w:ilvl w:val="0"/>
          <w:numId w:val="10"/>
        </w:numPr>
      </w:pPr>
      <w:r>
        <w:rPr>
          <w:rFonts w:ascii="Calibri" w:hAnsi="Calibri"/>
        </w:rPr>
        <w:t>FastConnect/DRG routing, firewall ports, DNS, certificates, and jump-host access ready.</w:t>
      </w:r>
    </w:p>
    <w:p>
      <w:pPr>
        <w:numPr>
          <w:ilvl w:val="0"/>
          <w:numId w:val="10"/>
        </w:numPr>
      </w:pPr>
      <w:r>
        <w:rPr>
          <w:rFonts w:ascii="Calibri" w:hAnsi="Calibri"/>
        </w:rPr>
        <w:t>Test data approved, sanitized as required, staged, and accompanied by expected results.</w:t>
      </w:r>
    </w:p>
    <w:p>
      <w:pPr>
        <w:numPr>
          <w:ilvl w:val="0"/>
          <w:numId w:val="10"/>
        </w:numPr>
      </w:pPr>
      <w:r>
        <w:rPr>
          <w:rFonts w:ascii="Calibri" w:hAnsi="Calibri"/>
        </w:rPr>
        <w:t>Security controls, vulnerability thresholds, evidence formats, retention, and exception process agreed.</w:t>
      </w:r>
    </w:p>
    <w:p>
      <w:pPr>
        <w:numPr>
          <w:ilvl w:val="0"/>
          <w:numId w:val="10"/>
        </w:numPr>
      </w:pPr>
      <w:r>
        <w:rPr>
          <w:rFonts w:ascii="Calibri" w:hAnsi="Calibri"/>
        </w:rPr>
        <w:t>Kubernetes SME and both vendor engineers scheduled for build and test windows.</w:t>
      </w:r>
    </w:p>
    <w:p>
      <w:pPr>
        <w:numPr>
          <w:ilvl w:val="0"/>
          <w:numId w:val="10"/>
        </w:numPr>
      </w:pPr>
      <w:r>
        <w:rPr>
          <w:rFonts w:ascii="Calibri" w:hAnsi="Calibri"/>
        </w:rPr>
        <w:t>Rollback/cleanup plan and data-disposal owner approved.</w:t>
      </w:r>
    </w:p>
    <w:p>
      <w:pPr>
        <w:pStyle w:val="Heading1"/>
        <w:pageBreakBefore/>
      </w:pPr>
      <w:r>
        <w:t>14. Risk register</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2700"/>
        <w:gridCol w:w="2450"/>
        <w:gridCol w:w="4210"/>
      </w:tblGrid>
      <w:tr>
        <w:trPr>
          <w:tblHeader w:val="true"/>
          <w:cantSplit/>
        </w:trPr>
        <w:tc>
          <w:tcPr>
            <w:tcW w:type="dxa" w:w="2700"/>
            <w:tcMar>
              <w:top w:w="80" w:type="dxa"/>
              <w:start w:w="120" w:type="dxa"/>
              <w:bottom w:w="80" w:type="dxa"/>
              <w:end w:w="120" w:type="dxa"/>
            </w:tcMar>
            <w:vAlign w:val="center"/>
            <w:shd w:fill="F2F4F7"/>
          </w:tcPr>
          <w:p>
            <w:pPr>
              <w:spacing w:after="0"/>
            </w:pPr>
            <w:r>
              <w:rPr>
                <w:rFonts w:ascii="Calibri" w:hAnsi="Calibri"/>
                <w:b/>
                <w:color w:val="0B2545"/>
                <w:sz w:val="17"/>
              </w:rPr>
              <w:t>Risk</w:t>
            </w:r>
          </w:p>
        </w:tc>
        <w:tc>
          <w:tcPr>
            <w:tcW w:type="dxa" w:w="2450"/>
            <w:tcMar>
              <w:top w:w="80" w:type="dxa"/>
              <w:start w:w="120" w:type="dxa"/>
              <w:bottom w:w="80" w:type="dxa"/>
              <w:end w:w="120" w:type="dxa"/>
            </w:tcMar>
            <w:vAlign w:val="center"/>
            <w:shd w:fill="F2F4F7"/>
          </w:tcPr>
          <w:p>
            <w:pPr>
              <w:spacing w:after="0"/>
            </w:pPr>
            <w:r>
              <w:rPr>
                <w:rFonts w:ascii="Calibri" w:hAnsi="Calibri"/>
                <w:b/>
                <w:color w:val="0B2545"/>
                <w:sz w:val="17"/>
              </w:rPr>
              <w:t>Impact</w:t>
            </w:r>
          </w:p>
        </w:tc>
        <w:tc>
          <w:tcPr>
            <w:tcW w:type="dxa" w:w="4210"/>
            <w:tcMar>
              <w:top w:w="80" w:type="dxa"/>
              <w:start w:w="120" w:type="dxa"/>
              <w:bottom w:w="80" w:type="dxa"/>
              <w:end w:w="120" w:type="dxa"/>
            </w:tcMar>
            <w:vAlign w:val="center"/>
            <w:shd w:fill="F2F4F7"/>
          </w:tcPr>
          <w:p>
            <w:pPr>
              <w:spacing w:after="0"/>
            </w:pPr>
            <w:r>
              <w:rPr>
                <w:rFonts w:ascii="Calibri" w:hAnsi="Calibri"/>
                <w:b/>
                <w:color w:val="0B2545"/>
                <w:sz w:val="17"/>
              </w:rPr>
              <w:t>Mitigation / decision trigger</w:t>
            </w:r>
          </w:p>
        </w:tc>
      </w:tr>
      <w:tr>
        <w:trPr>
          <w:cantSplit/>
        </w:trPr>
        <w:tc>
          <w:tcPr>
            <w:tcW w:type="dxa" w:w="2700"/>
          </w:tcPr>
          <w:p>
            <w:pPr>
              <w:spacing w:after="0" w:line="252" w:lineRule="auto"/>
            </w:pPr>
            <w:r>
              <w:rPr>
                <w:rFonts w:ascii="Calibri" w:hAnsi="Calibri"/>
                <w:color w:val="000000"/>
                <w:sz w:val="17"/>
              </w:rPr>
              <w:t>Managed OKE image not supported by DataWalk</w:t>
            </w:r>
          </w:p>
        </w:tc>
        <w:tc>
          <w:tcPr>
            <w:tcW w:type="dxa" w:w="2450"/>
          </w:tcPr>
          <w:p>
            <w:pPr>
              <w:spacing w:after="0" w:line="252" w:lineRule="auto"/>
            </w:pPr>
            <w:r>
              <w:rPr>
                <w:rFonts w:ascii="Calibri" w:hAnsi="Calibri"/>
                <w:color w:val="000000"/>
                <w:sz w:val="17"/>
              </w:rPr>
              <w:t>Architecture redesign or self-managed Kubernetes</w:t>
            </w:r>
          </w:p>
        </w:tc>
        <w:tc>
          <w:tcPr>
            <w:tcW w:type="dxa" w:w="4210"/>
          </w:tcPr>
          <w:p>
            <w:pPr>
              <w:spacing w:after="0" w:line="252" w:lineRule="auto"/>
            </w:pPr>
            <w:r>
              <w:rPr>
                <w:rFonts w:ascii="Calibri" w:hAnsi="Calibri"/>
                <w:color w:val="000000"/>
                <w:sz w:val="17"/>
              </w:rPr>
              <w:t>Obtain written OS/image approval before build; stop at Gate 1 if unresolved</w:t>
            </w:r>
          </w:p>
        </w:tc>
      </w:tr>
      <w:tr>
        <w:trPr>
          <w:cantSplit/>
        </w:trPr>
        <w:tc>
          <w:tcPr>
            <w:tcW w:type="dxa" w:w="2700"/>
          </w:tcPr>
          <w:p>
            <w:pPr>
              <w:spacing w:after="0" w:line="252" w:lineRule="auto"/>
            </w:pPr>
            <w:r>
              <w:rPr>
                <w:rFonts w:ascii="Calibri" w:hAnsi="Calibri"/>
                <w:color w:val="000000"/>
                <w:sz w:val="17"/>
              </w:rPr>
              <w:t>A10.2 unavailable or quota-limited</w:t>
            </w:r>
          </w:p>
        </w:tc>
        <w:tc>
          <w:tcPr>
            <w:tcW w:type="dxa" w:w="2450"/>
          </w:tcPr>
          <w:p>
            <w:pPr>
              <w:spacing w:after="0" w:line="252" w:lineRule="auto"/>
            </w:pPr>
            <w:r>
              <w:rPr>
                <w:rFonts w:ascii="Calibri" w:hAnsi="Calibri"/>
                <w:color w:val="000000"/>
                <w:sz w:val="17"/>
              </w:rPr>
              <w:t>POC delay</w:t>
            </w:r>
          </w:p>
        </w:tc>
        <w:tc>
          <w:tcPr>
            <w:tcW w:type="dxa" w:w="4210"/>
          </w:tcPr>
          <w:p>
            <w:pPr>
              <w:spacing w:after="0" w:line="252" w:lineRule="auto"/>
            </w:pPr>
            <w:r>
              <w:rPr>
                <w:rFonts w:ascii="Calibri" w:hAnsi="Calibri"/>
                <w:color w:val="000000"/>
                <w:sz w:val="17"/>
              </w:rPr>
              <w:t>Confirm physical capacity and limits; evaluate reservation or approved alternate shape</w:t>
            </w:r>
          </w:p>
        </w:tc>
      </w:tr>
      <w:tr>
        <w:trPr>
          <w:cantSplit/>
        </w:trPr>
        <w:tc>
          <w:tcPr>
            <w:tcW w:type="dxa" w:w="2700"/>
          </w:tcPr>
          <w:p>
            <w:pPr>
              <w:spacing w:after="0" w:line="252" w:lineRule="auto"/>
            </w:pPr>
            <w:r>
              <w:rPr>
                <w:rFonts w:ascii="Calibri" w:hAnsi="Calibri"/>
                <w:color w:val="000000"/>
                <w:sz w:val="17"/>
              </w:rPr>
              <w:t>One A10 node mistaken for HA</w:t>
            </w:r>
          </w:p>
        </w:tc>
        <w:tc>
          <w:tcPr>
            <w:tcW w:type="dxa" w:w="2450"/>
          </w:tcPr>
          <w:p>
            <w:pPr>
              <w:spacing w:after="0" w:line="252" w:lineRule="auto"/>
            </w:pPr>
            <w:r>
              <w:rPr>
                <w:rFonts w:ascii="Calibri" w:hAnsi="Calibri"/>
                <w:color w:val="000000"/>
                <w:sz w:val="17"/>
              </w:rPr>
              <w:t>GPU workload outage during node maintenance/failure</w:t>
            </w:r>
          </w:p>
        </w:tc>
        <w:tc>
          <w:tcPr>
            <w:tcW w:type="dxa" w:w="4210"/>
          </w:tcPr>
          <w:p>
            <w:pPr>
              <w:spacing w:after="0" w:line="252" w:lineRule="auto"/>
            </w:pPr>
            <w:r>
              <w:rPr>
                <w:rFonts w:ascii="Calibri" w:hAnsi="Calibri"/>
                <w:color w:val="000000"/>
                <w:sz w:val="17"/>
              </w:rPr>
              <w:t>Treat single node as POC only; cost and test 2+ node production option</w:t>
            </w:r>
          </w:p>
        </w:tc>
      </w:tr>
      <w:tr>
        <w:trPr>
          <w:cantSplit/>
        </w:trPr>
        <w:tc>
          <w:tcPr>
            <w:tcW w:type="dxa" w:w="2700"/>
          </w:tcPr>
          <w:p>
            <w:pPr>
              <w:spacing w:after="0" w:line="252" w:lineRule="auto"/>
            </w:pPr>
            <w:r>
              <w:rPr>
                <w:rFonts w:ascii="Calibri" w:hAnsi="Calibri"/>
                <w:color w:val="000000"/>
                <w:sz w:val="17"/>
              </w:rPr>
              <w:t>Decoupled Storage interface unsupported</w:t>
            </w:r>
          </w:p>
        </w:tc>
        <w:tc>
          <w:tcPr>
            <w:tcW w:type="dxa" w:w="2450"/>
          </w:tcPr>
          <w:p>
            <w:pPr>
              <w:spacing w:after="0" w:line="252" w:lineRule="auto"/>
            </w:pPr>
            <w:r>
              <w:rPr>
                <w:rFonts w:ascii="Calibri" w:hAnsi="Calibri"/>
                <w:color w:val="000000"/>
                <w:sz w:val="17"/>
              </w:rPr>
              <w:t>DataWalk 5.2 migration blocked</w:t>
            </w:r>
          </w:p>
        </w:tc>
        <w:tc>
          <w:tcPr>
            <w:tcW w:type="dxa" w:w="4210"/>
          </w:tcPr>
          <w:p>
            <w:pPr>
              <w:spacing w:after="0" w:line="252" w:lineRule="auto"/>
            </w:pPr>
            <w:r>
              <w:rPr>
                <w:rFonts w:ascii="Calibri" w:hAnsi="Calibri"/>
                <w:color w:val="000000"/>
                <w:sz w:val="17"/>
              </w:rPr>
              <w:t>Vendor-certified interface test; do not infer support from S3 compatibility</w:t>
            </w:r>
          </w:p>
        </w:tc>
      </w:tr>
      <w:tr>
        <w:trPr>
          <w:cantSplit/>
        </w:trPr>
        <w:tc>
          <w:tcPr>
            <w:tcW w:type="dxa" w:w="2700"/>
          </w:tcPr>
          <w:p>
            <w:pPr>
              <w:spacing w:after="0" w:line="252" w:lineRule="auto"/>
            </w:pPr>
            <w:r>
              <w:rPr>
                <w:rFonts w:ascii="Calibri" w:hAnsi="Calibri"/>
                <w:color w:val="000000"/>
                <w:sz w:val="17"/>
              </w:rPr>
              <w:t>Hyperscience version/driver/CUDA mismatch</w:t>
            </w:r>
          </w:p>
        </w:tc>
        <w:tc>
          <w:tcPr>
            <w:tcW w:type="dxa" w:w="2450"/>
          </w:tcPr>
          <w:p>
            <w:pPr>
              <w:spacing w:after="0" w:line="252" w:lineRule="auto"/>
            </w:pPr>
            <w:r>
              <w:rPr>
                <w:rFonts w:ascii="Calibri" w:hAnsi="Calibri"/>
                <w:color w:val="000000"/>
                <w:sz w:val="17"/>
              </w:rPr>
              <w:t>Install or GPU failure</w:t>
            </w:r>
          </w:p>
        </w:tc>
        <w:tc>
          <w:tcPr>
            <w:tcW w:type="dxa" w:w="4210"/>
          </w:tcPr>
          <w:p>
            <w:pPr>
              <w:spacing w:after="0" w:line="252" w:lineRule="auto"/>
            </w:pPr>
            <w:r>
              <w:rPr>
                <w:rFonts w:ascii="Calibri" w:hAnsi="Calibri"/>
                <w:color w:val="000000"/>
                <w:sz w:val="17"/>
              </w:rPr>
              <w:t>Signed version matrix and vendor-led installation</w:t>
            </w:r>
          </w:p>
        </w:tc>
      </w:tr>
      <w:tr>
        <w:trPr>
          <w:cantSplit/>
        </w:trPr>
        <w:tc>
          <w:tcPr>
            <w:tcW w:type="dxa" w:w="2700"/>
          </w:tcPr>
          <w:p>
            <w:pPr>
              <w:spacing w:after="0" w:line="252" w:lineRule="auto"/>
            </w:pPr>
            <w:r>
              <w:rPr>
                <w:rFonts w:ascii="Calibri" w:hAnsi="Calibri"/>
                <w:color w:val="000000"/>
                <w:sz w:val="17"/>
              </w:rPr>
              <w:t>Security exceptions discovered late</w:t>
            </w:r>
          </w:p>
        </w:tc>
        <w:tc>
          <w:tcPr>
            <w:tcW w:type="dxa" w:w="2450"/>
          </w:tcPr>
          <w:p>
            <w:pPr>
              <w:spacing w:after="0" w:line="252" w:lineRule="auto"/>
            </w:pPr>
            <w:r>
              <w:rPr>
                <w:rFonts w:ascii="Calibri" w:hAnsi="Calibri"/>
                <w:color w:val="000000"/>
                <w:sz w:val="17"/>
              </w:rPr>
              <w:t>ATO delay or rejected production design</w:t>
            </w:r>
          </w:p>
        </w:tc>
        <w:tc>
          <w:tcPr>
            <w:tcW w:type="dxa" w:w="4210"/>
          </w:tcPr>
          <w:p>
            <w:pPr>
              <w:spacing w:after="0" w:line="252" w:lineRule="auto"/>
            </w:pPr>
            <w:r>
              <w:rPr>
                <w:rFonts w:ascii="Calibri" w:hAnsi="Calibri"/>
                <w:color w:val="000000"/>
                <w:sz w:val="17"/>
              </w:rPr>
              <w:t>Review pod security, egress, FIPS, SELinux, privileges, and scanning before installation</w:t>
            </w:r>
          </w:p>
        </w:tc>
      </w:tr>
      <w:tr>
        <w:trPr>
          <w:cantSplit/>
        </w:trPr>
        <w:tc>
          <w:tcPr>
            <w:tcW w:type="dxa" w:w="2700"/>
          </w:tcPr>
          <w:p>
            <w:pPr>
              <w:spacing w:after="0" w:line="252" w:lineRule="auto"/>
            </w:pPr>
            <w:r>
              <w:rPr>
                <w:rFonts w:ascii="Calibri" w:hAnsi="Calibri"/>
                <w:color w:val="000000"/>
                <w:sz w:val="17"/>
              </w:rPr>
              <w:t>POC workload too small or unrepresentative</w:t>
            </w:r>
          </w:p>
        </w:tc>
        <w:tc>
          <w:tcPr>
            <w:tcW w:type="dxa" w:w="2450"/>
          </w:tcPr>
          <w:p>
            <w:pPr>
              <w:spacing w:after="0" w:line="252" w:lineRule="auto"/>
            </w:pPr>
            <w:r>
              <w:rPr>
                <w:rFonts w:ascii="Calibri" w:hAnsi="Calibri"/>
                <w:color w:val="000000"/>
                <w:sz w:val="17"/>
              </w:rPr>
              <w:t>False performance/cost conclusion</w:t>
            </w:r>
          </w:p>
        </w:tc>
        <w:tc>
          <w:tcPr>
            <w:tcW w:type="dxa" w:w="4210"/>
          </w:tcPr>
          <w:p>
            <w:pPr>
              <w:spacing w:after="0" w:line="252" w:lineRule="auto"/>
            </w:pPr>
            <w:r>
              <w:rPr>
                <w:rFonts w:ascii="Calibri" w:hAnsi="Calibri"/>
                <w:color w:val="000000"/>
                <w:sz w:val="17"/>
              </w:rPr>
              <w:t>Application owners approve dataset, concurrency, duration, and baseline before test</w:t>
            </w:r>
          </w:p>
        </w:tc>
      </w:tr>
      <w:tr>
        <w:trPr>
          <w:cantSplit/>
        </w:trPr>
        <w:tc>
          <w:tcPr>
            <w:tcW w:type="dxa" w:w="2700"/>
          </w:tcPr>
          <w:p>
            <w:pPr>
              <w:spacing w:after="0" w:line="252" w:lineRule="auto"/>
            </w:pPr>
            <w:r>
              <w:rPr>
                <w:rFonts w:ascii="Calibri" w:hAnsi="Calibri"/>
                <w:color w:val="000000"/>
                <w:sz w:val="17"/>
              </w:rPr>
              <w:t>Kubernetes operations gap</w:t>
            </w:r>
          </w:p>
        </w:tc>
        <w:tc>
          <w:tcPr>
            <w:tcW w:type="dxa" w:w="2450"/>
          </w:tcPr>
          <w:p>
            <w:pPr>
              <w:spacing w:after="0" w:line="252" w:lineRule="auto"/>
            </w:pPr>
            <w:r>
              <w:rPr>
                <w:rFonts w:ascii="Calibri" w:hAnsi="Calibri"/>
                <w:color w:val="000000"/>
                <w:sz w:val="17"/>
              </w:rPr>
              <w:t>Unsustainable production service</w:t>
            </w:r>
          </w:p>
        </w:tc>
        <w:tc>
          <w:tcPr>
            <w:tcW w:type="dxa" w:w="4210"/>
          </w:tcPr>
          <w:p>
            <w:pPr>
              <w:spacing w:after="0" w:line="252" w:lineRule="auto"/>
            </w:pPr>
            <w:r>
              <w:rPr>
                <w:rFonts w:ascii="Calibri" w:hAnsi="Calibri"/>
                <w:color w:val="000000"/>
                <w:sz w:val="17"/>
              </w:rPr>
              <w:t>Assign SME, complete runbooks and operator demonstration before Go</w:t>
            </w:r>
          </w:p>
        </w:tc>
      </w:tr>
      <w:tr>
        <w:trPr>
          <w:cantSplit/>
        </w:trPr>
        <w:tc>
          <w:tcPr>
            <w:tcW w:type="dxa" w:w="2700"/>
          </w:tcPr>
          <w:p>
            <w:pPr>
              <w:spacing w:after="0" w:line="252" w:lineRule="auto"/>
            </w:pPr>
            <w:r>
              <w:rPr>
                <w:rFonts w:ascii="Calibri" w:hAnsi="Calibri"/>
                <w:color w:val="000000"/>
                <w:sz w:val="17"/>
              </w:rPr>
              <w:t>Incomplete TCO</w:t>
            </w:r>
          </w:p>
        </w:tc>
        <w:tc>
          <w:tcPr>
            <w:tcW w:type="dxa" w:w="2450"/>
          </w:tcPr>
          <w:p>
            <w:pPr>
              <w:spacing w:after="0" w:line="252" w:lineRule="auto"/>
            </w:pPr>
            <w:r>
              <w:rPr>
                <w:rFonts w:ascii="Calibri" w:hAnsi="Calibri"/>
                <w:color w:val="000000"/>
                <w:sz w:val="17"/>
              </w:rPr>
              <w:t>Funding surprise</w:t>
            </w:r>
          </w:p>
        </w:tc>
        <w:tc>
          <w:tcPr>
            <w:tcW w:type="dxa" w:w="4210"/>
          </w:tcPr>
          <w:p>
            <w:pPr>
              <w:spacing w:after="0" w:line="252" w:lineRule="auto"/>
            </w:pPr>
            <w:r>
              <w:rPr>
                <w:rFonts w:ascii="Calibri" w:hAnsi="Calibri"/>
                <w:color w:val="000000"/>
                <w:sz w:val="17"/>
              </w:rPr>
              <w:t>Include all CPU/GPU nodes, databases, storage, network, licenses, support, security tooling, DR, and labor</w:t>
            </w:r>
          </w:p>
        </w:tc>
      </w:tr>
      <w:tr>
        <w:trPr>
          <w:cantSplit/>
        </w:trPr>
        <w:tc>
          <w:tcPr>
            <w:tcW w:type="dxa" w:w="2700"/>
          </w:tcPr>
          <w:p>
            <w:pPr>
              <w:spacing w:after="0" w:line="252" w:lineRule="auto"/>
            </w:pPr>
            <w:r>
              <w:rPr>
                <w:rFonts w:ascii="Calibri" w:hAnsi="Calibri"/>
                <w:color w:val="000000"/>
                <w:sz w:val="17"/>
              </w:rPr>
              <w:t>Contract/renewal delay</w:t>
            </w:r>
          </w:p>
        </w:tc>
        <w:tc>
          <w:tcPr>
            <w:tcW w:type="dxa" w:w="2450"/>
          </w:tcPr>
          <w:p>
            <w:pPr>
              <w:spacing w:after="0" w:line="252" w:lineRule="auto"/>
            </w:pPr>
            <w:r>
              <w:rPr>
                <w:rFonts w:ascii="Calibri" w:hAnsi="Calibri"/>
                <w:color w:val="000000"/>
                <w:sz w:val="17"/>
              </w:rPr>
              <w:t>Procurement cannot follow POC</w:t>
            </w:r>
          </w:p>
        </w:tc>
        <w:tc>
          <w:tcPr>
            <w:tcW w:type="dxa" w:w="4210"/>
          </w:tcPr>
          <w:p>
            <w:pPr>
              <w:spacing w:after="0" w:line="252" w:lineRule="auto"/>
            </w:pPr>
            <w:r>
              <w:rPr>
                <w:rFonts w:ascii="Calibri" w:hAnsi="Calibri"/>
                <w:color w:val="000000"/>
                <w:sz w:val="17"/>
              </w:rPr>
              <w:t>Track separately; do not let a favorable POC imply funds or contract authority</w:t>
            </w:r>
          </w:p>
        </w:tc>
      </w:tr>
    </w:tbl>
    <w:p>
      <w:pPr>
        <w:spacing w:after="20"/>
      </w:pPr>
    </w:p>
    <w:p>
      <w:pPr>
        <w:pStyle w:val="Heading1"/>
      </w:pPr>
      <w:r>
        <w:t>15. Cost-management approach</w:t>
      </w:r>
    </w:p>
    <w:p>
      <w:pPr>
        <w:spacing w:after="120" w:line="264" w:lineRule="auto"/>
      </w:pPr>
      <w:r>
        <w:rPr>
          <w:rFonts w:ascii="Calibri" w:hAnsi="Calibri"/>
          <w:i w:val="0"/>
        </w:rPr>
        <w:t>The earlier $132,000 annual / $663,000 five-year figure appears to be a preliminary A10 compute estimate. It is not the complete five-environment solution cost and should remain labeled as such until the target topology is sized.</w:t>
      </w:r>
    </w:p>
    <w:p>
      <w:pPr>
        <w:numPr>
          <w:ilvl w:val="0"/>
          <w:numId w:val="10"/>
        </w:numPr>
      </w:pPr>
      <w:r>
        <w:rPr>
          <w:rFonts w:ascii="Calibri" w:hAnsi="Calibri"/>
        </w:rPr>
        <w:t>Tag every POC resource by application, environment, owner, cost center, and expiration date; apply budgets and alerts through the landing-zone governance model [S3].</w:t>
      </w:r>
    </w:p>
    <w:p>
      <w:pPr>
        <w:numPr>
          <w:ilvl w:val="0"/>
          <w:numId w:val="10"/>
        </w:numPr>
      </w:pPr>
      <w:r>
        <w:rPr>
          <w:rFonts w:ascii="Calibri" w:hAnsi="Calibri"/>
        </w:rPr>
        <w:t>Capture hourly and daily POC cost by service, including stopped-but-billable resources such as storage, load balancers, databases, logging, backups, and reserved capacity.</w:t>
      </w:r>
    </w:p>
    <w:p>
      <w:pPr>
        <w:numPr>
          <w:ilvl w:val="0"/>
          <w:numId w:val="10"/>
        </w:numPr>
      </w:pPr>
      <w:r>
        <w:rPr>
          <w:rFonts w:ascii="Calibri" w:hAnsi="Calibri"/>
        </w:rPr>
        <w:t>Model target-state CPU system pools, DataWalk CPU pools, Hyperscience CPU pools, A10 GPU pools, HA capacity, external databases, storage, registry, monitoring, network, DR, support, licenses, and Kubernetes labor.</w:t>
      </w:r>
    </w:p>
    <w:p>
      <w:pPr>
        <w:numPr>
          <w:ilvl w:val="0"/>
          <w:numId w:val="10"/>
        </w:numPr>
      </w:pPr>
      <w:r>
        <w:rPr>
          <w:rFonts w:ascii="Calibri" w:hAnsi="Calibri"/>
        </w:rPr>
        <w:t>Use measured utilization to right-size; do not map 16 DataWalk and four Hyperscience legacy servers one-for-one to Kubernetes nodes.</w:t>
      </w:r>
    </w:p>
    <w:p>
      <w:pPr>
        <w:numPr>
          <w:ilvl w:val="0"/>
          <w:numId w:val="10"/>
        </w:numPr>
      </w:pPr>
      <w:r>
        <w:rPr>
          <w:rFonts w:ascii="Calibri" w:hAnsi="Calibri"/>
        </w:rPr>
        <w:t>Present low, expected, and high production run-rate scenarios with assumptions and capacity headroom.</w:t>
      </w:r>
    </w:p>
    <w:p>
      <w:pPr>
        <w:pStyle w:val="Heading1"/>
      </w:pPr>
      <w:r>
        <w:t>16. Exit decision and deliverables</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1600"/>
        <w:gridCol w:w="4050"/>
        <w:gridCol w:w="3710"/>
      </w:tblGrid>
      <w:tr>
        <w:trPr>
          <w:tblHeader w:val="true"/>
          <w:cantSplit/>
        </w:trPr>
        <w:tc>
          <w:tcPr>
            <w:tcW w:type="dxa" w:w="1600"/>
            <w:tcMar>
              <w:top w:w="80" w:type="dxa"/>
              <w:start w:w="120" w:type="dxa"/>
              <w:bottom w:w="80" w:type="dxa"/>
              <w:end w:w="120" w:type="dxa"/>
            </w:tcMar>
            <w:vAlign w:val="center"/>
            <w:shd w:fill="F2F4F7"/>
          </w:tcPr>
          <w:p>
            <w:pPr>
              <w:spacing w:after="0"/>
            </w:pPr>
            <w:r>
              <w:rPr>
                <w:rFonts w:ascii="Calibri" w:hAnsi="Calibri"/>
                <w:b/>
                <w:color w:val="0B2545"/>
                <w:sz w:val="19"/>
              </w:rPr>
              <w:t>Decision</w:t>
            </w:r>
          </w:p>
        </w:tc>
        <w:tc>
          <w:tcPr>
            <w:tcW w:type="dxa" w:w="4050"/>
            <w:tcMar>
              <w:top w:w="80" w:type="dxa"/>
              <w:start w:w="120" w:type="dxa"/>
              <w:bottom w:w="80" w:type="dxa"/>
              <w:end w:w="120" w:type="dxa"/>
            </w:tcMar>
            <w:vAlign w:val="center"/>
            <w:shd w:fill="F2F4F7"/>
          </w:tcPr>
          <w:p>
            <w:pPr>
              <w:spacing w:after="0"/>
            </w:pPr>
            <w:r>
              <w:rPr>
                <w:rFonts w:ascii="Calibri" w:hAnsi="Calibri"/>
                <w:b/>
                <w:color w:val="0B2545"/>
                <w:sz w:val="19"/>
              </w:rPr>
              <w:t>Use when</w:t>
            </w:r>
          </w:p>
        </w:tc>
        <w:tc>
          <w:tcPr>
            <w:tcW w:type="dxa" w:w="3710"/>
            <w:tcMar>
              <w:top w:w="80" w:type="dxa"/>
              <w:start w:w="120" w:type="dxa"/>
              <w:bottom w:w="80" w:type="dxa"/>
              <w:end w:w="120" w:type="dxa"/>
            </w:tcMar>
            <w:vAlign w:val="center"/>
            <w:shd w:fill="F2F4F7"/>
          </w:tcPr>
          <w:p>
            <w:pPr>
              <w:spacing w:after="0"/>
            </w:pPr>
            <w:r>
              <w:rPr>
                <w:rFonts w:ascii="Calibri" w:hAnsi="Calibri"/>
                <w:b/>
                <w:color w:val="0B2545"/>
                <w:sz w:val="19"/>
              </w:rPr>
              <w:t>Required disposition</w:t>
            </w:r>
          </w:p>
        </w:tc>
      </w:tr>
      <w:tr>
        <w:trPr>
          <w:cantSplit/>
        </w:trPr>
        <w:tc>
          <w:tcPr>
            <w:tcW w:type="dxa" w:w="1600"/>
          </w:tcPr>
          <w:p>
            <w:pPr>
              <w:spacing w:after="0" w:line="252" w:lineRule="auto"/>
            </w:pPr>
            <w:r>
              <w:rPr>
                <w:rFonts w:ascii="Calibri" w:hAnsi="Calibri"/>
                <w:color w:val="000000"/>
                <w:sz w:val="19"/>
              </w:rPr>
              <w:t>GO</w:t>
            </w:r>
          </w:p>
        </w:tc>
        <w:tc>
          <w:tcPr>
            <w:tcW w:type="dxa" w:w="4050"/>
          </w:tcPr>
          <w:p>
            <w:pPr>
              <w:spacing w:after="0" w:line="252" w:lineRule="auto"/>
            </w:pPr>
            <w:r>
              <w:rPr>
                <w:rFonts w:ascii="Calibri" w:hAnsi="Calibri"/>
                <w:color w:val="000000"/>
                <w:sz w:val="19"/>
              </w:rPr>
              <w:t>All mandatory gates pass and residual risks are accepted</w:t>
            </w:r>
          </w:p>
        </w:tc>
        <w:tc>
          <w:tcPr>
            <w:tcW w:type="dxa" w:w="3710"/>
          </w:tcPr>
          <w:p>
            <w:pPr>
              <w:spacing w:after="0" w:line="252" w:lineRule="auto"/>
            </w:pPr>
            <w:r>
              <w:rPr>
                <w:rFonts w:ascii="Calibri" w:hAnsi="Calibri"/>
                <w:color w:val="000000"/>
                <w:sz w:val="19"/>
              </w:rPr>
              <w:t>Authorize implementation planning/procurement for the five-cluster target</w:t>
            </w:r>
          </w:p>
        </w:tc>
      </w:tr>
      <w:tr>
        <w:trPr>
          <w:cantSplit/>
        </w:trPr>
        <w:tc>
          <w:tcPr>
            <w:tcW w:type="dxa" w:w="1600"/>
          </w:tcPr>
          <w:p>
            <w:pPr>
              <w:spacing w:after="0" w:line="252" w:lineRule="auto"/>
            </w:pPr>
            <w:r>
              <w:rPr>
                <w:rFonts w:ascii="Calibri" w:hAnsi="Calibri"/>
                <w:color w:val="000000"/>
                <w:sz w:val="19"/>
              </w:rPr>
              <w:t>CONDITIONAL GO</w:t>
            </w:r>
          </w:p>
        </w:tc>
        <w:tc>
          <w:tcPr>
            <w:tcW w:type="dxa" w:w="4050"/>
          </w:tcPr>
          <w:p>
            <w:pPr>
              <w:spacing w:after="0" w:line="252" w:lineRule="auto"/>
            </w:pPr>
            <w:r>
              <w:rPr>
                <w:rFonts w:ascii="Calibri" w:hAnsi="Calibri"/>
                <w:color w:val="000000"/>
                <w:sz w:val="19"/>
              </w:rPr>
              <w:t>Core feasibility passes but bounded remediations remain</w:t>
            </w:r>
          </w:p>
        </w:tc>
        <w:tc>
          <w:tcPr>
            <w:tcW w:type="dxa" w:w="3710"/>
          </w:tcPr>
          <w:p>
            <w:pPr>
              <w:spacing w:after="0" w:line="252" w:lineRule="auto"/>
            </w:pPr>
            <w:r>
              <w:rPr>
                <w:rFonts w:ascii="Calibri" w:hAnsi="Calibri"/>
                <w:color w:val="000000"/>
                <w:sz w:val="19"/>
              </w:rPr>
              <w:t>Assign owners, funds, due dates, and a pre-production verification gate</w:t>
            </w:r>
          </w:p>
        </w:tc>
      </w:tr>
      <w:tr>
        <w:trPr>
          <w:cantSplit/>
        </w:trPr>
        <w:tc>
          <w:tcPr>
            <w:tcW w:type="dxa" w:w="1600"/>
          </w:tcPr>
          <w:p>
            <w:pPr>
              <w:spacing w:after="0" w:line="252" w:lineRule="auto"/>
            </w:pPr>
            <w:r>
              <w:rPr>
                <w:rFonts w:ascii="Calibri" w:hAnsi="Calibri"/>
                <w:color w:val="000000"/>
                <w:sz w:val="19"/>
              </w:rPr>
              <w:t>EXTEND</w:t>
            </w:r>
          </w:p>
        </w:tc>
        <w:tc>
          <w:tcPr>
            <w:tcW w:type="dxa" w:w="4050"/>
          </w:tcPr>
          <w:p>
            <w:pPr>
              <w:spacing w:after="0" w:line="252" w:lineRule="auto"/>
            </w:pPr>
            <w:r>
              <w:rPr>
                <w:rFonts w:ascii="Calibri" w:hAnsi="Calibri"/>
                <w:color w:val="000000"/>
                <w:sz w:val="19"/>
              </w:rPr>
              <w:t>Evidence is incomplete but the remaining question is testable</w:t>
            </w:r>
          </w:p>
        </w:tc>
        <w:tc>
          <w:tcPr>
            <w:tcW w:type="dxa" w:w="3710"/>
          </w:tcPr>
          <w:p>
            <w:pPr>
              <w:spacing w:after="0" w:line="252" w:lineRule="auto"/>
            </w:pPr>
            <w:r>
              <w:rPr>
                <w:rFonts w:ascii="Calibri" w:hAnsi="Calibri"/>
                <w:color w:val="000000"/>
                <w:sz w:val="19"/>
              </w:rPr>
              <w:t>Approve narrow extension with cost cap and exact missing evidence</w:t>
            </w:r>
          </w:p>
        </w:tc>
      </w:tr>
      <w:tr>
        <w:trPr>
          <w:cantSplit/>
        </w:trPr>
        <w:tc>
          <w:tcPr>
            <w:tcW w:type="dxa" w:w="1600"/>
          </w:tcPr>
          <w:p>
            <w:pPr>
              <w:spacing w:after="0" w:line="252" w:lineRule="auto"/>
            </w:pPr>
            <w:r>
              <w:rPr>
                <w:rFonts w:ascii="Calibri" w:hAnsi="Calibri"/>
                <w:color w:val="000000"/>
                <w:sz w:val="19"/>
              </w:rPr>
              <w:t>NO-GO</w:t>
            </w:r>
          </w:p>
        </w:tc>
        <w:tc>
          <w:tcPr>
            <w:tcW w:type="dxa" w:w="4050"/>
          </w:tcPr>
          <w:p>
            <w:pPr>
              <w:spacing w:after="0" w:line="252" w:lineRule="auto"/>
            </w:pPr>
            <w:r>
              <w:rPr>
                <w:rFonts w:ascii="Calibri" w:hAnsi="Calibri"/>
                <w:color w:val="000000"/>
                <w:sz w:val="19"/>
              </w:rPr>
              <w:t>Vendor support, security, performance, operability, integration, or cost is unacceptable</w:t>
            </w:r>
          </w:p>
        </w:tc>
        <w:tc>
          <w:tcPr>
            <w:tcW w:type="dxa" w:w="3710"/>
          </w:tcPr>
          <w:p>
            <w:pPr>
              <w:spacing w:after="0" w:line="252" w:lineRule="auto"/>
            </w:pPr>
            <w:r>
              <w:rPr>
                <w:rFonts w:ascii="Calibri" w:hAnsi="Calibri"/>
                <w:color w:val="000000"/>
                <w:sz w:val="19"/>
              </w:rPr>
              <w:t>Close POC, preserve evidence, clean resources/data, and pursue alternate design</w:t>
            </w:r>
          </w:p>
        </w:tc>
      </w:tr>
    </w:tbl>
    <w:p>
      <w:pPr>
        <w:spacing w:after="20"/>
      </w:pPr>
    </w:p>
    <w:p>
      <w:pPr>
        <w:pStyle w:val="Heading2"/>
      </w:pPr>
      <w:r>
        <w:t>16.1 Mandatory closeout package</w:t>
      </w:r>
    </w:p>
    <w:p>
      <w:pPr>
        <w:numPr>
          <w:ilvl w:val="0"/>
          <w:numId w:val="10"/>
        </w:numPr>
      </w:pPr>
      <w:r>
        <w:rPr>
          <w:rFonts w:ascii="Calibri" w:hAnsi="Calibri"/>
        </w:rPr>
        <w:t>Executive POC result and decision scorecard.</w:t>
      </w:r>
    </w:p>
    <w:p>
      <w:pPr>
        <w:numPr>
          <w:ilvl w:val="0"/>
          <w:numId w:val="10"/>
        </w:numPr>
      </w:pPr>
      <w:r>
        <w:rPr>
          <w:rFonts w:ascii="Calibri" w:hAnsi="Calibri"/>
        </w:rPr>
        <w:t>Final architecture and architecture decision records.</w:t>
      </w:r>
    </w:p>
    <w:p>
      <w:pPr>
        <w:numPr>
          <w:ilvl w:val="0"/>
          <w:numId w:val="10"/>
        </w:numPr>
      </w:pPr>
      <w:r>
        <w:rPr>
          <w:rFonts w:ascii="Calibri" w:hAnsi="Calibri"/>
        </w:rPr>
        <w:t>Signed vendor compatibility/support matrix.</w:t>
      </w:r>
    </w:p>
    <w:p>
      <w:pPr>
        <w:numPr>
          <w:ilvl w:val="0"/>
          <w:numId w:val="10"/>
        </w:numPr>
      </w:pPr>
      <w:r>
        <w:rPr>
          <w:rFonts w:ascii="Calibri" w:hAnsi="Calibri"/>
        </w:rPr>
        <w:t>Infrastructure-as-code and configuration baseline.</w:t>
      </w:r>
    </w:p>
    <w:p>
      <w:pPr>
        <w:numPr>
          <w:ilvl w:val="0"/>
          <w:numId w:val="10"/>
        </w:numPr>
      </w:pPr>
      <w:r>
        <w:rPr>
          <w:rFonts w:ascii="Calibri" w:hAnsi="Calibri"/>
        </w:rPr>
        <w:t>Test plan, raw evidence, results, defects, remediations, and acceptance signatures.</w:t>
      </w:r>
    </w:p>
    <w:p>
      <w:pPr>
        <w:numPr>
          <w:ilvl w:val="0"/>
          <w:numId w:val="10"/>
        </w:numPr>
      </w:pPr>
      <w:r>
        <w:rPr>
          <w:rFonts w:ascii="Calibri" w:hAnsi="Calibri"/>
        </w:rPr>
        <w:t>Security/ATO evidence index, findings, exceptions, and production control plan.</w:t>
      </w:r>
    </w:p>
    <w:p>
      <w:pPr>
        <w:numPr>
          <w:ilvl w:val="0"/>
          <w:numId w:val="10"/>
        </w:numPr>
      </w:pPr>
      <w:r>
        <w:rPr>
          <w:rFonts w:ascii="Calibri" w:hAnsi="Calibri"/>
        </w:rPr>
        <w:t>Measured cost report and complete target-state TCO assumptions.</w:t>
      </w:r>
    </w:p>
    <w:p>
      <w:pPr>
        <w:numPr>
          <w:ilvl w:val="0"/>
          <w:numId w:val="10"/>
        </w:numPr>
      </w:pPr>
      <w:r>
        <w:rPr>
          <w:rFonts w:ascii="Calibri" w:hAnsi="Calibri"/>
        </w:rPr>
        <w:t>Operations runbooks, monitoring/alert inventory, support escalation, training, and ownership acceptance.</w:t>
      </w:r>
    </w:p>
    <w:p>
      <w:pPr>
        <w:numPr>
          <w:ilvl w:val="0"/>
          <w:numId w:val="10"/>
        </w:numPr>
      </w:pPr>
      <w:r>
        <w:rPr>
          <w:rFonts w:ascii="Calibri" w:hAnsi="Calibri"/>
        </w:rPr>
        <w:t>Implementation roadmap for DW Dev/Test/Prod and HS Dev/Prod, or documented alternate recommendation.</w:t>
      </w:r>
    </w:p>
    <w:p>
      <w:pPr>
        <w:numPr>
          <w:ilvl w:val="0"/>
          <w:numId w:val="10"/>
        </w:numPr>
      </w:pPr>
      <w:r>
        <w:rPr>
          <w:rFonts w:ascii="Calibri" w:hAnsi="Calibri"/>
        </w:rPr>
        <w:t>POC cleanup/data-destruction attestation when applicable.</w:t>
      </w:r>
    </w:p>
    <w:tbl>
      <w:tblPr>
        <w:tblW w:type="dxa" w:w="9360"/>
        <w:jc w:val="left"/>
        <w:tblLayout w:type="fixed"/>
        <w:tblLook w:firstColumn="1" w:firstRow="1" w:lastColumn="0" w:lastRow="0" w:noHBand="0" w:noVBand="1" w:val="04A0"/>
        <w:tblInd w:w="120" w:type="dxa"/>
        <w:tblBorders>
          <w:top w:val="single" w:sz="10" w:space="0" w:color="1F5D42"/>
          <w:left w:val="single" w:sz="10" w:space="0" w:color="1F5D42"/>
          <w:bottom w:val="single" w:sz="10" w:space="0" w:color="1F5D42"/>
          <w:right w:val="single" w:sz="10" w:space="0" w:color="1F5D42"/>
          <w:insideH w:val="single" w:sz="10" w:space="0" w:color="1F5D42"/>
          <w:insideV w:val="single" w:sz="10" w:space="0" w:color="1F5D42"/>
        </w:tblBorders>
      </w:tblPr>
      <w:tblGrid>
        <w:gridCol w:w="9360"/>
      </w:tblGrid>
      <w:tr>
        <w:tc>
          <w:tcPr>
            <w:tcW w:type="dxa" w:w="9360"/>
            <w:tcMar>
              <w:top w:w="80" w:type="dxa"/>
              <w:start w:w="120" w:type="dxa"/>
              <w:bottom w:w="80" w:type="dxa"/>
              <w:end w:w="120" w:type="dxa"/>
            </w:tcMar>
            <w:vAlign w:val="center"/>
            <w:shd w:fill="EAF4EF"/>
          </w:tcPr>
          <w:p>
            <w:pPr>
              <w:spacing w:after="0" w:line="264" w:lineRule="auto"/>
            </w:pPr>
            <w:r>
              <w:rPr>
                <w:rFonts w:ascii="Calibri" w:hAnsi="Calibri"/>
                <w:b/>
                <w:color w:val="1F5D42"/>
                <w:sz w:val="21"/>
              </w:rPr>
              <w:t xml:space="preserve">RECOMMENDED APPROVAL LANGUAGE  </w:t>
            </w:r>
            <w:r>
              <w:rPr>
                <w:rFonts w:ascii="Calibri" w:hAnsi="Calibri"/>
                <w:color w:val="000000"/>
                <w:sz w:val="21"/>
              </w:rPr>
              <w:t>Approve prerequisite work and a controlled OCI proof of concept using separate DataWalk and Hyperscience non-production OKE clusters. Production authorization remains conditional on written vendor support, successful test evidence, security and ATO review, operational acceptance, confirmed regional capacity, and an approved complete cost model.</w:t>
            </w:r>
          </w:p>
        </w:tc>
      </w:tr>
    </w:tbl>
    <w:p>
      <w:pPr>
        <w:spacing w:after="20"/>
      </w:pPr>
    </w:p>
    <w:p>
      <w:pPr>
        <w:pStyle w:val="Heading1"/>
        <w:pageBreakBefore/>
      </w:pPr>
      <w:r>
        <w:t>Appendix A. Version and support matrix</w:t>
      </w:r>
    </w:p>
    <w:tbl>
      <w:tblPr>
        <w:tblW w:type="dxa" w:w="9360"/>
        <w:jc w:val="left"/>
        <w:tblLayout w:type="fixed"/>
        <w:tblLook w:firstColumn="1" w:firstRow="1" w:lastColumn="0" w:lastRow="0" w:noHBand="0" w:noVBand="1" w:val="04A0"/>
        <w:tblInd w:w="120" w:type="dxa"/>
        <w:tblBorders>
          <w:top w:val="single" w:sz="6" w:space="0" w:color="B7BEC8"/>
          <w:left w:val="single" w:sz="6" w:space="0" w:color="B7BEC8"/>
          <w:bottom w:val="single" w:sz="6" w:space="0" w:color="B7BEC8"/>
          <w:right w:val="single" w:sz="6" w:space="0" w:color="B7BEC8"/>
          <w:insideH w:val="single" w:sz="6" w:space="0" w:color="B7BEC8"/>
          <w:insideV w:val="single" w:sz="6" w:space="0" w:color="B7BEC8"/>
        </w:tblBorders>
      </w:tblPr>
      <w:tblGrid>
        <w:gridCol w:w="1800"/>
        <w:gridCol w:w="2750"/>
        <w:gridCol w:w="2750"/>
        <w:gridCol w:w="2060"/>
      </w:tblGrid>
      <w:tr>
        <w:trPr>
          <w:tblHeader w:val="true"/>
          <w:cantSplit/>
        </w:trPr>
        <w:tc>
          <w:tcPr>
            <w:tcW w:type="dxa" w:w="1800"/>
            <w:tcMar>
              <w:top w:w="80" w:type="dxa"/>
              <w:start w:w="120" w:type="dxa"/>
              <w:bottom w:w="80" w:type="dxa"/>
              <w:end w:w="120" w:type="dxa"/>
            </w:tcMar>
            <w:vAlign w:val="center"/>
            <w:shd w:fill="F2F4F7"/>
          </w:tcPr>
          <w:p>
            <w:pPr>
              <w:spacing w:after="0"/>
            </w:pPr>
            <w:r>
              <w:rPr>
                <w:rFonts w:ascii="Calibri" w:hAnsi="Calibri"/>
                <w:b/>
                <w:color w:val="0B2545"/>
                <w:sz w:val="16"/>
              </w:rPr>
              <w:t>Layer</w:t>
            </w:r>
          </w:p>
        </w:tc>
        <w:tc>
          <w:tcPr>
            <w:tcW w:type="dxa" w:w="2750"/>
            <w:tcMar>
              <w:top w:w="80" w:type="dxa"/>
              <w:start w:w="120" w:type="dxa"/>
              <w:bottom w:w="80" w:type="dxa"/>
              <w:end w:w="120" w:type="dxa"/>
            </w:tcMar>
            <w:vAlign w:val="center"/>
            <w:shd w:fill="F2F4F7"/>
          </w:tcPr>
          <w:p>
            <w:pPr>
              <w:spacing w:after="0"/>
            </w:pPr>
            <w:r>
              <w:rPr>
                <w:rFonts w:ascii="Calibri" w:hAnsi="Calibri"/>
                <w:b/>
                <w:color w:val="0B2545"/>
                <w:sz w:val="16"/>
              </w:rPr>
              <w:t>DataWalk POC</w:t>
            </w:r>
          </w:p>
        </w:tc>
        <w:tc>
          <w:tcPr>
            <w:tcW w:type="dxa" w:w="2750"/>
            <w:tcMar>
              <w:top w:w="80" w:type="dxa"/>
              <w:start w:w="120" w:type="dxa"/>
              <w:bottom w:w="80" w:type="dxa"/>
              <w:end w:w="120" w:type="dxa"/>
            </w:tcMar>
            <w:vAlign w:val="center"/>
            <w:shd w:fill="F2F4F7"/>
          </w:tcPr>
          <w:p>
            <w:pPr>
              <w:spacing w:after="0"/>
            </w:pPr>
            <w:r>
              <w:rPr>
                <w:rFonts w:ascii="Calibri" w:hAnsi="Calibri"/>
                <w:b/>
                <w:color w:val="0B2545"/>
                <w:sz w:val="16"/>
              </w:rPr>
              <w:t>Hyperscience POC</w:t>
            </w:r>
          </w:p>
        </w:tc>
        <w:tc>
          <w:tcPr>
            <w:tcW w:type="dxa" w:w="2060"/>
            <w:tcMar>
              <w:top w:w="80" w:type="dxa"/>
              <w:start w:w="120" w:type="dxa"/>
              <w:bottom w:w="80" w:type="dxa"/>
              <w:end w:w="120" w:type="dxa"/>
            </w:tcMar>
            <w:vAlign w:val="center"/>
            <w:shd w:fill="F2F4F7"/>
          </w:tcPr>
          <w:p>
            <w:pPr>
              <w:spacing w:after="0"/>
            </w:pPr>
            <w:r>
              <w:rPr>
                <w:rFonts w:ascii="Calibri" w:hAnsi="Calibri"/>
                <w:b/>
                <w:color w:val="0B2545"/>
                <w:sz w:val="16"/>
              </w:rPr>
              <w:t>Approval evidence</w:t>
            </w:r>
          </w:p>
        </w:tc>
      </w:tr>
      <w:tr>
        <w:trPr>
          <w:cantSplit/>
        </w:trPr>
        <w:tc>
          <w:tcPr>
            <w:tcW w:type="dxa" w:w="1800"/>
          </w:tcPr>
          <w:p>
            <w:pPr>
              <w:spacing w:after="0" w:line="252" w:lineRule="auto"/>
            </w:pPr>
            <w:r>
              <w:rPr>
                <w:rFonts w:ascii="Calibri" w:hAnsi="Calibri"/>
                <w:color w:val="000000"/>
                <w:sz w:val="16"/>
              </w:rPr>
              <w:t>Application release</w:t>
            </w:r>
          </w:p>
        </w:tc>
        <w:tc>
          <w:tcPr>
            <w:tcW w:type="dxa" w:w="2750"/>
          </w:tcPr>
          <w:p>
            <w:pPr>
              <w:spacing w:after="0" w:line="252" w:lineRule="auto"/>
            </w:pPr>
            <w:r>
              <w:rPr>
                <w:rFonts w:ascii="Calibri" w:hAnsi="Calibri"/>
                <w:color w:val="000000"/>
                <w:sz w:val="16"/>
              </w:rPr>
              <w:t>TBD</w:t>
            </w:r>
          </w:p>
        </w:tc>
        <w:tc>
          <w:tcPr>
            <w:tcW w:type="dxa" w:w="2750"/>
          </w:tcPr>
          <w:p>
            <w:pPr>
              <w:spacing w:after="0" w:line="252" w:lineRule="auto"/>
            </w:pPr>
            <w:r>
              <w:rPr>
                <w:rFonts w:ascii="Calibri" w:hAnsi="Calibri"/>
                <w:color w:val="000000"/>
                <w:sz w:val="16"/>
              </w:rPr>
              <w:t>TBD</w:t>
            </w:r>
          </w:p>
        </w:tc>
        <w:tc>
          <w:tcPr>
            <w:tcW w:type="dxa" w:w="2060"/>
          </w:tcPr>
          <w:p>
            <w:pPr>
              <w:spacing w:after="0" w:line="252" w:lineRule="auto"/>
            </w:pPr>
            <w:r>
              <w:rPr>
                <w:rFonts w:ascii="Calibri" w:hAnsi="Calibri"/>
                <w:color w:val="000000"/>
                <w:sz w:val="16"/>
              </w:rPr>
              <w:t>Vendor support statement</w:t>
            </w:r>
          </w:p>
        </w:tc>
      </w:tr>
      <w:tr>
        <w:trPr>
          <w:cantSplit/>
        </w:trPr>
        <w:tc>
          <w:tcPr>
            <w:tcW w:type="dxa" w:w="1800"/>
          </w:tcPr>
          <w:p>
            <w:pPr>
              <w:spacing w:after="0" w:line="252" w:lineRule="auto"/>
            </w:pPr>
            <w:r>
              <w:rPr>
                <w:rFonts w:ascii="Calibri" w:hAnsi="Calibri"/>
                <w:color w:val="000000"/>
                <w:sz w:val="16"/>
              </w:rPr>
              <w:t>Kubernetes minor</w:t>
            </w:r>
          </w:p>
        </w:tc>
        <w:tc>
          <w:tcPr>
            <w:tcW w:type="dxa" w:w="2750"/>
          </w:tcPr>
          <w:p>
            <w:pPr>
              <w:spacing w:after="0" w:line="252" w:lineRule="auto"/>
            </w:pPr>
            <w:r>
              <w:rPr>
                <w:rFonts w:ascii="Calibri" w:hAnsi="Calibri"/>
                <w:color w:val="000000"/>
                <w:sz w:val="16"/>
              </w:rPr>
              <w:t>TBD</w:t>
            </w:r>
          </w:p>
        </w:tc>
        <w:tc>
          <w:tcPr>
            <w:tcW w:type="dxa" w:w="2750"/>
          </w:tcPr>
          <w:p>
            <w:pPr>
              <w:spacing w:after="0" w:line="252" w:lineRule="auto"/>
            </w:pPr>
            <w:r>
              <w:rPr>
                <w:rFonts w:ascii="Calibri" w:hAnsi="Calibri"/>
                <w:color w:val="000000"/>
                <w:sz w:val="16"/>
              </w:rPr>
              <w:t>TBD</w:t>
            </w:r>
          </w:p>
        </w:tc>
        <w:tc>
          <w:tcPr>
            <w:tcW w:type="dxa" w:w="2060"/>
          </w:tcPr>
          <w:p>
            <w:pPr>
              <w:spacing w:after="0" w:line="252" w:lineRule="auto"/>
            </w:pPr>
            <w:r>
              <w:rPr>
                <w:rFonts w:ascii="Calibri" w:hAnsi="Calibri"/>
                <w:color w:val="000000"/>
                <w:sz w:val="16"/>
              </w:rPr>
              <w:t>Vendor + Oracle support overlap</w:t>
            </w:r>
          </w:p>
        </w:tc>
      </w:tr>
      <w:tr>
        <w:trPr>
          <w:cantSplit/>
        </w:trPr>
        <w:tc>
          <w:tcPr>
            <w:tcW w:type="dxa" w:w="1800"/>
          </w:tcPr>
          <w:p>
            <w:pPr>
              <w:spacing w:after="0" w:line="252" w:lineRule="auto"/>
            </w:pPr>
            <w:r>
              <w:rPr>
                <w:rFonts w:ascii="Calibri" w:hAnsi="Calibri"/>
                <w:color w:val="000000"/>
                <w:sz w:val="16"/>
              </w:rPr>
              <w:t>Deployment artifact</w:t>
            </w:r>
          </w:p>
        </w:tc>
        <w:tc>
          <w:tcPr>
            <w:tcW w:type="dxa" w:w="2750"/>
          </w:tcPr>
          <w:p>
            <w:pPr>
              <w:spacing w:after="0" w:line="252" w:lineRule="auto"/>
            </w:pPr>
            <w:r>
              <w:rPr>
                <w:rFonts w:ascii="Calibri" w:hAnsi="Calibri"/>
                <w:color w:val="000000"/>
                <w:sz w:val="16"/>
              </w:rPr>
              <w:t>Chart/operator TBD</w:t>
            </w:r>
          </w:p>
        </w:tc>
        <w:tc>
          <w:tcPr>
            <w:tcW w:type="dxa" w:w="2750"/>
          </w:tcPr>
          <w:p>
            <w:pPr>
              <w:spacing w:after="0" w:line="252" w:lineRule="auto"/>
            </w:pPr>
            <w:r>
              <w:rPr>
                <w:rFonts w:ascii="Calibri" w:hAnsi="Calibri"/>
                <w:color w:val="000000"/>
                <w:sz w:val="16"/>
              </w:rPr>
              <w:t>HyperOperator/chart TBD</w:t>
            </w:r>
          </w:p>
        </w:tc>
        <w:tc>
          <w:tcPr>
            <w:tcW w:type="dxa" w:w="2060"/>
          </w:tcPr>
          <w:p>
            <w:pPr>
              <w:spacing w:after="0" w:line="252" w:lineRule="auto"/>
            </w:pPr>
            <w:r>
              <w:rPr>
                <w:rFonts w:ascii="Calibri" w:hAnsi="Calibri"/>
                <w:color w:val="000000"/>
                <w:sz w:val="16"/>
              </w:rPr>
              <w:t>Signed hash/version</w:t>
            </w:r>
          </w:p>
        </w:tc>
      </w:tr>
      <w:tr>
        <w:trPr>
          <w:cantSplit/>
        </w:trPr>
        <w:tc>
          <w:tcPr>
            <w:tcW w:type="dxa" w:w="1800"/>
          </w:tcPr>
          <w:p>
            <w:pPr>
              <w:spacing w:after="0" w:line="252" w:lineRule="auto"/>
            </w:pPr>
            <w:r>
              <w:rPr>
                <w:rFonts w:ascii="Calibri" w:hAnsi="Calibri"/>
                <w:color w:val="000000"/>
                <w:sz w:val="16"/>
              </w:rPr>
              <w:t>Worker image / OS</w:t>
            </w:r>
          </w:p>
        </w:tc>
        <w:tc>
          <w:tcPr>
            <w:tcW w:type="dxa" w:w="2750"/>
          </w:tcPr>
          <w:p>
            <w:pPr>
              <w:spacing w:after="0" w:line="252" w:lineRule="auto"/>
            </w:pPr>
            <w:r>
              <w:rPr>
                <w:rFonts w:ascii="Calibri" w:hAnsi="Calibri"/>
                <w:color w:val="000000"/>
                <w:sz w:val="16"/>
              </w:rPr>
              <w:t>TBD</w:t>
            </w:r>
          </w:p>
        </w:tc>
        <w:tc>
          <w:tcPr>
            <w:tcW w:type="dxa" w:w="2750"/>
          </w:tcPr>
          <w:p>
            <w:pPr>
              <w:spacing w:after="0" w:line="252" w:lineRule="auto"/>
            </w:pPr>
            <w:r>
              <w:rPr>
                <w:rFonts w:ascii="Calibri" w:hAnsi="Calibri"/>
                <w:color w:val="000000"/>
                <w:sz w:val="16"/>
              </w:rPr>
              <w:t>TBD</w:t>
            </w:r>
          </w:p>
        </w:tc>
        <w:tc>
          <w:tcPr>
            <w:tcW w:type="dxa" w:w="2060"/>
          </w:tcPr>
          <w:p>
            <w:pPr>
              <w:spacing w:after="0" w:line="252" w:lineRule="auto"/>
            </w:pPr>
            <w:r>
              <w:rPr>
                <w:rFonts w:ascii="Calibri" w:hAnsi="Calibri"/>
                <w:color w:val="000000"/>
                <w:sz w:val="16"/>
              </w:rPr>
              <w:t>Vendor approval of exact image</w:t>
            </w:r>
          </w:p>
        </w:tc>
      </w:tr>
      <w:tr>
        <w:trPr>
          <w:cantSplit/>
        </w:trPr>
        <w:tc>
          <w:tcPr>
            <w:tcW w:type="dxa" w:w="1800"/>
          </w:tcPr>
          <w:p>
            <w:pPr>
              <w:spacing w:after="0" w:line="252" w:lineRule="auto"/>
            </w:pPr>
            <w:r>
              <w:rPr>
                <w:rFonts w:ascii="Calibri" w:hAnsi="Calibri"/>
                <w:color w:val="000000"/>
                <w:sz w:val="16"/>
              </w:rPr>
              <w:t>Kernel/runtime</w:t>
            </w:r>
          </w:p>
        </w:tc>
        <w:tc>
          <w:tcPr>
            <w:tcW w:type="dxa" w:w="2750"/>
          </w:tcPr>
          <w:p>
            <w:pPr>
              <w:spacing w:after="0" w:line="252" w:lineRule="auto"/>
            </w:pPr>
            <w:r>
              <w:rPr>
                <w:rFonts w:ascii="Calibri" w:hAnsi="Calibri"/>
                <w:color w:val="000000"/>
                <w:sz w:val="16"/>
              </w:rPr>
              <w:t>TBD</w:t>
            </w:r>
          </w:p>
        </w:tc>
        <w:tc>
          <w:tcPr>
            <w:tcW w:type="dxa" w:w="2750"/>
          </w:tcPr>
          <w:p>
            <w:pPr>
              <w:spacing w:after="0" w:line="252" w:lineRule="auto"/>
            </w:pPr>
            <w:r>
              <w:rPr>
                <w:rFonts w:ascii="Calibri" w:hAnsi="Calibri"/>
                <w:color w:val="000000"/>
                <w:sz w:val="16"/>
              </w:rPr>
              <w:t>TBD</w:t>
            </w:r>
          </w:p>
        </w:tc>
        <w:tc>
          <w:tcPr>
            <w:tcW w:type="dxa" w:w="2060"/>
          </w:tcPr>
          <w:p>
            <w:pPr>
              <w:spacing w:after="0" w:line="252" w:lineRule="auto"/>
            </w:pPr>
            <w:r>
              <w:rPr>
                <w:rFonts w:ascii="Calibri" w:hAnsi="Calibri"/>
                <w:color w:val="000000"/>
                <w:sz w:val="16"/>
              </w:rPr>
              <w:t>Support matrix</w:t>
            </w:r>
          </w:p>
        </w:tc>
      </w:tr>
      <w:tr>
        <w:trPr>
          <w:cantSplit/>
        </w:trPr>
        <w:tc>
          <w:tcPr>
            <w:tcW w:type="dxa" w:w="1800"/>
          </w:tcPr>
          <w:p>
            <w:pPr>
              <w:spacing w:after="0" w:line="252" w:lineRule="auto"/>
            </w:pPr>
            <w:r>
              <w:rPr>
                <w:rFonts w:ascii="Calibri" w:hAnsi="Calibri"/>
                <w:color w:val="000000"/>
                <w:sz w:val="16"/>
              </w:rPr>
              <w:t>NVIDIA driver</w:t>
            </w:r>
          </w:p>
        </w:tc>
        <w:tc>
          <w:tcPr>
            <w:tcW w:type="dxa" w:w="2750"/>
          </w:tcPr>
          <w:p>
            <w:pPr>
              <w:spacing w:after="0" w:line="252" w:lineRule="auto"/>
            </w:pPr>
            <w:r>
              <w:rPr>
                <w:rFonts w:ascii="Calibri" w:hAnsi="Calibri"/>
                <w:color w:val="000000"/>
                <w:sz w:val="16"/>
              </w:rPr>
              <w:t>Not applicable unless GPU approved</w:t>
            </w:r>
          </w:p>
        </w:tc>
        <w:tc>
          <w:tcPr>
            <w:tcW w:type="dxa" w:w="2750"/>
          </w:tcPr>
          <w:p>
            <w:pPr>
              <w:spacing w:after="0" w:line="252" w:lineRule="auto"/>
            </w:pPr>
            <w:r>
              <w:rPr>
                <w:rFonts w:ascii="Calibri" w:hAnsi="Calibri"/>
                <w:color w:val="000000"/>
                <w:sz w:val="16"/>
              </w:rPr>
              <w:t>TBD</w:t>
            </w:r>
          </w:p>
        </w:tc>
        <w:tc>
          <w:tcPr>
            <w:tcW w:type="dxa" w:w="2060"/>
          </w:tcPr>
          <w:p>
            <w:pPr>
              <w:spacing w:after="0" w:line="252" w:lineRule="auto"/>
            </w:pPr>
            <w:r>
              <w:rPr>
                <w:rFonts w:ascii="Calibri" w:hAnsi="Calibri"/>
                <w:color w:val="000000"/>
                <w:sz w:val="16"/>
              </w:rPr>
              <w:t>Vendor-approved version</w:t>
            </w:r>
          </w:p>
        </w:tc>
      </w:tr>
      <w:tr>
        <w:trPr>
          <w:cantSplit/>
        </w:trPr>
        <w:tc>
          <w:tcPr>
            <w:tcW w:type="dxa" w:w="1800"/>
          </w:tcPr>
          <w:p>
            <w:pPr>
              <w:spacing w:after="0" w:line="252" w:lineRule="auto"/>
            </w:pPr>
            <w:r>
              <w:rPr>
                <w:rFonts w:ascii="Calibri" w:hAnsi="Calibri"/>
                <w:color w:val="000000"/>
                <w:sz w:val="16"/>
              </w:rPr>
              <w:t>CUDA runtime</w:t>
            </w:r>
          </w:p>
        </w:tc>
        <w:tc>
          <w:tcPr>
            <w:tcW w:type="dxa" w:w="2750"/>
          </w:tcPr>
          <w:p>
            <w:pPr>
              <w:spacing w:after="0" w:line="252" w:lineRule="auto"/>
            </w:pPr>
            <w:r>
              <w:rPr>
                <w:rFonts w:ascii="Calibri" w:hAnsi="Calibri"/>
                <w:color w:val="000000"/>
                <w:sz w:val="16"/>
              </w:rPr>
              <w:t>Not applicable unless GPU approved</w:t>
            </w:r>
          </w:p>
        </w:tc>
        <w:tc>
          <w:tcPr>
            <w:tcW w:type="dxa" w:w="2750"/>
          </w:tcPr>
          <w:p>
            <w:pPr>
              <w:spacing w:after="0" w:line="252" w:lineRule="auto"/>
            </w:pPr>
            <w:r>
              <w:rPr>
                <w:rFonts w:ascii="Calibri" w:hAnsi="Calibri"/>
                <w:color w:val="000000"/>
                <w:sz w:val="16"/>
              </w:rPr>
              <w:t>TBD</w:t>
            </w:r>
          </w:p>
        </w:tc>
        <w:tc>
          <w:tcPr>
            <w:tcW w:type="dxa" w:w="2060"/>
          </w:tcPr>
          <w:p>
            <w:pPr>
              <w:spacing w:after="0" w:line="252" w:lineRule="auto"/>
            </w:pPr>
            <w:r>
              <w:rPr>
                <w:rFonts w:ascii="Calibri" w:hAnsi="Calibri"/>
                <w:color w:val="000000"/>
                <w:sz w:val="16"/>
              </w:rPr>
              <w:t>Vendor-approved version</w:t>
            </w:r>
          </w:p>
        </w:tc>
      </w:tr>
      <w:tr>
        <w:trPr>
          <w:cantSplit/>
        </w:trPr>
        <w:tc>
          <w:tcPr>
            <w:tcW w:type="dxa" w:w="1800"/>
          </w:tcPr>
          <w:p>
            <w:pPr>
              <w:spacing w:after="0" w:line="252" w:lineRule="auto"/>
            </w:pPr>
            <w:r>
              <w:rPr>
                <w:rFonts w:ascii="Calibri" w:hAnsi="Calibri"/>
                <w:color w:val="000000"/>
                <w:sz w:val="16"/>
              </w:rPr>
              <w:t>Database</w:t>
            </w:r>
          </w:p>
        </w:tc>
        <w:tc>
          <w:tcPr>
            <w:tcW w:type="dxa" w:w="2750"/>
          </w:tcPr>
          <w:p>
            <w:pPr>
              <w:spacing w:after="0" w:line="252" w:lineRule="auto"/>
            </w:pPr>
            <w:r>
              <w:rPr>
                <w:rFonts w:ascii="Calibri" w:hAnsi="Calibri"/>
                <w:color w:val="000000"/>
                <w:sz w:val="16"/>
              </w:rPr>
              <w:t>TBD</w:t>
            </w:r>
          </w:p>
        </w:tc>
        <w:tc>
          <w:tcPr>
            <w:tcW w:type="dxa" w:w="2750"/>
          </w:tcPr>
          <w:p>
            <w:pPr>
              <w:spacing w:after="0" w:line="252" w:lineRule="auto"/>
            </w:pPr>
            <w:r>
              <w:rPr>
                <w:rFonts w:ascii="Calibri" w:hAnsi="Calibri"/>
                <w:color w:val="000000"/>
                <w:sz w:val="16"/>
              </w:rPr>
              <w:t>TBD</w:t>
            </w:r>
          </w:p>
        </w:tc>
        <w:tc>
          <w:tcPr>
            <w:tcW w:type="dxa" w:w="2060"/>
          </w:tcPr>
          <w:p>
            <w:pPr>
              <w:spacing w:after="0" w:line="252" w:lineRule="auto"/>
            </w:pPr>
            <w:r>
              <w:rPr>
                <w:rFonts w:ascii="Calibri" w:hAnsi="Calibri"/>
                <w:color w:val="000000"/>
                <w:sz w:val="16"/>
              </w:rPr>
              <w:t>Engine/version/privileges</w:t>
            </w:r>
          </w:p>
        </w:tc>
      </w:tr>
      <w:tr>
        <w:trPr>
          <w:cantSplit/>
        </w:trPr>
        <w:tc>
          <w:tcPr>
            <w:tcW w:type="dxa" w:w="1800"/>
          </w:tcPr>
          <w:p>
            <w:pPr>
              <w:spacing w:after="0" w:line="252" w:lineRule="auto"/>
            </w:pPr>
            <w:r>
              <w:rPr>
                <w:rFonts w:ascii="Calibri" w:hAnsi="Calibri"/>
                <w:color w:val="000000"/>
                <w:sz w:val="16"/>
              </w:rPr>
              <w:t>Storage</w:t>
            </w:r>
          </w:p>
        </w:tc>
        <w:tc>
          <w:tcPr>
            <w:tcW w:type="dxa" w:w="2750"/>
          </w:tcPr>
          <w:p>
            <w:pPr>
              <w:spacing w:after="0" w:line="252" w:lineRule="auto"/>
            </w:pPr>
            <w:r>
              <w:rPr>
                <w:rFonts w:ascii="Calibri" w:hAnsi="Calibri"/>
                <w:color w:val="000000"/>
                <w:sz w:val="16"/>
              </w:rPr>
              <w:t>Decoupled Storage TBD</w:t>
            </w:r>
          </w:p>
        </w:tc>
        <w:tc>
          <w:tcPr>
            <w:tcW w:type="dxa" w:w="2750"/>
          </w:tcPr>
          <w:p>
            <w:pPr>
              <w:spacing w:after="0" w:line="252" w:lineRule="auto"/>
            </w:pPr>
            <w:r>
              <w:rPr>
                <w:rFonts w:ascii="Calibri" w:hAnsi="Calibri"/>
                <w:color w:val="000000"/>
                <w:sz w:val="16"/>
              </w:rPr>
              <w:t>File/object storage TBD</w:t>
            </w:r>
          </w:p>
        </w:tc>
        <w:tc>
          <w:tcPr>
            <w:tcW w:type="dxa" w:w="2060"/>
          </w:tcPr>
          <w:p>
            <w:pPr>
              <w:spacing w:after="0" w:line="252" w:lineRule="auto"/>
            </w:pPr>
            <w:r>
              <w:rPr>
                <w:rFonts w:ascii="Calibri" w:hAnsi="Calibri"/>
                <w:color w:val="000000"/>
                <w:sz w:val="16"/>
              </w:rPr>
              <w:t>Certified interface and version</w:t>
            </w:r>
          </w:p>
        </w:tc>
      </w:tr>
      <w:tr>
        <w:trPr>
          <w:cantSplit/>
        </w:trPr>
        <w:tc>
          <w:tcPr>
            <w:tcW w:type="dxa" w:w="1800"/>
          </w:tcPr>
          <w:p>
            <w:pPr>
              <w:spacing w:after="0" w:line="252" w:lineRule="auto"/>
            </w:pPr>
            <w:r>
              <w:rPr>
                <w:rFonts w:ascii="Calibri" w:hAnsi="Calibri"/>
                <w:color w:val="000000"/>
                <w:sz w:val="16"/>
              </w:rPr>
              <w:t>Registry</w:t>
            </w:r>
          </w:p>
        </w:tc>
        <w:tc>
          <w:tcPr>
            <w:tcW w:type="dxa" w:w="2750"/>
          </w:tcPr>
          <w:p>
            <w:pPr>
              <w:spacing w:after="0" w:line="252" w:lineRule="auto"/>
            </w:pPr>
            <w:r>
              <w:rPr>
                <w:rFonts w:ascii="Calibri" w:hAnsi="Calibri"/>
                <w:color w:val="000000"/>
                <w:sz w:val="16"/>
              </w:rPr>
              <w:t>OCIR pending approval</w:t>
            </w:r>
          </w:p>
        </w:tc>
        <w:tc>
          <w:tcPr>
            <w:tcW w:type="dxa" w:w="2750"/>
          </w:tcPr>
          <w:p>
            <w:pPr>
              <w:spacing w:after="0" w:line="252" w:lineRule="auto"/>
            </w:pPr>
            <w:r>
              <w:rPr>
                <w:rFonts w:ascii="Calibri" w:hAnsi="Calibri"/>
                <w:color w:val="000000"/>
                <w:sz w:val="16"/>
              </w:rPr>
              <w:t>OCIR pending approval</w:t>
            </w:r>
          </w:p>
        </w:tc>
        <w:tc>
          <w:tcPr>
            <w:tcW w:type="dxa" w:w="2060"/>
          </w:tcPr>
          <w:p>
            <w:pPr>
              <w:spacing w:after="0" w:line="252" w:lineRule="auto"/>
            </w:pPr>
            <w:r>
              <w:rPr>
                <w:rFonts w:ascii="Calibri" w:hAnsi="Calibri"/>
                <w:color w:val="000000"/>
                <w:sz w:val="16"/>
              </w:rPr>
              <w:t>Registry API and sync test</w:t>
            </w:r>
          </w:p>
        </w:tc>
      </w:tr>
      <w:tr>
        <w:trPr>
          <w:cantSplit/>
        </w:trPr>
        <w:tc>
          <w:tcPr>
            <w:tcW w:type="dxa" w:w="1800"/>
          </w:tcPr>
          <w:p>
            <w:pPr>
              <w:spacing w:after="0" w:line="252" w:lineRule="auto"/>
            </w:pPr>
            <w:r>
              <w:rPr>
                <w:rFonts w:ascii="Calibri" w:hAnsi="Calibri"/>
                <w:color w:val="000000"/>
                <w:sz w:val="16"/>
              </w:rPr>
              <w:t>Ingress/TLS</w:t>
            </w:r>
          </w:p>
        </w:tc>
        <w:tc>
          <w:tcPr>
            <w:tcW w:type="dxa" w:w="2750"/>
          </w:tcPr>
          <w:p>
            <w:pPr>
              <w:spacing w:after="0" w:line="252" w:lineRule="auto"/>
            </w:pPr>
            <w:r>
              <w:rPr>
                <w:rFonts w:ascii="Calibri" w:hAnsi="Calibri"/>
                <w:color w:val="000000"/>
                <w:sz w:val="16"/>
              </w:rPr>
              <w:t>Private LB/Ingress TBD</w:t>
            </w:r>
          </w:p>
        </w:tc>
        <w:tc>
          <w:tcPr>
            <w:tcW w:type="dxa" w:w="2750"/>
          </w:tcPr>
          <w:p>
            <w:pPr>
              <w:spacing w:after="0" w:line="252" w:lineRule="auto"/>
            </w:pPr>
            <w:r>
              <w:rPr>
                <w:rFonts w:ascii="Calibri" w:hAnsi="Calibri"/>
                <w:color w:val="000000"/>
                <w:sz w:val="16"/>
              </w:rPr>
              <w:t>Private LB/Ingress TBD</w:t>
            </w:r>
          </w:p>
        </w:tc>
        <w:tc>
          <w:tcPr>
            <w:tcW w:type="dxa" w:w="2060"/>
          </w:tcPr>
          <w:p>
            <w:pPr>
              <w:spacing w:after="0" w:line="252" w:lineRule="auto"/>
            </w:pPr>
            <w:r>
              <w:rPr>
                <w:rFonts w:ascii="Calibri" w:hAnsi="Calibri"/>
                <w:color w:val="000000"/>
                <w:sz w:val="16"/>
              </w:rPr>
              <w:t>Vendor and security approval</w:t>
            </w:r>
          </w:p>
        </w:tc>
      </w:tr>
      <w:tr>
        <w:trPr>
          <w:cantSplit/>
        </w:trPr>
        <w:tc>
          <w:tcPr>
            <w:tcW w:type="dxa" w:w="1800"/>
          </w:tcPr>
          <w:p>
            <w:pPr>
              <w:spacing w:after="0" w:line="252" w:lineRule="auto"/>
            </w:pPr>
            <w:r>
              <w:rPr>
                <w:rFonts w:ascii="Calibri" w:hAnsi="Calibri"/>
                <w:color w:val="000000"/>
                <w:sz w:val="16"/>
              </w:rPr>
              <w:t>Support owner</w:t>
            </w:r>
          </w:p>
        </w:tc>
        <w:tc>
          <w:tcPr>
            <w:tcW w:type="dxa" w:w="2750"/>
          </w:tcPr>
          <w:p>
            <w:pPr>
              <w:spacing w:after="0" w:line="252" w:lineRule="auto"/>
            </w:pPr>
            <w:r>
              <w:rPr>
                <w:rFonts w:ascii="Calibri" w:hAnsi="Calibri"/>
                <w:color w:val="000000"/>
                <w:sz w:val="16"/>
              </w:rPr>
              <w:t>TBD</w:t>
            </w:r>
          </w:p>
        </w:tc>
        <w:tc>
          <w:tcPr>
            <w:tcW w:type="dxa" w:w="2750"/>
          </w:tcPr>
          <w:p>
            <w:pPr>
              <w:spacing w:after="0" w:line="252" w:lineRule="auto"/>
            </w:pPr>
            <w:r>
              <w:rPr>
                <w:rFonts w:ascii="Calibri" w:hAnsi="Calibri"/>
                <w:color w:val="000000"/>
                <w:sz w:val="16"/>
              </w:rPr>
              <w:t>TBD</w:t>
            </w:r>
          </w:p>
        </w:tc>
        <w:tc>
          <w:tcPr>
            <w:tcW w:type="dxa" w:w="2060"/>
          </w:tcPr>
          <w:p>
            <w:pPr>
              <w:spacing w:after="0" w:line="252" w:lineRule="auto"/>
            </w:pPr>
            <w:r>
              <w:rPr>
                <w:rFonts w:ascii="Calibri" w:hAnsi="Calibri"/>
                <w:color w:val="000000"/>
                <w:sz w:val="16"/>
              </w:rPr>
              <w:t>Named escalation path</w:t>
            </w:r>
          </w:p>
        </w:tc>
      </w:tr>
    </w:tbl>
    <w:p>
      <w:pPr>
        <w:spacing w:after="20"/>
      </w:pPr>
    </w:p>
    <w:p>
      <w:pPr>
        <w:pStyle w:val="Heading1"/>
        <w:pageBreakBefore/>
      </w:pPr>
      <w:r>
        <w:t>Appendix B. Authoritative sources</w:t>
      </w:r>
    </w:p>
    <w:p>
      <w:pPr>
        <w:spacing w:after="120" w:line="264" w:lineRule="auto"/>
      </w:pPr>
      <w:r>
        <w:rPr>
          <w:rFonts w:ascii="Calibri" w:hAnsi="Calibri"/>
          <w:i/>
          <w:color w:val="5B6573"/>
        </w:rPr>
        <w:t>Sources were checked on September 3, 2026. Vendor requirements remain release-specific and must be reconfirmed for the selected POC versions.</w:t>
      </w:r>
    </w:p>
    <w:p>
      <w:pPr>
        <w:spacing w:after="100"/>
        <w:ind w:left="360" w:hanging="360"/>
      </w:pPr>
      <w:r>
        <w:rPr>
          <w:rFonts w:ascii="Calibri" w:hAnsi="Calibri"/>
          <w:b/>
          <w:color w:val="1F4D78"/>
        </w:rPr>
        <w:t xml:space="preserve">[S1] </w:t>
      </w:r>
      <w:hyperlink r:id="rId12">
        <w:r>
          <w:rPr>
            <w:rFonts w:ascii="Calibri" w:hAnsi="Calibri"/>
            <w:color w:val="2E74B5"/>
            <w:u w:val="single"/>
          </w:rPr>
          <w:t>Oracle Cloud Infrastructure Cloud Adoption Framework</w:t>
        </w:r>
      </w:hyperlink>
      <w:r>
        <w:rPr>
          <w:rFonts w:ascii="Calibri" w:hAnsi="Calibri"/>
          <w:color w:val="5B6573"/>
          <w:sz w:val="19"/>
        </w:rPr>
        <w:t xml:space="preserve"> - Defines the six CAF pillars and iterative adoption approach.</w:t>
      </w:r>
    </w:p>
    <w:p>
      <w:pPr>
        <w:spacing w:after="100"/>
        <w:ind w:left="360" w:hanging="360"/>
      </w:pPr>
      <w:r>
        <w:rPr>
          <w:rFonts w:ascii="Calibri" w:hAnsi="Calibri"/>
          <w:b/>
          <w:color w:val="1F4D78"/>
        </w:rPr>
        <w:t xml:space="preserve">[S2] </w:t>
      </w:r>
      <w:hyperlink r:id="rId13">
        <w:r>
          <w:rPr>
            <w:rFonts w:ascii="Calibri" w:hAnsi="Calibri"/>
            <w:color w:val="2E74B5"/>
            <w:u w:val="single"/>
          </w:rPr>
          <w:t>Well-Architected Framework for Oracle Cloud Infrastructure</w:t>
        </w:r>
      </w:hyperlink>
      <w:r>
        <w:rPr>
          <w:rFonts w:ascii="Calibri" w:hAnsi="Calibri"/>
          <w:color w:val="5B6573"/>
          <w:sz w:val="19"/>
        </w:rPr>
        <w:t xml:space="preserve"> - Defines OCI's five Well-Architected pillars and associated focus areas.</w:t>
      </w:r>
    </w:p>
    <w:p>
      <w:pPr>
        <w:spacing w:after="100"/>
        <w:ind w:left="360" w:hanging="360"/>
      </w:pPr>
      <w:r>
        <w:rPr>
          <w:rFonts w:ascii="Calibri" w:hAnsi="Calibri"/>
          <w:b/>
          <w:color w:val="1F4D78"/>
        </w:rPr>
        <w:t xml:space="preserve">[S3] </w:t>
      </w:r>
      <w:hyperlink r:id="rId14">
        <w:r>
          <w:rPr>
            <w:rFonts w:ascii="Calibri" w:hAnsi="Calibri"/>
            <w:color w:val="2E74B5"/>
            <w:u w:val="single"/>
          </w:rPr>
          <w:t>OCI Landing Zones Overview</w:t>
        </w:r>
      </w:hyperlink>
      <w:r>
        <w:rPr>
          <w:rFonts w:ascii="Calibri" w:hAnsi="Calibri"/>
          <w:color w:val="5B6573"/>
          <w:sz w:val="19"/>
        </w:rPr>
        <w:t xml:space="preserve"> - Describes Terraform-based landing-zone modules for IAM, networking, security, observability, governance, and workloads.</w:t>
      </w:r>
    </w:p>
    <w:p>
      <w:pPr>
        <w:spacing w:after="100"/>
        <w:ind w:left="360" w:hanging="360"/>
      </w:pPr>
      <w:r>
        <w:rPr>
          <w:rFonts w:ascii="Calibri" w:hAnsi="Calibri"/>
          <w:b/>
          <w:color w:val="1F4D78"/>
        </w:rPr>
        <w:t xml:space="preserve">[S4] </w:t>
      </w:r>
      <w:hyperlink r:id="rId15">
        <w:r>
          <w:rPr>
            <w:rFonts w:ascii="Calibri" w:hAnsi="Calibri"/>
            <w:color w:val="2E74B5"/>
            <w:u w:val="single"/>
          </w:rPr>
          <w:t>OCI Secure Cloud Computing Architecture Landing Zone</w:t>
        </w:r>
      </w:hyperlink>
      <w:r>
        <w:rPr>
          <w:rFonts w:ascii="Calibri" w:hAnsi="Calibri"/>
          <w:color w:val="5B6573"/>
          <w:sz w:val="19"/>
        </w:rPr>
        <w:t xml:space="preserve"> - Describes the OCI SCCA framework for DOD mission workloads and IL2/4/5 baselines.</w:t>
      </w:r>
    </w:p>
    <w:p>
      <w:pPr>
        <w:spacing w:after="100"/>
        <w:ind w:left="360" w:hanging="360"/>
      </w:pPr>
      <w:r>
        <w:rPr>
          <w:rFonts w:ascii="Calibri" w:hAnsi="Calibri"/>
          <w:b/>
          <w:color w:val="1F4D78"/>
        </w:rPr>
        <w:t xml:space="preserve">[S5] </w:t>
      </w:r>
      <w:hyperlink r:id="rId16">
        <w:r>
          <w:rPr>
            <w:rFonts w:ascii="Calibri" w:hAnsi="Calibri"/>
            <w:color w:val="2E74B5"/>
            <w:u w:val="single"/>
          </w:rPr>
          <w:t>Oracle Kubernetes Engine (OKE)</w:t>
        </w:r>
      </w:hyperlink>
      <w:r>
        <w:rPr>
          <w:rFonts w:ascii="Calibri" w:hAnsi="Calibri"/>
          <w:color w:val="5B6573"/>
          <w:sz w:val="19"/>
        </w:rPr>
        <w:t xml:space="preserve"> - OKE service documentation and platform entry point.</w:t>
      </w:r>
    </w:p>
    <w:p>
      <w:pPr>
        <w:spacing w:after="100"/>
        <w:ind w:left="360" w:hanging="360"/>
      </w:pPr>
      <w:r>
        <w:rPr>
          <w:rFonts w:ascii="Calibri" w:hAnsi="Calibri"/>
          <w:b/>
          <w:color w:val="1F4D78"/>
        </w:rPr>
        <w:t xml:space="preserve">[S6] </w:t>
      </w:r>
      <w:hyperlink r:id="rId17">
        <w:r>
          <w:rPr>
            <w:rFonts w:ascii="Calibri" w:hAnsi="Calibri"/>
            <w:color w:val="2E74B5"/>
            <w:u w:val="single"/>
          </w:rPr>
          <w:t>OKE Supported Images and Shapes</w:t>
        </w:r>
      </w:hyperlink>
      <w:r>
        <w:rPr>
          <w:rFonts w:ascii="Calibri" w:hAnsi="Calibri"/>
          <w:color w:val="5B6573"/>
          <w:sz w:val="19"/>
        </w:rPr>
        <w:t xml:space="preserve"> - Defines the supported managed-node image and shape boundary.</w:t>
      </w:r>
    </w:p>
    <w:p>
      <w:pPr>
        <w:spacing w:after="100"/>
        <w:ind w:left="360" w:hanging="360"/>
      </w:pPr>
      <w:r>
        <w:rPr>
          <w:rFonts w:ascii="Calibri" w:hAnsi="Calibri"/>
          <w:b/>
          <w:color w:val="1F4D78"/>
        </w:rPr>
        <w:t xml:space="preserve">[S7] </w:t>
      </w:r>
      <w:hyperlink r:id="rId18">
        <w:r>
          <w:rPr>
            <w:rFonts w:ascii="Calibri" w:hAnsi="Calibri"/>
            <w:color w:val="2E74B5"/>
            <w:u w:val="single"/>
          </w:rPr>
          <w:t>Running Applications on GPU-Based OKE Nodes</w:t>
        </w:r>
      </w:hyperlink>
      <w:r>
        <w:rPr>
          <w:rFonts w:ascii="Calibri" w:hAnsi="Calibri"/>
          <w:color w:val="5B6573"/>
          <w:sz w:val="19"/>
        </w:rPr>
        <w:t xml:space="preserve"> - Explains GPU managed node pools and compatible GPU images.</w:t>
      </w:r>
    </w:p>
    <w:p>
      <w:pPr>
        <w:spacing w:after="100"/>
        <w:ind w:left="360" w:hanging="360"/>
      </w:pPr>
      <w:r>
        <w:rPr>
          <w:rFonts w:ascii="Calibri" w:hAnsi="Calibri"/>
          <w:b/>
          <w:color w:val="1F4D78"/>
        </w:rPr>
        <w:t xml:space="preserve">[S8] </w:t>
      </w:r>
      <w:hyperlink r:id="rId19">
        <w:r>
          <w:rPr>
            <w:rFonts w:ascii="Calibri" w:hAnsi="Calibri"/>
            <w:color w:val="2E74B5"/>
            <w:u w:val="single"/>
          </w:rPr>
          <w:t>OCI Compute Shapes</w:t>
        </w:r>
      </w:hyperlink>
      <w:r>
        <w:rPr>
          <w:rFonts w:ascii="Calibri" w:hAnsi="Calibri"/>
          <w:color w:val="5B6573"/>
          <w:sz w:val="19"/>
        </w:rPr>
        <w:t xml:space="preserve"> - Authoritative shape specifications, including NVIDIA A10 GPU characteristics.</w:t>
      </w:r>
    </w:p>
    <w:p>
      <w:pPr>
        <w:spacing w:after="100"/>
        <w:ind w:left="360" w:hanging="360"/>
      </w:pPr>
      <w:r>
        <w:rPr>
          <w:rFonts w:ascii="Calibri" w:hAnsi="Calibri"/>
          <w:b/>
          <w:color w:val="1F4D78"/>
        </w:rPr>
        <w:t xml:space="preserve">[S9] </w:t>
      </w:r>
      <w:hyperlink r:id="rId20">
        <w:r>
          <w:rPr>
            <w:rFonts w:ascii="Calibri" w:hAnsi="Calibri"/>
            <w:color w:val="2E74B5"/>
            <w:u w:val="single"/>
          </w:rPr>
          <w:t>Kubernetes Engine Metrics</w:t>
        </w:r>
      </w:hyperlink>
      <w:r>
        <w:rPr>
          <w:rFonts w:ascii="Calibri" w:hAnsi="Calibri"/>
          <w:color w:val="5B6573"/>
          <w:sz w:val="19"/>
        </w:rPr>
        <w:t xml:space="preserve"> - Covers OKE health, capacity, performance metrics, alarms, and notifications.</w:t>
      </w:r>
    </w:p>
    <w:p>
      <w:pPr>
        <w:spacing w:after="100"/>
        <w:ind w:left="360" w:hanging="360"/>
      </w:pPr>
      <w:r>
        <w:rPr>
          <w:rFonts w:ascii="Calibri" w:hAnsi="Calibri"/>
          <w:b/>
          <w:color w:val="1F4D78"/>
        </w:rPr>
        <w:t xml:space="preserve">[S10] </w:t>
      </w:r>
      <w:hyperlink r:id="rId21">
        <w:r>
          <w:rPr>
            <w:rFonts w:ascii="Calibri" w:hAnsi="Calibri"/>
            <w:color w:val="2E74B5"/>
            <w:u w:val="single"/>
          </w:rPr>
          <w:t>DataWalk - Preparing for DataWalk on Containers</w:t>
        </w:r>
      </w:hyperlink>
      <w:r>
        <w:rPr>
          <w:rFonts w:ascii="Calibri" w:hAnsi="Calibri"/>
          <w:color w:val="5B6573"/>
          <w:sz w:val="19"/>
        </w:rPr>
        <w:t xml:space="preserve"> - States the container/Decoupled Storage transition and published RHEL/Rocky requirements.</w:t>
      </w:r>
    </w:p>
    <w:p>
      <w:pPr>
        <w:spacing w:after="100"/>
        <w:ind w:left="360" w:hanging="360"/>
      </w:pPr>
      <w:r>
        <w:rPr>
          <w:rFonts w:ascii="Calibri" w:hAnsi="Calibri"/>
          <w:b/>
          <w:color w:val="1F4D78"/>
        </w:rPr>
        <w:t xml:space="preserve">[S11] </w:t>
      </w:r>
      <w:hyperlink r:id="rId22">
        <w:r>
          <w:rPr>
            <w:rFonts w:ascii="Calibri" w:hAnsi="Calibri"/>
            <w:color w:val="2E74B5"/>
            <w:u w:val="single"/>
          </w:rPr>
          <w:t>Hyperscience Kubernetes Installation Overview</w:t>
        </w:r>
      </w:hyperlink>
      <w:r>
        <w:rPr>
          <w:rFonts w:ascii="Calibri" w:hAnsi="Calibri"/>
          <w:color w:val="5B6573"/>
          <w:sz w:val="19"/>
        </w:rPr>
        <w:t xml:space="preserve"> - Covers Kubernetes installation, GPU use cases, A10 support, CUDA/driver, and node requirements.</w:t>
      </w:r>
    </w:p>
    <w:p>
      <w:pPr>
        <w:spacing w:after="100"/>
        <w:ind w:left="360" w:hanging="360"/>
      </w:pPr>
      <w:r>
        <w:rPr>
          <w:rFonts w:ascii="Calibri" w:hAnsi="Calibri"/>
          <w:b/>
          <w:color w:val="1F4D78"/>
        </w:rPr>
        <w:t xml:space="preserve">[S12] </w:t>
      </w:r>
      <w:hyperlink r:id="rId23">
        <w:r>
          <w:rPr>
            <w:rFonts w:ascii="Calibri" w:hAnsi="Calibri"/>
            <w:color w:val="2E74B5"/>
            <w:u w:val="single"/>
          </w:rPr>
          <w:t>Hyperscience Infrastructure Requirements</w:t>
        </w:r>
      </w:hyperlink>
      <w:r>
        <w:rPr>
          <w:rFonts w:ascii="Calibri" w:hAnsi="Calibri"/>
          <w:color w:val="5B6573"/>
          <w:sz w:val="19"/>
        </w:rPr>
        <w:t xml:space="preserve"> - Provides release-specific CPU, RAM, storage, database, GPU, driver, and container requirements.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Calibri" w:hAnsi="Calibri"/>
        <w:color w:val="5B6573"/>
        <w:sz w:val="17"/>
      </w:rPr>
      <w:t>Planning baseline - not production authorization</w:t>
    </w:r>
  </w:p>
  <w:p>
    <w:pPr>
      <w:jc w:val="right"/>
    </w:pPr>
    <w:r>
      <w:rPr>
        <w:rFonts w:ascii="Calibri" w:hAnsi="Calibri"/>
        <w:color w:val="5B657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OCI POC PLAN  |  DATAWALK + HYPERSCIENCE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oracle.com/en-us/iaas/Content/cloud-adoption-framework/home.htm" TargetMode="External"/><Relationship Id="rId13" Type="http://schemas.openxmlformats.org/officeDocument/2006/relationships/hyperlink" Target="https://docs.oracle.com/en/solutions/oci-best-practices/index.html" TargetMode="External"/><Relationship Id="rId14" Type="http://schemas.openxmlformats.org/officeDocument/2006/relationships/hyperlink" Target="https://docs.oracle.com/en-us/iaas/Content/cloud-adoption-framework/oci-landing-zones-overview.htm" TargetMode="External"/><Relationship Id="rId15" Type="http://schemas.openxmlformats.org/officeDocument/2006/relationships/hyperlink" Target="https://docs.oracle.com/en-us/iaas/Content/cloud-adoption-framework/scca-landing-zone.htm" TargetMode="External"/><Relationship Id="rId16" Type="http://schemas.openxmlformats.org/officeDocument/2006/relationships/hyperlink" Target="https://docs.oracle.com/en-us/iaas/Content/ContEng/home.htm" TargetMode="External"/><Relationship Id="rId17" Type="http://schemas.openxmlformats.org/officeDocument/2006/relationships/hyperlink" Target="https://docs.oracle.com/en-us/iaas/Content/ContEng/Reference/contengimagesshapes.htm" TargetMode="External"/><Relationship Id="rId18" Type="http://schemas.openxmlformats.org/officeDocument/2006/relationships/hyperlink" Target="https://docs.oracle.com/en-us/iaas/Content/ContEng/Tasks/contengrunninggpunodes.htm" TargetMode="External"/><Relationship Id="rId19" Type="http://schemas.openxmlformats.org/officeDocument/2006/relationships/hyperlink" Target="https://docs.oracle.com/en-us/iaas/Content/Compute/References/computeshapes.htm" TargetMode="External"/><Relationship Id="rId20" Type="http://schemas.openxmlformats.org/officeDocument/2006/relationships/hyperlink" Target="https://docs.oracle.com/en-us/iaas/Content/ContEng/Reference/contengmetrics.htm" TargetMode="External"/><Relationship Id="rId21" Type="http://schemas.openxmlformats.org/officeDocument/2006/relationships/hyperlink" Target="https://datawalk.com/preparing-for-datawalk-on-containers/" TargetMode="External"/><Relationship Id="rId22" Type="http://schemas.openxmlformats.org/officeDocument/2006/relationships/hyperlink" Target="https://help.hyperscience.ai/deployment/docs/kubernetes-installation-overview" TargetMode="External"/><Relationship Id="rId23" Type="http://schemas.openxmlformats.org/officeDocument/2006/relationships/hyperlink" Target="https://help.hyperscience.ai/deployment/docs/infrastructure-requir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OCI DataWalk and Hyperscience Proof of Concept Plan</dc:title>
  <dc:subject>OCI Cloud Adoption Framework and Well-Architected Framework aligned POC</dc:subject>
  <dc:creator>OCI Architecture Team</dc:creator>
  <cp:keywords>OCI, OKE, SCCA, DataWalk, Hyperscience, A10, POC, CAF, Well-Architected</cp:keywords>
  <dc:description>Planning baseline; not production authorization.</dc:description>
  <cp:lastModifiedBy/>
  <cp:revision>1</cp:revision>
  <dcterms:created xsi:type="dcterms:W3CDTF">2013-12-23T23:15:00Z</dcterms:created>
  <dcterms:modified xsi:type="dcterms:W3CDTF">2013-12-23T23:15:00Z</dcterms:modified>
  <cp:category/>
</cp:coreProperties>
</file>