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VENDOR VALIDATION MEETING</w:t>
      </w:r>
    </w:p>
    <w:p>
      <w:pPr>
        <w:spacing w:after="80"/>
      </w:pPr>
      <w:r>
        <w:rPr>
          <w:rFonts w:ascii="Calibri" w:hAnsi="Calibri"/>
          <w:b/>
          <w:i w:val="0"/>
          <w:color w:val="111111"/>
          <w:sz w:val="48"/>
        </w:rPr>
        <w:t>DataWalk + Hyperscience on OCI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8"/>
        </w:rPr>
        <w:t>VM.GPU.A10.2 / Kubernetes architecture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8"/>
              </w:rPr>
              <w:t>PURPOSE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8"/>
              </w:rPr>
              <w:t>TARGET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8"/>
              </w:rPr>
              <w:t>DATE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Validate production support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OCI Government Cloud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August 21, 2026</w:t>
            </w:r>
          </w:p>
        </w:tc>
      </w:tr>
    </w:tbl>
    <w:p>
      <w:pPr>
        <w:pStyle w:val="Heading1"/>
      </w:pPr>
      <w:r>
        <w:t>Meeting objective</w:t>
      </w:r>
    </w:p>
    <w:p>
      <w:pPr>
        <w:spacing w:after="160"/>
      </w:pPr>
      <w:r>
        <w:rPr>
          <w:rFonts w:ascii="Calibri" w:hAnsi="Calibri"/>
          <w:b w:val="0"/>
          <w:i w:val="0"/>
          <w:color w:val="111111"/>
          <w:sz w:val="22"/>
        </w:rPr>
        <w:t xml:space="preserve">Leave the meeting with </w:t>
      </w:r>
      <w:r>
        <w:rPr>
          <w:rFonts w:ascii="Calibri" w:hAnsi="Calibri"/>
          <w:b/>
          <w:i w:val="0"/>
          <w:color w:val="111111"/>
          <w:sz w:val="22"/>
        </w:rPr>
        <w:t>written vendor positions and named owners</w:t>
      </w:r>
      <w:r>
        <w:rPr>
          <w:rFonts w:ascii="Calibri" w:hAnsi="Calibri"/>
          <w:b w:val="0"/>
          <w:i w:val="0"/>
          <w:color w:val="111111"/>
          <w:sz w:val="22"/>
        </w:rPr>
        <w:t xml:space="preserve"> for every item that could change the OCI build: deployment model, worker-node operating system, Kubernetes/version matrix, GPU use, storage, database, networking, security, sizing, licensing, high availability, and proof-of-concept acceptance criteria.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 xml:space="preserve">PRIMARY DECISION 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Can both products be supported on managed OKE using Oracle's OKE Oracle Linux GPU image on VM.GPU.A10.2? If DataWalk requires RHEL or Rocky as the Kubernetes node OS, the managed-OKE design may need to be revised.</w:t>
            </w:r>
          </w:p>
        </w:tc>
      </w:tr>
    </w:tbl>
    <w:p>
      <w:pPr>
        <w:spacing w:after="0"/>
      </w:pPr>
    </w:p>
    <w:p>
      <w:pPr>
        <w:pStyle w:val="Heading1"/>
      </w:pPr>
      <w:r>
        <w:t>Suggested 45-minute agenda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Time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Topic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0–5 min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Project update and intended decisions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5–17 min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DataWalk support validation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17–29 min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Hyperscience support validation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29–38 min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Joint OCI architecture and security boundaries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38–45 min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POC success criteria, owners, dates, and written follow-up</w:t>
            </w:r>
          </w:p>
        </w:tc>
      </w:tr>
    </w:tbl>
    <w:p>
      <w:r>
        <w:br w:type="page"/>
      </w:r>
    </w:p>
    <w:p>
      <w:pPr>
        <w:pStyle w:val="Heading1"/>
      </w:pPr>
      <w:r>
        <w:t>1. Project update to deliver</w:t>
      </w:r>
    </w:p>
    <w:p>
      <w:pPr>
        <w:spacing w:after="160"/>
      </w:pPr>
      <w:r>
        <w:rPr>
          <w:rFonts w:ascii="Calibri" w:hAnsi="Calibri"/>
          <w:b/>
          <w:i w:val="0"/>
          <w:color w:val="111111"/>
          <w:sz w:val="22"/>
        </w:rPr>
        <w:t>Use this as the opening update:</w:t>
      </w:r>
      <w:r>
        <w:rPr>
          <w:rFonts w:ascii="Calibri" w:hAnsi="Calibri"/>
          <w:b w:val="0"/>
          <w:i w:val="0"/>
          <w:color w:val="111111"/>
          <w:sz w:val="22"/>
        </w:rPr>
        <w:t xml:space="preserve"> We selected </w:t>
      </w:r>
      <w:r>
        <w:rPr>
          <w:rFonts w:ascii="Calibri" w:hAnsi="Calibri"/>
          <w:b/>
          <w:i w:val="0"/>
          <w:color w:val="111111"/>
          <w:sz w:val="22"/>
        </w:rPr>
        <w:t>OCI VM.GPU.A10.2—not A10.1</w:t>
      </w:r>
      <w:r>
        <w:rPr>
          <w:rFonts w:ascii="Calibri" w:hAnsi="Calibri"/>
          <w:b w:val="0"/>
          <w:i w:val="0"/>
          <w:color w:val="111111"/>
          <w:sz w:val="22"/>
        </w:rPr>
        <w:t xml:space="preserve">—as the target GPU shape. </w:t>
      </w:r>
      <w:r>
        <w:rPr>
          <w:rFonts w:ascii="Calibri" w:hAnsi="Calibri"/>
          <w:b/>
          <w:i w:val="0"/>
          <w:color w:val="111111"/>
          <w:sz w:val="22"/>
        </w:rPr>
        <w:t>Oracle documents A10.2 as an OKE GPU node-pool example.</w:t>
      </w:r>
      <w:r>
        <w:rPr>
          <w:rFonts w:ascii="Calibri" w:hAnsi="Calibri"/>
          <w:b w:val="0"/>
          <w:i w:val="0"/>
          <w:color w:val="111111"/>
          <w:sz w:val="22"/>
        </w:rPr>
        <w:t xml:space="preserve"> Our proposed landing zone is private Kubernetes with separate CPU platform capacity and isolated application/GPU capacity, plus external database, storage, registry, secrets, logging, and monitoring services. </w:t>
      </w:r>
      <w:r>
        <w:rPr>
          <w:rFonts w:ascii="Calibri" w:hAnsi="Calibri"/>
          <w:b/>
          <w:i w:val="0"/>
          <w:color w:val="111111"/>
          <w:sz w:val="22"/>
        </w:rPr>
        <w:t>Today we need written vendor confirmation</w:t>
      </w:r>
      <w:r>
        <w:rPr>
          <w:rFonts w:ascii="Calibri" w:hAnsi="Calibri"/>
          <w:b w:val="0"/>
          <w:i w:val="0"/>
          <w:color w:val="111111"/>
          <w:sz w:val="22"/>
        </w:rPr>
        <w:t xml:space="preserve"> that the exact OS, Kubernetes version, drivers, storage interfaces, security settings, and topology are supported before we approve a production build.</w:t>
      </w:r>
    </w:p>
    <w:p>
      <w:pPr>
        <w:pStyle w:val="Heading2"/>
      </w:pPr>
      <w:r>
        <w:t>Confirmed from current public documentation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OCI VM.GPU.A10.2</w:t>
      </w:r>
      <w:r>
        <w:rPr>
          <w:rFonts w:ascii="Calibri" w:hAnsi="Calibri"/>
          <w:b w:val="0"/>
          <w:i w:val="0"/>
          <w:color w:val="111111"/>
          <w:sz w:val="22"/>
        </w:rPr>
        <w:t xml:space="preserve"> provides 2 NVIDIA A10 GPUs, 30 OCPUs, 480 GB system memory, 48 GB total GPU memory across two discrete 24 GB devices, and up to 48 Gbps networking.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Oracle documents deploying an OKE node pool</w:t>
      </w:r>
      <w:r>
        <w:rPr>
          <w:rFonts w:ascii="Calibri" w:hAnsi="Calibri"/>
          <w:b w:val="0"/>
          <w:i w:val="0"/>
          <w:color w:val="111111"/>
          <w:sz w:val="22"/>
        </w:rPr>
        <w:t xml:space="preserve"> with VM.GPU.A10.2 and an OKE Oracle Linux GPU image or compatible custom image, with GPUs advertised to Kubernetes as resources such as nvidia.com/gpu.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DataWalk 5.1</w:t>
      </w:r>
      <w:r>
        <w:rPr>
          <w:rFonts w:ascii="Calibri" w:hAnsi="Calibri"/>
          <w:b w:val="0"/>
          <w:i w:val="0"/>
          <w:color w:val="111111"/>
          <w:sz w:val="22"/>
        </w:rPr>
        <w:t xml:space="preserve"> supports container and non-container deployments; 5.2+ requires containers and Decoupled Storage. DataWalk's public preparation page names RHEL 8.10 or Rocky Linux 8 and calls for Kubernetes/container-trained administrators.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Hyperscience installs on an existing Kubernetes cluster</w:t>
      </w:r>
      <w:r>
        <w:rPr>
          <w:rFonts w:ascii="Calibri" w:hAnsi="Calibri"/>
          <w:b w:val="0"/>
          <w:i w:val="0"/>
          <w:color w:val="111111"/>
          <w:sz w:val="22"/>
        </w:rPr>
        <w:t>, recommends a dedicated namespace, requires external SQL database and file storage, and calls for separate platform and trainer node groups.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Hyperscience supports GPU trainers in v41+</w:t>
      </w:r>
      <w:r>
        <w:rPr>
          <w:rFonts w:ascii="Calibri" w:hAnsi="Calibri"/>
          <w:b w:val="0"/>
          <w:i w:val="0"/>
          <w:color w:val="111111"/>
          <w:sz w:val="22"/>
        </w:rPr>
        <w:t xml:space="preserve"> and publicly lists NVIDIA A10 (24 GB, compute capability 8.6) for specified 42.x+ versions and ORCA use cases.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Kubernetes 1.34 is supported through December 2026 and 1.35 through April 2027</w:t>
      </w:r>
      <w:r>
        <w:rPr>
          <w:rFonts w:ascii="Calibri" w:hAnsi="Calibri"/>
          <w:b w:val="0"/>
          <w:i w:val="0"/>
          <w:color w:val="111111"/>
          <w:sz w:val="22"/>
        </w:rPr>
        <w:t xml:space="preserve"> according to the current Hyperscience page; the exact application release still must be matched to that calendar.</w:t>
      </w:r>
    </w:p>
    <w:p>
      <w:pPr>
        <w:pStyle w:val="Heading2"/>
      </w:pPr>
      <w:r>
        <w:t>Not yet validated—do not present as final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Do not say RHEL 8.10 is the managed OKE worker image.</w:t>
      </w:r>
      <w:r>
        <w:rPr>
          <w:rFonts w:ascii="Calibri" w:hAnsi="Calibri"/>
          <w:b w:val="0"/>
          <w:i w:val="0"/>
          <w:color w:val="111111"/>
          <w:sz w:val="22"/>
        </w:rPr>
        <w:t xml:space="preserve"> Oracle's supported managed-node path uses approved OKE images; vendor acceptance of Oracle Linux must be obtained.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Do not say two 24 GB A10 GPUs behave as one 48 GB GPU.</w:t>
      </w:r>
      <w:r>
        <w:rPr>
          <w:rFonts w:ascii="Calibri" w:hAnsi="Calibri"/>
          <w:b w:val="0"/>
          <w:i w:val="0"/>
          <w:color w:val="111111"/>
          <w:sz w:val="22"/>
        </w:rPr>
        <w:t xml:space="preserve"> Multi-GPU execution and memory behavior are application-dependent.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Do not claim DataWalk receives GPU acceleration</w:t>
      </w:r>
      <w:r>
        <w:rPr>
          <w:rFonts w:ascii="Calibri" w:hAnsi="Calibri"/>
          <w:b w:val="0"/>
          <w:i w:val="0"/>
          <w:color w:val="111111"/>
          <w:sz w:val="22"/>
        </w:rPr>
        <w:t xml:space="preserve"> until DataWalk identifies the component, container image, CUDA/driver requirements, and supported resource request.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Do not assume OCI services are certified</w:t>
      </w:r>
      <w:r>
        <w:rPr>
          <w:rFonts w:ascii="Calibri" w:hAnsi="Calibri"/>
          <w:b w:val="0"/>
          <w:i w:val="0"/>
          <w:color w:val="111111"/>
          <w:sz w:val="22"/>
        </w:rPr>
        <w:t xml:space="preserve"> merely because OCI Object Storage, OCI Container Registry, OCI Load Balancer, or an OCI database exposes a compatible-looking interface.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Do not assume a single shared cluster is acceptable</w:t>
      </w:r>
      <w:r>
        <w:rPr>
          <w:rFonts w:ascii="Calibri" w:hAnsi="Calibri"/>
          <w:b w:val="0"/>
          <w:i w:val="0"/>
          <w:color w:val="111111"/>
          <w:sz w:val="22"/>
        </w:rPr>
        <w:t xml:space="preserve"> for production support, security authorization, upgrades, or failure isolation.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 xml:space="preserve">RECOMMENDED POSITION 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Approve only a controlled proof of concept. Production approval should be conditional on written vendor responses, a signed version matrix, successful performance/failover tests, regional A10.2 capacity, and an agreed support model.</w:t>
            </w:r>
          </w:p>
        </w:tc>
      </w:tr>
    </w:tbl>
    <w:p>
      <w:pPr>
        <w:spacing w:after="0"/>
      </w:pPr>
    </w:p>
    <w:p>
      <w:pPr>
        <w:pStyle w:val="Heading1"/>
      </w:pPr>
      <w:r>
        <w:t>2. Questions for the DataWalk team</w:t>
      </w:r>
    </w:p>
    <w:p>
      <w:pPr>
        <w:spacing w:after="160"/>
      </w:pPr>
      <w:r>
        <w:t>Ask DataWalk to separate requirements for the containerized product from requirements for a standalone VM installation. Request written answers and exact version numbers.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Supported topology: </w:t>
      </w:r>
      <w:r>
        <w:rPr>
          <w:rFonts w:ascii="Calibri" w:hAnsi="Calibri"/>
          <w:b w:val="0"/>
          <w:i w:val="0"/>
          <w:color w:val="111111"/>
          <w:sz w:val="22"/>
        </w:rPr>
        <w:t>Will DataWalk support this release on OCI managed OKE, or does support require a vendor-specified Kubernetes distribution? Please provide the support statement in writing.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Worker-node OS: </w:t>
      </w:r>
      <w:r>
        <w:rPr>
          <w:rFonts w:ascii="Calibri" w:hAnsi="Calibri"/>
          <w:b w:val="0"/>
          <w:i w:val="0"/>
          <w:color w:val="111111"/>
          <w:sz w:val="22"/>
        </w:rPr>
        <w:t>Does the published RHEL 8.10 / Rocky Linux 8 minimum apply to the Kubernetes worker-node host OS? Will you support Oracle Linux 8 or Oracle Linux 9 OKE GPU images?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Exact versions: </w:t>
      </w:r>
      <w:r>
        <w:rPr>
          <w:rFonts w:ascii="Calibri" w:hAnsi="Calibri"/>
          <w:b w:val="0"/>
          <w:i w:val="0"/>
          <w:color w:val="111111"/>
          <w:sz w:val="22"/>
        </w:rPr>
        <w:t>Which DataWalk, Kubernetes, Helm/chart, container runtime, kernel, and storage-interface versions should be locked for the POC and production?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GPU value: </w:t>
      </w:r>
      <w:r>
        <w:rPr>
          <w:rFonts w:ascii="Calibri" w:hAnsi="Calibri"/>
          <w:b w:val="0"/>
          <w:i w:val="0"/>
          <w:color w:val="111111"/>
          <w:sz w:val="22"/>
        </w:rPr>
        <w:t>Which DataWalk pods or modules can use NVIDIA A10 GPUs? Is GPU optional, required, or unused for our knowledge-graph, ingestion, analytics, and AI use cases?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GPU software: </w:t>
      </w:r>
      <w:r>
        <w:rPr>
          <w:rFonts w:ascii="Calibri" w:hAnsi="Calibri"/>
          <w:b w:val="0"/>
          <w:i w:val="0"/>
          <w:color w:val="111111"/>
          <w:sz w:val="22"/>
        </w:rPr>
        <w:t>If GPU is used, what NVIDIA driver, CUDA runtime, device plug-in/operator, resource request, and single-/multi-GPU configuration are supported?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Sizing: </w:t>
      </w:r>
      <w:r>
        <w:rPr>
          <w:rFonts w:ascii="Calibri" w:hAnsi="Calibri"/>
          <w:b w:val="0"/>
          <w:i w:val="0"/>
          <w:color w:val="111111"/>
          <w:sz w:val="22"/>
        </w:rPr>
        <w:t>Provide CPU, RAM, storage, IOPS, network, and node-count sizing for development, test, and production based on our data volume, ingestion rate, concurrency, and retention.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Decoupled Storage: </w:t>
      </w:r>
      <w:r>
        <w:rPr>
          <w:rFonts w:ascii="Calibri" w:hAnsi="Calibri"/>
          <w:b w:val="0"/>
          <w:i w:val="0"/>
          <w:color w:val="111111"/>
          <w:sz w:val="22"/>
        </w:rPr>
        <w:t>What exact external object/file/block storage is required for DS mode? Is OCI Object Storage supported directly, through its S3-compatible API, or not supported?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State and database: </w:t>
      </w:r>
      <w:r>
        <w:rPr>
          <w:rFonts w:ascii="Calibri" w:hAnsi="Calibri"/>
          <w:b w:val="0"/>
          <w:i w:val="0"/>
          <w:color w:val="111111"/>
          <w:sz w:val="22"/>
        </w:rPr>
        <w:t>Which DataWalk services are stateful, what database technology is required, and which components may run outside the cluster?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HA/DR: </w:t>
      </w:r>
      <w:r>
        <w:rPr>
          <w:rFonts w:ascii="Calibri" w:hAnsi="Calibri"/>
          <w:b w:val="0"/>
          <w:i w:val="0"/>
          <w:color w:val="111111"/>
          <w:sz w:val="22"/>
        </w:rPr>
        <w:t>What is the supported production availability pattern across nodes, fault domains, availability domains, and regions? What are the required RPO and RTO procedures?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Security: </w:t>
      </w:r>
      <w:r>
        <w:rPr>
          <w:rFonts w:ascii="Calibri" w:hAnsi="Calibri"/>
          <w:b w:val="0"/>
          <w:i w:val="0"/>
          <w:color w:val="111111"/>
          <w:sz w:val="22"/>
        </w:rPr>
        <w:t>Confirm compatibility with private nodes, no public IPs, SELinux enforcing, FIPS mode, restricted egress, non-root containers, image scanning, secrets from OCI Vault, and our admission policies.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Lifecycle: </w:t>
      </w:r>
      <w:r>
        <w:rPr>
          <w:rFonts w:ascii="Calibri" w:hAnsi="Calibri"/>
          <w:b w:val="0"/>
          <w:i w:val="0"/>
          <w:color w:val="111111"/>
          <w:sz w:val="22"/>
        </w:rPr>
        <w:t>Who owns chart upgrades, Kubernetes upgrades, OS/driver patching, backup validation, and support-bundle collection? What change sequence preserves vendor support?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POC acceptance: </w:t>
      </w:r>
      <w:r>
        <w:rPr>
          <w:rFonts w:ascii="Calibri" w:hAnsi="Calibri"/>
          <w:b w:val="0"/>
          <w:i w:val="0"/>
          <w:color w:val="111111"/>
          <w:sz w:val="22"/>
        </w:rPr>
        <w:t>What test dataset, workload, duration, performance targets, and evidence will DataWalk accept as proof that the A10.2/OCI design is ready?</w:t>
      </w:r>
    </w:p>
    <w:p>
      <w:pPr>
        <w:pStyle w:val="Heading1"/>
      </w:pPr>
      <w:r>
        <w:t>3. Questions for the Hyperscience team</w:t>
      </w:r>
    </w:p>
    <w:p>
      <w:pPr>
        <w:spacing w:after="160"/>
      </w:pPr>
      <w:r>
        <w:t>Hyperscience publicly supports Kubernetes and NVIDIA A10, but the exact release/use-case matrix is what determines the driver, CUDA, node labels, and GPU allocation.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OKE support: </w:t>
      </w:r>
      <w:r>
        <w:rPr>
          <w:rFonts w:ascii="Calibri" w:hAnsi="Calibri"/>
          <w:b w:val="0"/>
          <w:i w:val="0"/>
          <w:color w:val="111111"/>
          <w:sz w:val="22"/>
        </w:rPr>
        <w:t>Will Hyperscience support the selected release on Oracle Kubernetes Engine? Are there any OCI- or OKE-specific exclusions compared with the published AWS, GCP, and Azure examples?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Exact versions: </w:t>
      </w:r>
      <w:r>
        <w:rPr>
          <w:rFonts w:ascii="Calibri" w:hAnsi="Calibri"/>
          <w:b w:val="0"/>
          <w:i w:val="0"/>
          <w:color w:val="111111"/>
          <w:sz w:val="22"/>
        </w:rPr>
        <w:t>Which Hyperscience release, Kubernetes minor version, Helm chart/hsk8s version, container runtime, and HyperOperator version should be pinned?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Node OS: </w:t>
      </w:r>
      <w:r>
        <w:rPr>
          <w:rFonts w:ascii="Calibri" w:hAnsi="Calibri"/>
          <w:b w:val="0"/>
          <w:i w:val="0"/>
          <w:color w:val="111111"/>
          <w:sz w:val="22"/>
        </w:rPr>
        <w:t>Does Hyperscience impose any Kubernetes worker-node OS requirement? Is an OKE Oracle Linux 9 GPU image supported? Do not rely on VM/Podman OS support as the answer for Kubernetes.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A10 use case: </w:t>
      </w:r>
      <w:r>
        <w:rPr>
          <w:rFonts w:ascii="Calibri" w:hAnsi="Calibri"/>
          <w:b w:val="0"/>
          <w:i w:val="0"/>
          <w:color w:val="111111"/>
          <w:sz w:val="22"/>
        </w:rPr>
        <w:t>Which of our workflows require GPU: Long-form Extraction training, Field/Table Identification, ORCA model training, ORCA VLM inference, or another component?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Two GPUs: </w:t>
      </w:r>
      <w:r>
        <w:rPr>
          <w:rFonts w:ascii="Calibri" w:hAnsi="Calibri"/>
          <w:b w:val="0"/>
          <w:i w:val="0"/>
          <w:color w:val="111111"/>
          <w:sz w:val="22"/>
        </w:rPr>
        <w:t>Can a Hyperscience trainer or application pod use both A10 GPUs on VM.GPU.A10.2? If yes, does it aggregate usable model memory, and what pod resource/affinity configuration is required?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Driver/CUDA: </w:t>
      </w:r>
      <w:r>
        <w:rPr>
          <w:rFonts w:ascii="Calibri" w:hAnsi="Calibri"/>
          <w:b w:val="0"/>
          <w:i w:val="0"/>
          <w:color w:val="111111"/>
          <w:sz w:val="22"/>
        </w:rPr>
        <w:t>For the exact release and use case, confirm the required NVIDIA driver and CUDA runtime. Is the Oracle-provided GPU image/driver combination certified?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Node groups: </w:t>
      </w:r>
      <w:r>
        <w:rPr>
          <w:rFonts w:ascii="Calibri" w:hAnsi="Calibri"/>
          <w:b w:val="0"/>
          <w:i w:val="0"/>
          <w:color w:val="111111"/>
          <w:sz w:val="22"/>
        </w:rPr>
        <w:t>Confirm required counts and labels for platform, trainer, and GPU-enabled application nodes; confirm whether GPU trainer and GPU application workloads may share a node pool.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Database: </w:t>
      </w:r>
      <w:r>
        <w:rPr>
          <w:rFonts w:ascii="Calibri" w:hAnsi="Calibri"/>
          <w:b w:val="0"/>
          <w:i w:val="0"/>
          <w:color w:val="111111"/>
          <w:sz w:val="22"/>
        </w:rPr>
        <w:t>Which database engines and versions are supported on OCI? May we use an OCI managed database, and what availability, privilege, connection-pooling, encryption, and backup requirements apply?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File storage: </w:t>
      </w:r>
      <w:r>
        <w:rPr>
          <w:rFonts w:ascii="Calibri" w:hAnsi="Calibri"/>
          <w:b w:val="0"/>
          <w:i w:val="0"/>
          <w:color w:val="111111"/>
          <w:sz w:val="22"/>
        </w:rPr>
        <w:t>Is OCI Object Storage supported natively or through its S3-compatible interface? If not, which NFS/CIFS or persistent-volume pattern is supported?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Registry/artifacts: </w:t>
      </w:r>
      <w:r>
        <w:rPr>
          <w:rFonts w:ascii="Calibri" w:hAnsi="Calibri"/>
          <w:b w:val="0"/>
          <w:i w:val="0"/>
          <w:color w:val="111111"/>
          <w:sz w:val="22"/>
        </w:rPr>
        <w:t>Is OCI Container Registry accepted as the internal Docker Registry HTTP API V2 endpoint? What four repositories, image-retention rules, and offline synchronization process are required?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Network/license: </w:t>
      </w:r>
      <w:r>
        <w:rPr>
          <w:rFonts w:ascii="Calibri" w:hAnsi="Calibri"/>
          <w:b w:val="0"/>
          <w:i w:val="0"/>
          <w:color w:val="111111"/>
          <w:sz w:val="22"/>
        </w:rPr>
        <w:t>List required outbound destinations, ports, TLS inspection exceptions, FQDN/ingress requirements, Cloudsmith/support access, and license behavior during failover.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Security context: </w:t>
      </w:r>
      <w:r>
        <w:rPr>
          <w:rFonts w:ascii="Calibri" w:hAnsi="Calibri"/>
          <w:b w:val="0"/>
          <w:i w:val="0"/>
          <w:color w:val="111111"/>
          <w:sz w:val="22"/>
        </w:rPr>
        <w:t>Confirm required SETUID/SETGID, fsGroup, allowPrivilegeEscalation, readOnlyRootFilesystem, and non-root settings, and provide the minimum admission-policy exceptions.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Sizing/licensing: </w:t>
      </w:r>
      <w:r>
        <w:rPr>
          <w:rFonts w:ascii="Calibri" w:hAnsi="Calibri"/>
          <w:b w:val="0"/>
          <w:i w:val="0"/>
          <w:color w:val="111111"/>
          <w:sz w:val="22"/>
        </w:rPr>
        <w:t>Confirm whether vendor sizing counts OCI 30 OCPUs as 60 vCPUs/threads, and explain license metrics for platform, trainer, GPU application, and standby capacity.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POC acceptance: </w:t>
      </w:r>
      <w:r>
        <w:rPr>
          <w:rFonts w:ascii="Calibri" w:hAnsi="Calibri"/>
          <w:b w:val="0"/>
          <w:i w:val="0"/>
          <w:color w:val="111111"/>
          <w:sz w:val="22"/>
        </w:rPr>
        <w:t>Agree on document types, volumes, concurrent jobs, accuracy/throughput targets, GPU utilization evidence, failover tests, and success thresholds.</w:t>
      </w:r>
    </w:p>
    <w:p>
      <w:pPr>
        <w:pStyle w:val="Heading1"/>
      </w:pPr>
      <w:r>
        <w:t>4. Joint architecture decisions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Cluster boundary: </w:t>
      </w:r>
      <w:r>
        <w:rPr>
          <w:rFonts w:ascii="Calibri" w:hAnsi="Calibri"/>
          <w:b w:val="0"/>
          <w:i w:val="0"/>
          <w:color w:val="111111"/>
          <w:sz w:val="22"/>
        </w:rPr>
        <w:t>One shared OKE cluster with separate namespaces/node pools, or separate clusters per application and environment? Identify the support, upgrade, security, and failure-isolation rationale.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GPU placement: </w:t>
      </w:r>
      <w:r>
        <w:rPr>
          <w:rFonts w:ascii="Calibri" w:hAnsi="Calibri"/>
          <w:b w:val="0"/>
          <w:i w:val="0"/>
          <w:color w:val="111111"/>
          <w:sz w:val="22"/>
        </w:rPr>
        <w:t>Should A10.2 be reserved only for confirmed GPU consumers, with ordinary platform pods on lower-cost CPU shapes?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Environment isolation: </w:t>
      </w:r>
      <w:r>
        <w:rPr>
          <w:rFonts w:ascii="Calibri" w:hAnsi="Calibri"/>
          <w:b w:val="0"/>
          <w:i w:val="0"/>
          <w:color w:val="111111"/>
          <w:sz w:val="22"/>
        </w:rPr>
        <w:t>Confirm separate development, test, and production compartments/clusters/node pools, and whether any production resources may be shared.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Storage ownership: </w:t>
      </w:r>
      <w:r>
        <w:rPr>
          <w:rFonts w:ascii="Calibri" w:hAnsi="Calibri"/>
          <w:b w:val="0"/>
          <w:i w:val="0"/>
          <w:color w:val="111111"/>
          <w:sz w:val="22"/>
        </w:rPr>
        <w:t>For every persistent dataset, identify the system of record, interface, encryption key, backup owner, retention, restore method, RPO, and RTO.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Ingress and identity: </w:t>
      </w:r>
      <w:r>
        <w:rPr>
          <w:rFonts w:ascii="Calibri" w:hAnsi="Calibri"/>
          <w:b w:val="0"/>
          <w:i w:val="0"/>
          <w:color w:val="111111"/>
          <w:sz w:val="22"/>
        </w:rPr>
        <w:t>Confirm OCI Load Balancer/ingress controller, TLS termination, DNS/FQDN, SSO/identity provider, service-to-service authentication, and certificate ownership.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Disconnected operations: </w:t>
      </w:r>
      <w:r>
        <w:rPr>
          <w:rFonts w:ascii="Calibri" w:hAnsi="Calibri"/>
          <w:b w:val="0"/>
          <w:i w:val="0"/>
          <w:color w:val="111111"/>
          <w:sz w:val="22"/>
        </w:rPr>
        <w:t>Can installation, upgrade, model delivery, vulnerability remediation, and support operate with restricted or no direct internet egress?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Observability: </w:t>
      </w:r>
      <w:r>
        <w:rPr>
          <w:rFonts w:ascii="Calibri" w:hAnsi="Calibri"/>
          <w:b w:val="0"/>
          <w:i w:val="0"/>
          <w:color w:val="111111"/>
          <w:sz w:val="22"/>
        </w:rPr>
        <w:t>Define required product logs, audit events, metrics, GPU telemetry, health checks, alert thresholds, and support-bundle handling.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Support handoff: </w:t>
      </w:r>
      <w:r>
        <w:rPr>
          <w:rFonts w:ascii="Calibri" w:hAnsi="Calibri"/>
          <w:b w:val="0"/>
          <w:i w:val="0"/>
          <w:color w:val="111111"/>
          <w:sz w:val="22"/>
        </w:rPr>
        <w:t>Which team owns Kubernetes, OS, NVIDIA drivers, the GPU operator/device plug-in, application charts, database, storage, and first-response triage?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111111"/>
          <w:sz w:val="22"/>
        </w:rPr>
        <w:t xml:space="preserve">Vendor services: </w:t>
      </w:r>
      <w:r>
        <w:rPr>
          <w:rFonts w:ascii="Calibri" w:hAnsi="Calibri"/>
          <w:b w:val="0"/>
          <w:i w:val="0"/>
          <w:color w:val="111111"/>
          <w:sz w:val="22"/>
        </w:rPr>
        <w:t>How many vendor/partner Kubernetes SME hours are required for design review, install, POC, production cutover, and knowledge transfer?</w:t>
      </w:r>
    </w:p>
    <w:p>
      <w:pPr>
        <w:pStyle w:val="Heading1"/>
      </w:pPr>
      <w:r>
        <w:t>Proposed POC acceptance gates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Platform:</w:t>
      </w:r>
      <w:r>
        <w:rPr>
          <w:rFonts w:ascii="Calibri" w:hAnsi="Calibri"/>
          <w:b w:val="0"/>
          <w:i w:val="0"/>
          <w:color w:val="111111"/>
          <w:sz w:val="22"/>
        </w:rPr>
        <w:t xml:space="preserve"> A10.2 is available in the target availability domain; each node reports two healthy NVIDIA A10 devices; Kubernetes advertises the expected GPU resources.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Compatibility:</w:t>
      </w:r>
      <w:r>
        <w:rPr>
          <w:rFonts w:ascii="Calibri" w:hAnsi="Calibri"/>
          <w:b w:val="0"/>
          <w:i w:val="0"/>
          <w:color w:val="111111"/>
          <w:sz w:val="22"/>
        </w:rPr>
        <w:t xml:space="preserve"> signed matrix records application, chart, Kubernetes, node OS/image, kernel, container runtime, driver, CUDA, database, storage, ingress, and registry versions.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Functionality:</w:t>
      </w:r>
      <w:r>
        <w:rPr>
          <w:rFonts w:ascii="Calibri" w:hAnsi="Calibri"/>
          <w:b w:val="0"/>
          <w:i w:val="0"/>
          <w:color w:val="111111"/>
          <w:sz w:val="22"/>
        </w:rPr>
        <w:t xml:space="preserve"> representative DataWalk ingestion/graph workloads and Hyperscience training/inference workflows complete successfully.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Performance:</w:t>
      </w:r>
      <w:r>
        <w:rPr>
          <w:rFonts w:ascii="Calibri" w:hAnsi="Calibri"/>
          <w:b w:val="0"/>
          <w:i w:val="0"/>
          <w:color w:val="111111"/>
          <w:sz w:val="22"/>
        </w:rPr>
        <w:t xml:space="preserve"> agreed throughput, latency, concurrency, accuracy, CPU/RAM, GPU memory/utilization, storage latency, and network targets are met.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Resilience:</w:t>
      </w:r>
      <w:r>
        <w:rPr>
          <w:rFonts w:ascii="Calibri" w:hAnsi="Calibri"/>
          <w:b w:val="0"/>
          <w:i w:val="0"/>
          <w:color w:val="111111"/>
          <w:sz w:val="22"/>
        </w:rPr>
        <w:t xml:space="preserve"> node drain, pod restart, node loss, backup, restore, and application recovery meet agreed RPO/RTO targets.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Security:</w:t>
      </w:r>
      <w:r>
        <w:rPr>
          <w:rFonts w:ascii="Calibri" w:hAnsi="Calibri"/>
          <w:b w:val="0"/>
          <w:i w:val="0"/>
          <w:color w:val="111111"/>
          <w:sz w:val="22"/>
        </w:rPr>
        <w:t xml:space="preserve"> private endpoints, least privilege, vulnerability scanning, encryption, audit logging, egress controls, and required pod-security exceptions pass review.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Operations:</w:t>
      </w:r>
      <w:r>
        <w:rPr>
          <w:rFonts w:ascii="Calibri" w:hAnsi="Calibri"/>
          <w:b w:val="0"/>
          <w:i w:val="0"/>
          <w:color w:val="111111"/>
          <w:sz w:val="22"/>
        </w:rPr>
        <w:t xml:space="preserve"> monitoring, alerting, patching, upgrade, rollback, evidence retention, and vendor escalation procedures are demonstrated.</w:t>
      </w:r>
    </w:p>
    <w:p>
      <w:pPr>
        <w:pStyle w:val="Heading1"/>
      </w:pPr>
      <w:r>
        <w:t>5. Decisions and actions to capture before ending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1600"/>
        <w:gridCol w:w="1400"/>
        <w:gridCol w:w="1360"/>
      </w:tblGrid>
      <w:tr>
        <w:trPr>
          <w:tblHeader w:val="true"/>
        </w:trP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Decision / action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Owner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Due date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Managed OKE accepted by both vendors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Worker-node OS/image approved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Version matrix approved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DataWalk GPU use confirmed or removed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Hyperscience GPU topology confirmed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Database/storage/registry interfaces approved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Security exceptions documented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POC success criteria accepted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  <w:tr>
        <w:tc>
          <w:tcPr>
            <w:tcW w:type="dxa" w:w="50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Vendor written follow-up date committed</w:t>
            </w:r>
          </w:p>
        </w:tc>
        <w:tc>
          <w:tcPr>
            <w:tcW w:type="dxa" w:w="16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  <w:tc>
          <w:tcPr>
            <w:tcW w:type="dxa" w:w="1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 xml:space="preserve"> </w:t>
            </w:r>
          </w:p>
        </w:tc>
      </w:tr>
    </w:tbl>
    <w:p>
      <w:pPr>
        <w:pStyle w:val="Heading2"/>
      </w:pPr>
      <w:r>
        <w:t>Close with these commitments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Each vendor will provide written confirmation</w:t>
      </w:r>
      <w:r>
        <w:rPr>
          <w:rFonts w:ascii="Calibri" w:hAnsi="Calibri"/>
          <w:b w:val="0"/>
          <w:i w:val="0"/>
          <w:color w:val="111111"/>
          <w:sz w:val="22"/>
        </w:rPr>
        <w:t>—not only verbal guidance—for OS, Kubernetes, GPU, storage, and supportability decisions.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One owner and due date</w:t>
      </w:r>
      <w:r>
        <w:rPr>
          <w:rFonts w:ascii="Calibri" w:hAnsi="Calibri"/>
          <w:b w:val="0"/>
          <w:i w:val="0"/>
          <w:color w:val="111111"/>
          <w:sz w:val="22"/>
        </w:rPr>
        <w:t xml:space="preserve"> will be assigned to every open item.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111111"/>
          <w:sz w:val="22"/>
        </w:rPr>
        <w:t>No production build will start</w:t>
      </w:r>
      <w:r>
        <w:rPr>
          <w:rFonts w:ascii="Calibri" w:hAnsi="Calibri"/>
          <w:b w:val="0"/>
          <w:i w:val="0"/>
          <w:color w:val="111111"/>
          <w:sz w:val="22"/>
        </w:rPr>
        <w:t xml:space="preserve"> until the joint version matrix and POC gates are approved.</w:t>
      </w:r>
    </w:p>
    <w:p>
      <w:pPr>
        <w:pStyle w:val="Heading1"/>
      </w:pPr>
      <w:r>
        <w:t>Official source links</w:t>
      </w:r>
    </w:p>
    <w:p>
      <w:pPr>
        <w:spacing w:after="120"/>
        <w:ind w:left="288"/>
      </w:pPr>
      <w:hyperlink r:id="rId11">
        <w:r>
          <w:rPr>
            <w:color w:val="111111"/>
            <w:u w:val="single"/>
          </w:rPr>
          <w:t>Oracle — Managing Specialized Hardware Devices on Worker Nodes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Explicitly uses VM.GPU.A10.2 as an OKE GPU node-pool example and describes GPU resource advertising/allocation.</w:t>
      </w:r>
    </w:p>
    <w:p>
      <w:pPr>
        <w:spacing w:after="120"/>
        <w:ind w:left="288"/>
      </w:pPr>
      <w:hyperlink r:id="rId12">
        <w:r>
          <w:rPr>
            <w:color w:val="111111"/>
            <w:u w:val="single"/>
          </w:rPr>
          <w:t>Oracle — Supported Images and Shapes for OKE Worker Nodes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Defines the supported image and shape boundary for managed and self-managed OKE nodes.</w:t>
      </w:r>
    </w:p>
    <w:p>
      <w:pPr>
        <w:spacing w:after="120"/>
        <w:ind w:left="288"/>
      </w:pPr>
      <w:hyperlink r:id="rId13">
        <w:r>
          <w:rPr>
            <w:color w:val="111111"/>
            <w:u w:val="single"/>
          </w:rPr>
          <w:t>Oracle — Compute Shapes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Lists VM.GPU.A10.2 hardware specifications.</w:t>
      </w:r>
    </w:p>
    <w:p>
      <w:pPr>
        <w:spacing w:after="120"/>
        <w:ind w:left="288"/>
      </w:pPr>
      <w:hyperlink r:id="rId14">
        <w:r>
          <w:rPr>
            <w:color w:val="111111"/>
            <w:u w:val="single"/>
          </w:rPr>
          <w:t>DataWalk — Preparing for DataWalk on Containers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States the container transition, RHEL 8.10 / Rocky Linux 8 minimum, DS requirement, and Kubernetes skills requirement.</w:t>
      </w:r>
    </w:p>
    <w:p>
      <w:pPr>
        <w:spacing w:after="120"/>
        <w:ind w:left="288"/>
      </w:pPr>
      <w:hyperlink r:id="rId15">
        <w:r>
          <w:rPr>
            <w:color w:val="111111"/>
            <w:u w:val="single"/>
          </w:rPr>
          <w:t>Hyperscience — Kubernetes Installation Overview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Covers existing-cluster requirements, supported Kubernetes calendar, node groups, external services, GPU use cases, A10 support, CUDA, and drivers.</w:t>
      </w:r>
    </w:p>
    <w:p>
      <w:pPr>
        <w:spacing w:after="120"/>
        <w:ind w:left="288"/>
      </w:pPr>
      <w:hyperlink r:id="rId16">
        <w:r>
          <w:rPr>
            <w:color w:val="111111"/>
            <w:u w:val="single"/>
          </w:rPr>
          <w:t>Hyperscience — TVE (POC) Infrastructure Requirements</w:t>
        </w:r>
      </w:hyperlink>
      <w:r>
        <w:rPr>
          <w:rFonts w:ascii="Calibri" w:hAnsi="Calibri"/>
          <w:b w:val="0"/>
          <w:i w:val="0"/>
          <w:color w:val="555555"/>
          <w:sz w:val="21"/>
        </w:rPr>
        <w:t xml:space="preserve"> — Useful for VM-based evaluation requirements; it should not be treated as proof of Kubernetes worker-node OS support.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 xml:space="preserve">MEETING EXIT TEST 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If either vendor cannot provide a clear written answer on OKE support and worker-node OS, keep the architecture at POC status and schedule a focused technical support session before procurement or production provisioning.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Project meeting brief  |  </w:t>
    </w:r>
    <w:r>
      <w:rPr>
        <w:rFonts w:ascii="Calibri" w:hAnsi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i w:val="0"/>
        <w:color w:val="555555"/>
        <w:sz w:val="18"/>
      </w:rPr>
      <w:t>DW + HS Vendor Validation  |  OCI A10.2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/>
    </w:pPr>
    <w:rPr>
      <w:rFonts w:ascii="Calibri" w:hAnsi="Calibri"/>
      <w:color w:val="5555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racle.com/en-us/iaas/Content/ContEng/Tasks/contengmanagingspecializedhardwaredevices.htm" TargetMode="External"/><Relationship Id="rId12" Type="http://schemas.openxmlformats.org/officeDocument/2006/relationships/hyperlink" Target="https://docs.oracle.com/en-us/iaas/Content/ContEng/Reference/contengimagesshapes.htm" TargetMode="External"/><Relationship Id="rId13" Type="http://schemas.openxmlformats.org/officeDocument/2006/relationships/hyperlink" Target="https://docs.oracle.com/en-us/iaas/Content/Compute/References/computeshapes.htm" TargetMode="External"/><Relationship Id="rId14" Type="http://schemas.openxmlformats.org/officeDocument/2006/relationships/hyperlink" Target="https://datawalk.com/preparing-for-datawalk-on-containers/" TargetMode="External"/><Relationship Id="rId15" Type="http://schemas.openxmlformats.org/officeDocument/2006/relationships/hyperlink" Target="https://help.hyperscience.ai/deployment/docs/kubernetes-installation-overview" TargetMode="External"/><Relationship Id="rId16" Type="http://schemas.openxmlformats.org/officeDocument/2006/relationships/hyperlink" Target="https://help.hyperscience.ai/deployment/docs/tve-poc-infrastructure-requir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DataWalk + Hyperscience OCI A10.2 Vendor Validation Meeting Brief</dc:title>
  <dc:subject>Meeting preparation and validation questions for OCI VM.GPU.A10.2 and Kubernetes</dc:subject>
  <dc:creator>Project Architecture Team</dc:creator>
  <cp:keywords>OCI, OKE, A10.2, DataWalk, Hyperscience, Kubernetes, vendor validation</cp:keywords>
  <dc:description>Prepared for technical vendor validation. Verify version-specific requirements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