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ptos Display" w:hAnsi="Aptos Display"/>
          <w:b/>
          <w:color w:val="1F4E78"/>
          <w:sz w:val="56"/>
        </w:rPr>
        <w:t>Hyperscience OCI POC</w:t>
      </w:r>
    </w:p>
    <w:p>
      <w:pPr>
        <w:jc w:val="center"/>
      </w:pPr>
      <w:r>
        <w:rPr>
          <w:rFonts w:ascii="Aptos Display" w:hAnsi="Aptos Display"/>
          <w:b/>
          <w:sz w:val="44"/>
        </w:rPr>
        <w:t>Infrastructure Build Runbook</w:t>
      </w:r>
    </w:p>
    <w:p>
      <w:pPr>
        <w:jc w:val="center"/>
      </w:pPr>
      <w:r>
        <w:t>Dedicated Hyperscience Dev/Test-equivalent environment on OCI A10 GPU VMs</w:t>
        <w:br/>
      </w:r>
      <w:r>
        <w:rPr>
          <w:i/>
        </w:rPr>
        <w:t>POC only • No production • DataWalk excluded • No Kubernetes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51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51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Version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1.0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Date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October 6, 2026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Owner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John Nguyen-Tran / OCI POC Lead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Execution status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NOT EXECUTED — operator runbook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Target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Hyperscience nonproduction technical validation environment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Repository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oci-appdev/dwhs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IaC baseline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terraform/oci-vm-foundation (Oracle Resource Manager)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POC BOUNDARY  </w:t>
            </w:r>
            <w:r>
              <w:t>This runbook builds the Hyperscience infrastructure foundation only. It excludes production, DataWalk, Kubernetes, production data, and an Authority to Operate.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Purpose and fixed POC architecture</w:t>
      </w:r>
    </w:p>
    <w:p>
      <w:r>
        <w:t>Use this runbook to provision, harden, validate, document, and hand off a private Hyperscience POC on OCI Government Cloud. The POC is a disposable technical validation environment and must not be upgraded in place or converted into production.</w:t>
      </w:r>
    </w:p>
    <w:p>
      <w:pPr>
        <w:pStyle w:val="Heading2"/>
        <w:keepNext/>
      </w:pPr>
      <w:r>
        <w:t>1.1 Included and excluded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Included</w:t>
            </w:r>
          </w:p>
        </w:tc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Excluded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isolated Hyperscience Dev/Test-equivalent environment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Production or HA/DR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A10.2 application VM and one separate A10.2 trainer VM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Co-location with DataWalk or shared state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8.10, Podman, NVIDIA drivers and container-toolkit readiness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OKE, self-managed Kubernetes or Helm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Private VCN/subnet, FastConnect/DRG path, NSGs and private DNS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Public IPs, Internet gateway or direct Internet administration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POC PostgreSQL and local file stores supplied by the vendor bundle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Production external database or enterprise HA file store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Logging, monitoring, backup evidence, security validation and teardown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license, bundle or application configuration ownership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1.2 Target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Zone</w:t>
            </w:r>
          </w:p>
        </w:tc>
        <w:tc>
          <w:tcPr>
            <w:tcW w:type="dxa" w:w="82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Required components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Enterprise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admin workstation → Windows jump host; approved POC users and test-data source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Hybrid path</w:t>
            </w:r>
          </w:p>
        </w:tc>
        <w:tc>
          <w:tcPr>
            <w:tcW w:type="dxa" w:w="82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FastConnect → DRG → SCCA inspection/network firewall → Hyperscience private VCN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Application VM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hs-poc-app01 — VM.GPU.A10.2; Hyperscience application and ORCA inference when in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 VM</w:t>
            </w:r>
          </w:p>
        </w:tc>
        <w:tc>
          <w:tcPr>
            <w:tcW w:type="dxa" w:w="82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hs-poc-trn01 — VM.GPU.A10.2; separate trainer, local trainer database and local trainer storage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services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Service Gateway, Object Storage for approved bundle/evidence transfer, Vault/KMS, Logging, Monitoring and Audit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E2F0D9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DESIGN POSITION  </w:t>
            </w:r>
            <w:r>
              <w:t>The application and trainer remain on separate VMs. The A10.2 shape exposes two discrete 24 GB A10 GPUs per VM; it is not one pooled 48 GB GPU. The exact Hyperscience release and GPU use cases must be approved before build.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2. Decisions and sizing</w:t>
      </w:r>
    </w:p>
    <w:p>
      <w:pPr>
        <w:pStyle w:val="Heading2"/>
        <w:keepNext/>
      </w:pPr>
      <w:r>
        <w:t>2.1 Build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381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69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Record before execution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tenancy / region / realm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 compartment OCID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Change, funding and security tickets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VCN / subnet / on-prem CIDRs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DRG and DRG route-table OCIDs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8.10 image OCID and subscription path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version and bundle checksum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GPU use cases: ORCA / Long-form / FI / TI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NVIDIA driver and toolkit versions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Private DNS name and TLS certificate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 data set, retention and destruction owner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Provisional sizing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01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4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Planning value</w:t>
            </w:r>
          </w:p>
        </w:tc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Reason / gate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Application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 × VM.GPU.A10.2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30 OCPUs, 480 GB RAM, 2 × A10 24 GB; vendor confirms GPU-enabled application use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 × VM.GPU.A10.2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Separate VM; required for the planned model-training POC; vendor confirms GPU training use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Boot volume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100 GB per VM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OS, agents and logs only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 volume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600 GB per VM, 20 VPU/GB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Provides the 400 GB application minimum plus POC file-store capacity and filesystem overhead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Database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PostgreSQL from bundle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POC/TVE only; no external DB required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File store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under HS_PATH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POC/TVE only; do not share trainer storage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Load balancer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Not required for single application VM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 private DNS/TLS; add private LB only if POC explicitly tests it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COST GATE  </w:t>
            </w:r>
            <w:r>
              <w:t>VM.GPU.A10.2 is a fixed shape. ORM ignores flex_ocpus and flex_memory_gb. Confirm GPU service limits, regional capacity and the approved POC runtime before Apply.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Pre-build gates</w:t>
      </w:r>
    </w:p>
    <w:p>
      <w:pPr>
        <w:pStyle w:val="Heading2"/>
        <w:keepNext/>
      </w:pPr>
      <w:r>
        <w:t>3.1 Mandatory stop conditions</w:t>
      </w:r>
    </w:p>
    <w:p>
      <w:pPr>
        <w:pStyle w:val="ListBullet"/>
      </w:pPr>
      <w:r>
        <w:t>Hyperscience has not approved the exact release, RHEL 8.10, Podman version, GPU use cases, driver version and application/trainer topology.</w:t>
      </w:r>
    </w:p>
    <w:p>
      <w:pPr>
        <w:pStyle w:val="ListBullet"/>
      </w:pPr>
      <w:r>
        <w:t>The selected RHEL image is not licensed, not compatible with VM.GPU.A10.2, or cannot receive kernel, driver and security updates through the approved repository/Satellite path.</w:t>
      </w:r>
    </w:p>
    <w:p>
      <w:pPr>
        <w:pStyle w:val="ListBullet"/>
      </w:pPr>
      <w:r>
        <w:t>GPU quota or capacity for two VM.GPU.A10.2 instances is unavailable in the target region and availability domain.</w:t>
      </w:r>
    </w:p>
    <w:p>
      <w:pPr>
        <w:pStyle w:val="ListBullet"/>
      </w:pPr>
      <w:r>
        <w:t>The landing-zone team has not approved a new VCN. The existing ORM stack creates a new VCN rather than deploying into an existing subnet.</w:t>
      </w:r>
    </w:p>
    <w:p>
      <w:pPr>
        <w:pStyle w:val="ListBullet"/>
      </w:pPr>
      <w:r>
        <w:t>CIDRs overlap, or FastConnect/DRG return routing, firewall inspection, DNS, NTP, certificate trust or approved package/bundle transfer is incomplete.</w:t>
      </w:r>
    </w:p>
    <w:p>
      <w:pPr>
        <w:pStyle w:val="ListBullet"/>
      </w:pPr>
      <w:r>
        <w:t>The POC data set, retention, encryption, backup, evidence and destruction plan is not approved.</w:t>
      </w:r>
    </w:p>
    <w:p>
      <w:pPr>
        <w:pStyle w:val="Heading2"/>
        <w:keepNext/>
      </w:pPr>
      <w:r>
        <w:t>3.2 Required approvals and owners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16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83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Required approval / deliverable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Version matrix; sizing; application/trainer roles; A10 support; driver/toolkit; ports; install bundle; license; success tests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/ capacity</w:t>
            </w:r>
          </w:p>
        </w:tc>
        <w:tc>
          <w:tcPr>
            <w:tcW w:type="dxa" w:w="83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A10.2 capacity, two-instance service limit, image compatibility and reservation decision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Network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CIDRs, DRG attachment/route table, import/export, on-prem return routes, firewall rules, private DNS and MTU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baseline, Podman, SELinux, fapolicyd exception, vulnerability tools, TLS, privileged install window and evidence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Storage / backup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Block-volume performance, backup policy, restore test and POC destruction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Project owner</w:t>
            </w:r>
          </w:p>
        </w:tc>
        <w:tc>
          <w:tcPr>
            <w:tcW w:type="dxa" w:w="83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Cost ceiling, operating window, test data, success criteria and rollback authority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CE4D6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SECURITY EXCEPTION  </w:t>
            </w:r>
            <w:r>
              <w:t>Hyperscience documents that fapolicyd is not supported for Podman deployments. Obtain a written exception or an approved compensating-control design before installation; retain SELinux and endpoint controls approved by security.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4. Network, IAM and security preparation</w:t>
      </w:r>
    </w:p>
    <w:p>
      <w:pPr>
        <w:pStyle w:val="Heading2"/>
        <w:keepNext/>
      </w:pPr>
      <w:r>
        <w:t>4.1 Network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Reserve non-overlapping Hyperscience POC VCN and private-subnet CIDRs; record them in IPAM.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 the approved existing DRG and DRG route-table OCIDs; validate route import/export and on-prem return routes.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 SCCA firewall inspection and approved traffic from jump host, POC users, DNS/NTP, identity services and internal transfer endpoints.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Create private DNS records for hs-poc-app01, hs-poc-trn01 and the application URL; obtain the TLS certificate and CA chain.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Verify Service Gateway reachability to approved OCI services. Do not add an Internet or NAT gateway for this POC.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Plan temporary TCP/80 only if required during installation; user access must use TCP/443 after TLS is enabled.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Minimum traffic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230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16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Destination</w:t>
            </w:r>
          </w:p>
        </w:tc>
        <w:tc>
          <w:tcPr>
            <w:tcW w:type="dxa" w:w="194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Port</w:t>
            </w:r>
          </w:p>
        </w:tc>
        <w:tc>
          <w:tcPr>
            <w:tcW w:type="dxa" w:w="324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Windows jump host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TCP/22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Administrative SSH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POC user CIDRs</w:t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Application private DNS/IP</w:t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Web UI and API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Trainer VM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Application private DNS/IP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Trainer-to-application API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OCI resolver/NTP</w:t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TCP+UDP/53; UDP/123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Name resolution and time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OCI services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Object Storage, Logging/Monitoring and approved service APIs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Enterprise services</w:t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 approved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Satellite/repositories, identity, scanning, backup and log collectors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4.3 IAM and governance</w:t>
      </w:r>
    </w:p>
    <w:p>
      <w:pPr>
        <w:pStyle w:val="ListBullet"/>
      </w:pPr>
      <w:r>
        <w:t>Create or select the dedicated Hyperscience POC compartment and separate ORM stack; do not reuse the DataWalk stack.</w:t>
      </w:r>
    </w:p>
    <w:p>
      <w:pPr>
        <w:pStyle w:val="ListBullet"/>
      </w:pPr>
      <w:r>
        <w:t>Grant the ORM dynamic group only the compartment-scoped permissions required to create the approved network, compute and block-volume resources.</w:t>
      </w:r>
    </w:p>
    <w:p>
      <w:pPr>
        <w:pStyle w:val="ListBullet"/>
      </w:pPr>
      <w:r>
        <w:t>Apply cost-center, application, environment, owner, data-classification and expiration tags; add budget alerts and a POC quota where approved.</w:t>
      </w:r>
    </w:p>
    <w:p>
      <w:pPr>
        <w:pStyle w:val="ListBullet"/>
      </w:pPr>
      <w:r>
        <w:t>Use Vault/KMS and approved secret handling. Do not place passwords, private keys, license keys or bundle URLs in Terraform variables or the repository.</w:t>
      </w:r>
    </w:p>
    <w:p>
      <w:r>
        <w:br w:type="page"/>
      </w:r>
    </w:p>
    <w:p>
      <w:pPr>
        <w:pStyle w:val="Heading1"/>
        <w:keepNext/>
      </w:pPr>
      <w:r>
        <w:t>5. Procedure A — Deploy the OCI foundation with ORM</w:t>
      </w:r>
    </w:p>
    <w:p>
      <w:pPr>
        <w:pStyle w:val="Heading2"/>
        <w:keepNext/>
      </w:pPr>
      <w:r>
        <w:t>5.1 Create the stack</w:t>
      </w:r>
    </w:p>
    <w:p>
      <w:pPr>
        <w:ind w:left="346" w:hanging="346"/>
      </w:pPr>
      <w:r>
        <w:rPr>
          <w:b/>
        </w:rPr>
        <w:t xml:space="preserve">1.  </w:t>
      </w:r>
      <w:r>
        <w:t>OCI Console → Developer Services → Resource Manager → Configuration Source Providers. Select the approved GitHub provider.</w:t>
      </w:r>
    </w:p>
    <w:p>
      <w:pPr>
        <w:ind w:left="346" w:hanging="346"/>
      </w:pPr>
      <w:r>
        <w:rPr>
          <w:b/>
        </w:rPr>
        <w:t xml:space="preserve">2.  </w:t>
      </w:r>
      <w:r>
        <w:t>Create a stack from repository oci-appdev/dwhs, branch main, working directory terraform/oci-vm-foundation.</w:t>
      </w:r>
    </w:p>
    <w:p>
      <w:pPr>
        <w:ind w:left="346" w:hanging="346"/>
      </w:pPr>
      <w:r>
        <w:rPr>
          <w:b/>
        </w:rPr>
        <w:t xml:space="preserve">3.  </w:t>
      </w:r>
      <w:r>
        <w:t>Place the stack in the approved infrastructure compartment and name it hs-poc-infrastructure.</w:t>
      </w:r>
    </w:p>
    <w:p>
      <w:pPr>
        <w:ind w:left="346" w:hanging="346"/>
      </w:pPr>
      <w:r>
        <w:rPr>
          <w:b/>
        </w:rPr>
        <w:t xml:space="preserve">4.  </w:t>
      </w:r>
      <w:r>
        <w:t>Select a supported Terraform version 1.2 or later and retain the generated configuration snapshot with the change ticket.</w:t>
      </w:r>
    </w:p>
    <w:p>
      <w:pPr>
        <w:pStyle w:val="Heading2"/>
        <w:keepNext/>
      </w:pPr>
      <w:r>
        <w:t>5.2 ORM input 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316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734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POC value / instruction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name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hs-poc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shape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VM.GPU.A10.2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instance_count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 — application and trainer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flex_ocpus / flex_memory_gb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Ignored for A10.2; leave defaults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boot_volume_gb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100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data_volume_gb / data_volume_vpus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600 / 20 initially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image_ocid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RHEL 8.10 x86_64 image compatible with A10.2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vcn_cidr / subnet_cidr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non-overlapping Hyperscience POC ranges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admin_cidr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Jump-host private /32 or approved admin CIDR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drg_ocid / drg_route_table_ocid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existing DRG and attachment route table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onprem_cidrs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Only explicit approved destinations; never 0.0.0.0/0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extra_rules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 from user CIDR and subnet CIDR; approved egress to enterprise endpoints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5.3 Plan and Apply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Run Plan; confirm exactly two A10.2 VMs, two 600 GB data volumes, private VNICs, one VCN/private subnet, NSG, Service Gateway and approved DRG routes.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Verify there is no public IP, Internet Gateway, NAT Gateway, open SSH or default route through the DRG.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cost and A10 service-limit consumption; attach Plan output and approvals to the change ticket.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Run Apply only after network, security, capacity and funding approvals; retain Apply output and ORM outputs.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Procedure B — Validate RHEL, storage and GPU</w:t>
      </w:r>
    </w:p>
    <w:p>
      <w:pPr>
        <w:pStyle w:val="Heading2"/>
        <w:keepNext/>
      </w:pPr>
      <w:r>
        <w:t>6.1 Identify and name the instances</w:t>
      </w:r>
    </w:p>
    <w:p>
      <w:r>
        <w:t>Record the ORM private IPs. Assign node 1 to hs-poc-app01 and node 2 to hs-poc-trn01, then create the private DNS records.</w:t>
      </w:r>
    </w:p>
    <w:p>
      <w:pPr>
        <w:pStyle w:val="Heading2"/>
        <w:keepNext/>
      </w:pPr>
      <w:r>
        <w:t>6.2 Baseline validation on both VMs</w:t>
      </w:r>
    </w:p>
    <w:p>
      <w:pPr>
        <w:pStyle w:val="Code"/>
      </w:pPr>
      <w:r>
        <w:t>cat /etc/redhat-release</w:t>
        <w:br/>
        <w:t>uname -r</w:t>
        <w:br/>
        <w:t>lscpu | egrep 'Architecture|CPU\(s\)|Model name'</w:t>
        <w:br/>
        <w:t>lsblk -o NAME,SIZE,TYPE,FSTYPE,MOUNTPOINTS</w:t>
        <w:br/>
        <w:t>swapon --show</w:t>
        <w:br/>
        <w:t>getenforce</w:t>
        <w:br/>
        <w:t>ip -br address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RHEL reports 8.10 x86_64; hostname, private IP and DNS forward/reverse records match the build record.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swap is active. If swap exists, disable it through the approved OS baseline before vendor installation.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DNS, NTP, repositories, logging and security endpoints are reachable without public Internet; required patches and agents are applied.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Prepare the attached block volume</w:t>
      </w:r>
    </w:p>
    <w:p>
      <w:r>
        <w:t>Identify the new empty 600 GB device with lsblk and the OCI attachment record. Stop if it contains a filesystem, partition table or data. Use the approved storage standard for these mounts.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8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Mount</w:t>
            </w:r>
          </w:p>
        </w:tc>
        <w:tc>
          <w:tcPr>
            <w:tcW w:type="dxa" w:w="28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Minimum planning allocation</w:t>
            </w:r>
          </w:p>
        </w:tc>
        <w:tc>
          <w:tcPr>
            <w:tcW w:type="dxa" w:w="47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/opt/hs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300 GB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Bundle download, extraction and deployment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/var/lib/containers</w:t>
            </w:r>
          </w:p>
        </w:tc>
        <w:tc>
          <w:tcPr>
            <w:tcW w:type="dxa" w:w="28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100 GB</w:t>
            </w:r>
          </w:p>
        </w:tc>
        <w:tc>
          <w:tcPr>
            <w:tcW w:type="dxa" w:w="47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Podman image and container storage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/mnt/hs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About 180 GB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Remaining capacity after filesystem overhead; application media or trainer_media, local to each VM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CE4D6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DESTRUCTIVE STEP  </w:t>
            </w:r>
            <w:r>
              <w:t>Partitioning and formatting erase the selected device. Require a second-person verification of the instance OCID, volume OCID and empty device path before executing the approved storage procedure.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6.4 GPU validation</w:t>
      </w:r>
    </w:p>
    <w:p>
      <w:pPr>
        <w:pStyle w:val="Code"/>
      </w:pPr>
      <w:r>
        <w:t>lspci | grep -i nvidia</w:t>
        <w:br/>
        <w:t>nvidia-smi -L</w:t>
        <w:br/>
        <w:t>nvidia-smi</w:t>
        <w:br/>
        <w:t>ls -l /dev/nvidia*</w:t>
      </w:r>
    </w:p>
    <w:p>
      <w:r>
        <w:t>Expected per VM: two healthy NVIDIA A10 devices, each with 24 GB VRAM. Record driver version and GPU UUIDs; the devices are not one pooled 48 GB GPU.</w:t>
      </w:r>
    </w:p>
    <w:p>
      <w:pPr>
        <w:pStyle w:val="Heading1"/>
        <w:keepNext/>
        <w:pageBreakBefore/>
      </w:pPr>
      <w:r>
        <w:t>7. Procedure C — Prepare Podman and GPU containers</w:t>
      </w:r>
    </w:p>
    <w:p>
      <w:pPr>
        <w:pStyle w:val="Heading2"/>
        <w:keepNext/>
      </w:pPr>
      <w:r>
        <w:t>7.1 Install the supported RHEL container runtime</w:t>
      </w:r>
    </w:p>
    <w:p>
      <w:r>
        <w:t>Use the Podman version included with the RHEL 8.10 GA repositories. Do not substitute Docker on RHEL and do not install a different Podman stream unless Hyperscience approves it in writing.</w:t>
      </w:r>
    </w:p>
    <w:p>
      <w:pPr>
        <w:pStyle w:val="Code"/>
      </w:pPr>
      <w:r>
        <w:t>sudo dnf module install -y container-tools</w:t>
        <w:br/>
        <w:t>sudo dnf install -y podman-docker podman-remote pciutils gcc kernel-devel-$(uname -r) kernel-headers-$(uname -r)</w:t>
        <w:br/>
        <w:t>sudo systemctl enable --now podman.socket</w:t>
        <w:br/>
        <w:t>sudo systemctl enable --now podman-restart.service</w:t>
        <w:br/>
        <w:t>podman version</w:t>
        <w:br/>
        <w:t>podman info</w:t>
      </w:r>
    </w:p>
    <w:p>
      <w:pPr>
        <w:pStyle w:val="Heading2"/>
        <w:keepNext/>
      </w:pPr>
      <w:r>
        <w:t>7.2 Install and configure NVIDIA support</w:t>
      </w:r>
    </w:p>
    <w:p>
      <w:pPr>
        <w:ind w:left="346" w:hanging="346"/>
      </w:pPr>
      <w:r>
        <w:rPr>
          <w:b/>
        </w:rPr>
        <w:t xml:space="preserve">1.  </w:t>
      </w:r>
      <w:r>
        <w:t>Confirm the Hyperscience release-specific driver floor. Application GPU support requires at least driver 525 for v41–v43.0 and at least 580 for v43.1 and later; the vendor's release matrix controls.</w:t>
      </w:r>
    </w:p>
    <w:p>
      <w:pPr>
        <w:ind w:left="346" w:hanging="346"/>
      </w:pPr>
      <w:r>
        <w:rPr>
          <w:b/>
        </w:rPr>
        <w:t xml:space="preserve">2.  </w:t>
      </w:r>
      <w:r>
        <w:t>Install the approved NVIDIA driver and NVIDIA Container Toolkit using the approved RHEL repositories and Hyperscience/NVIDIA procedure. Reboot only within the change window.</w:t>
      </w:r>
    </w:p>
    <w:p>
      <w:pPr>
        <w:ind w:left="346" w:hanging="346"/>
      </w:pPr>
      <w:r>
        <w:rPr>
          <w:b/>
        </w:rPr>
        <w:t xml:space="preserve">3.  </w:t>
      </w:r>
      <w:r>
        <w:t>Configure Podman CDI/NVIDIA runtime exactly as approved by Hyperscience. Verify that the runtime can expose both GPU devices to a test container.</w:t>
      </w:r>
    </w:p>
    <w:p>
      <w:pPr>
        <w:ind w:left="346" w:hanging="346"/>
      </w:pPr>
      <w:r>
        <w:rPr>
          <w:b/>
        </w:rPr>
        <w:t xml:space="preserve">4.  </w:t>
      </w:r>
      <w:r>
        <w:t>Freeze automatic kernel/driver changes for the POC window unless the security owner and Hyperscience approve the update and regression test.</w:t>
      </w:r>
    </w:p>
    <w:p>
      <w:pPr>
        <w:pStyle w:val="Code"/>
      </w:pPr>
      <w:r>
        <w:t>nvidia-smi</w:t>
        <w:br/>
        <w:t>nvidia-ctk --version</w:t>
        <w:br/>
        <w:t>podman info | egrep -i 'runtime|graphRoot|graphDriver'</w:t>
        <w:br/>
        <w:t>sudo nvidia-ctk cdi list</w:t>
      </w:r>
    </w:p>
    <w:p>
      <w:pPr>
        <w:pStyle w:val="Heading2"/>
        <w:keepNext/>
      </w:pPr>
      <w:r>
        <w:t>7.3 Create Hyperscience directories</w:t>
      </w:r>
    </w:p>
    <w:p>
      <w:pPr>
        <w:pStyle w:val="Code"/>
      </w:pPr>
      <w:r>
        <w:t>sudo mkdir -p /opt/hs /mnt/hs/media /mnt/hs/trainer_media /mnt/hs/certs</w:t>
        <w:br/>
        <w:t>sudo chown 1000:1000 /mnt/hs/media /mnt/hs/trainer_media</w:t>
        <w:br/>
        <w:t>sudo chmod 750 /opt/hs /mnt/hs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30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VM</w:t>
            </w:r>
          </w:p>
        </w:tc>
        <w:tc>
          <w:tcPr>
            <w:tcW w:type="dxa" w:w="34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Allowed local data path</w:t>
            </w:r>
          </w:p>
        </w:tc>
        <w:tc>
          <w:tcPr>
            <w:tcW w:type="dxa" w:w="47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Application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/mnt/hs/media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POC file store; do not mount trainer_media from another VM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</w:t>
            </w:r>
          </w:p>
        </w:tc>
        <w:tc>
          <w:tcPr>
            <w:tcW w:type="dxa" w:w="34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/mnt/hs/trainer_media</w:t>
            </w:r>
          </w:p>
        </w:tc>
        <w:tc>
          <w:tcPr>
            <w:tcW w:type="dxa" w:w="47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Trainer-only local storage and bundled local PostgreSQL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7.4 Platform readiness checkpoint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Podman starts at boot, uses overlay storage, has no unrelated containers and writes to the approved data volume.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 GPU-enabled test container sees the approved GPU devices; capture sanitized nvidia-smi and Podman evidence.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SELinux mode and required labels are documented; fapolicyd disposition and compensating controls are approved.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The vendor bundle and license are transferred through an approved internal path and checksum-verified; no secret is committed to GitHub or Terraform state.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pStyle w:val="Heading1"/>
        <w:keepNext/>
        <w:pageBreakBefore/>
      </w:pPr>
      <w:r>
        <w:t>8. Procedure D — Security, operations and vendor handoff</w:t>
      </w:r>
    </w:p>
    <w:p>
      <w:pPr>
        <w:pStyle w:val="Heading2"/>
        <w:keepNext/>
      </w:pPr>
      <w:r>
        <w:t>8.1 TLS and access</w:t>
      </w:r>
    </w:p>
    <w:p>
      <w:pPr>
        <w:pStyle w:val="ListBullet"/>
      </w:pPr>
      <w:r>
        <w:t>Use the internal application DNS name and TCP/443. Store the PEM certificate, key and enterprise CA chain in the approved protected location; do not place private keys in the repository.</w:t>
      </w:r>
    </w:p>
    <w:p>
      <w:pPr>
        <w:pStyle w:val="ListBullet"/>
      </w:pPr>
      <w:r>
        <w:t>Keep outbound certificate validation enabled and supply the enterprise CA bundle. Do not set HS_TLS_VERIFY_ENABLED=false as a workaround.</w:t>
      </w:r>
    </w:p>
    <w:p>
      <w:pPr>
        <w:pStyle w:val="ListBullet"/>
      </w:pPr>
      <w:r>
        <w:t>Limit SSH to the Windows jump host and named administrators. Normal users access only the private application URL.</w:t>
      </w:r>
    </w:p>
    <w:p>
      <w:pPr>
        <w:pStyle w:val="ListBullet"/>
      </w:pPr>
      <w:r>
        <w:t>Remove temporary TCP/80 after TLS validation. Do not expose the trainer to user networks.</w:t>
      </w:r>
    </w:p>
    <w:p>
      <w:pPr>
        <w:pStyle w:val="Heading2"/>
        <w:keepNext/>
      </w:pPr>
      <w:r>
        <w:t>8.2 Logging, monitoring and backup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08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842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POC implementation /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OCI Audit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Verify capture of ORM, Compute, VCN, volume, IAM and API changes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Host logs</w:t>
            </w:r>
          </w:p>
        </w:tc>
        <w:tc>
          <w:tcPr>
            <w:tcW w:type="dxa" w:w="842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Forward RHEL, SSH, sudo, Podman, NGINX and security-agent logs to the dedicated logging compartment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Metrics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CPU, memory, disk, filesystem, network, process/container, GPU utilization, VRAM, temperature and errors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Alarms</w:t>
            </w:r>
          </w:p>
        </w:tc>
        <w:tc>
          <w:tcPr>
            <w:tcW w:type="dxa" w:w="842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Instance down, disk &gt;80%, GPU error, log silence, backup failure and abnormal authentication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Backups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Boot/data volume backup policy during POC; protect and test restore before destructive testing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Retention</w:t>
            </w:r>
          </w:p>
        </w:tc>
        <w:tc>
          <w:tcPr>
            <w:tcW w:type="dxa" w:w="842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Apply approved POC evidence/log retention; application test data follows the approved destruction date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Vendor handoff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Private application and trainer DNS names/IPs; approved admin path; no public endpoints.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RHEL, kernel, Podman, NVIDIA driver/toolkit, GPU UUID and storage/mount inventory.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traffic matrix, TLS certificate path, enterprise CA bundle and temporary-rule expiry.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Hyperscience version, bundle checksum, license owner, application URL and installation window.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POC data classification, local PostgreSQL/file-store design, backup/restore responsibility and destruction date.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HANDOFF BOUNDARY  </w:t>
            </w:r>
            <w:r>
              <w:t>Infrastructure readiness does not equal application acceptance. Hyperscience owns the supported installation/configuration procedure and must confirm application-to-trainer connectivity, licensing and workload behavior.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</w:pPr>
      <w:r>
        <w:t>9. Acceptance, rollback and closeout</w:t>
      </w:r>
    </w:p>
    <w:p>
      <w:pPr>
        <w:pStyle w:val="Heading2"/>
        <w:keepNext/>
      </w:pPr>
      <w:r>
        <w:t>9.1 Infrastructure acceptance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037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9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Test</w:t>
            </w:r>
          </w:p>
        </w:tc>
        <w:tc>
          <w:tcPr>
            <w:tcW w:type="dxa" w:w="6379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Pass criterion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Isolation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Only Hyperscience POC resources exist; no DataWalk or production sharing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HS-I02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Private access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SSH works only through the jump host; no public IP or Internet path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Hybrid routing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Forward/return path crosses approved DRG and inspection; MTU test passes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HS-I04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DNS/TLS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Private name resolves; trusted TLS 1.2+ works on 443; temporary 80 removed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Compute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Both A10.2 VMs healthy with correct CPU/RAM and expected private IPs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HS-I06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GPU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Each VM reports two healthy A10 24 GB devices; approved driver/runtime test passes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Storage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600 GB data volume is allocated and mounts persist across reboot; trainer storage is local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HS-I08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Container runtime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Supported Podman starts at boot; GPU devices visible in approved test container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HS-I09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Security telemetry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Audit, OS, container and GPU evidence reaches approved logging/monitoring targets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HS-I10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Recovery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Approved backup completes and a documented restore test succeeds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HS-I11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Vendor readiness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Hyperscience accepts the platform checklist and starts the application install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9.2 Application POC evidence after vendor install</w:t>
      </w:r>
    </w:p>
    <w:p>
      <w:pPr>
        <w:pStyle w:val="ListBullet"/>
      </w:pPr>
      <w:r>
        <w:t>Application UI/API is reachable privately; license is accepted; health checks show no blocking errors.</w:t>
      </w:r>
    </w:p>
    <w:p>
      <w:pPr>
        <w:pStyle w:val="ListBullet"/>
      </w:pPr>
      <w:r>
        <w:t>Trainer authenticates to the application over the approved private TLS endpoint.</w:t>
      </w:r>
    </w:p>
    <w:p>
      <w:pPr>
        <w:pStyle w:val="ListBullet"/>
      </w:pPr>
      <w:r>
        <w:t>Approved structured and semi-structured samples process successfully; required model training completes.</w:t>
      </w:r>
    </w:p>
    <w:p>
      <w:pPr>
        <w:pStyle w:val="ListBullet"/>
      </w:pPr>
      <w:r>
        <w:t>Throughput, latency, CPU, memory, GPU, VRAM, disk and network metrics are captured against agreed targets.</w:t>
      </w:r>
    </w:p>
    <w:p>
      <w:pPr>
        <w:pStyle w:val="ListBullet"/>
      </w:pPr>
      <w:r>
        <w:t>Security scan, backup/restore, operator restart and failure-recovery tests pass or have documented remediation owners.</w:t>
      </w:r>
    </w:p>
    <w:p>
      <w:pPr>
        <w:pStyle w:val="Heading2"/>
        <w:keepNext/>
      </w:pPr>
      <w:r>
        <w:t>9.3 Rollback and teardown</w:t>
      </w:r>
    </w:p>
    <w:p>
      <w:pPr>
        <w:ind w:left="346" w:hanging="346"/>
      </w:pPr>
      <w:r>
        <w:rPr>
          <w:b/>
        </w:rPr>
        <w:t xml:space="preserve">1.  </w:t>
      </w:r>
      <w:r>
        <w:t>Stop testing and preserve sanitized logs, metrics, configuration and failure evidence. Do not destroy resources needed for root-cause analysis.</w:t>
      </w:r>
    </w:p>
    <w:p>
      <w:pPr>
        <w:ind w:left="346" w:hanging="346"/>
      </w:pPr>
      <w:r>
        <w:rPr>
          <w:b/>
        </w:rPr>
        <w:t xml:space="preserve">2.  </w:t>
      </w:r>
      <w:r>
        <w:t>If application readiness fails, revert the last approved OS/driver/runtime change or restore the validated boot/data-volume backup.</w:t>
      </w:r>
    </w:p>
    <w:p>
      <w:pPr>
        <w:ind w:left="346" w:hanging="346"/>
      </w:pPr>
      <w:r>
        <w:rPr>
          <w:b/>
        </w:rPr>
        <w:t xml:space="preserve">3.  </w:t>
      </w:r>
      <w:r>
        <w:t>For full teardown, obtain project, security and data-owner approval; revoke the license/token, securely remove POC data and verify backup-retention requirements.</w:t>
      </w:r>
    </w:p>
    <w:p>
      <w:pPr>
        <w:ind w:left="346" w:hanging="346"/>
      </w:pPr>
      <w:r>
        <w:rPr>
          <w:b/>
        </w:rPr>
        <w:t xml:space="preserve">4.  </w:t>
      </w:r>
      <w:r>
        <w:t>Run ORM Destroy Plan, verify that only the hs-poc stack resources are targeted, obtain approval, then Apply Destroy. Confirm detached volumes, backups, DNS records, firewall rules and temporary IAM grants are removed or intentionally retained.</w:t>
      </w:r>
    </w:p>
    <w:p>
      <w:pPr>
        <w:pStyle w:val="Heading1"/>
        <w:keepNext/>
        <w:pageBreakBefore/>
      </w:pPr>
      <w:r>
        <w:t>10. Execution log and references</w:t>
      </w:r>
    </w:p>
    <w:p>
      <w:pPr>
        <w:pStyle w:val="Heading2"/>
        <w:keepNext/>
      </w:pPr>
      <w:r>
        <w:t>10.1 Execution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Date/time</w:t>
            </w:r>
          </w:p>
        </w:tc>
        <w:tc>
          <w:tcPr>
            <w:tcW w:type="dxa" w:w="187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Operator</w:t>
            </w:r>
          </w:p>
        </w:tc>
        <w:tc>
          <w:tcPr>
            <w:tcW w:type="dxa" w:w="316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Step / change</w:t>
            </w:r>
          </w:p>
        </w:tc>
        <w:tc>
          <w:tcPr>
            <w:tcW w:type="dxa" w:w="352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 / evidence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10.2 Final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4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432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</w:tr>
      <w:tr>
        <w:trPr>
          <w:cantSplit/>
        </w:trPr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infrastructure lead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Network lead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Security / ATO lead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technical lead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Project owner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10.3 Authoritative references</w:t>
      </w:r>
    </w:p>
    <w:p>
      <w:pPr>
        <w:spacing w:after="40"/>
      </w:pPr>
      <w:r>
        <w:t>[R1] Hyperscience — TVE (POC) Infrastructure Requirements: https://help.hyperscience.ai/deployment/docs/tve-poc-infrastructure-requirements</w:t>
      </w:r>
    </w:p>
    <w:p>
      <w:pPr>
        <w:spacing w:after="40"/>
      </w:pPr>
      <w:r>
        <w:t>[R2] Hyperscience — TVE (POC) Installation Instructions: https://help.hyperscience.ai/deployment/docs/tve-poc-installation-instructions</w:t>
      </w:r>
    </w:p>
    <w:p>
      <w:pPr>
        <w:spacing w:after="40"/>
      </w:pPr>
      <w:r>
        <w:t>[R3] Hyperscience — Infrastructure Requirements: https://help.hyperscience.ai/deployment/docs/infrastructure-requirements</w:t>
      </w:r>
    </w:p>
    <w:p>
      <w:pPr>
        <w:spacing w:after="40"/>
      </w:pPr>
      <w:r>
        <w:t>[R4] Hyperscience — Configuring Podman in RHEL 8: https://help.hyperscience.ai/deployment/docs/configuring-podman-in-rhel-8</w:t>
      </w:r>
    </w:p>
    <w:p>
      <w:pPr>
        <w:spacing w:after="40"/>
      </w:pPr>
      <w:r>
        <w:t>[R5] Hyperscience — Enabling Application Machines with GPUs in Podman: https://help.hyperscience.ai/deployment/docs/enabling-application-machines-with-gpus-in-on-premise-podman-deployments</w:t>
      </w:r>
    </w:p>
    <w:p>
      <w:pPr>
        <w:spacing w:after="40"/>
      </w:pPr>
      <w:r>
        <w:t>[R6] Hyperscience — Enabling Trainers with GPUs in Podman: https://help.hyperscience.ai/deployment/docs/enabling-trainers-with-gpus-in-on-premise-podman-deployments</w:t>
      </w:r>
    </w:p>
    <w:p>
      <w:pPr>
        <w:spacing w:after="40"/>
      </w:pPr>
      <w:r>
        <w:t>[R7] Hyperscience — Security: https://help.hyperscience.ai/deployment/docs/security</w:t>
      </w:r>
    </w:p>
    <w:p>
      <w:pPr>
        <w:spacing w:after="40"/>
      </w:pPr>
      <w:r>
        <w:t>[R8] Oracle — Compute Shapes: https://docs.oracle.com/en-us/iaas/Content/Compute/References/computeshapes.htm</w:t>
      </w:r>
    </w:p>
    <w:p>
      <w:pPr>
        <w:spacing w:after="40"/>
      </w:pPr>
      <w:r>
        <w:t>[R9] Project IaC — https://github.com/oci-appdev/dwhs/tree/main/terraform/oci-vm-foundation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D9EAF7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DOCUMENT CONTROL  </w:t>
            </w:r>
            <w:r>
              <w:t>Record every deviation in the execution log and obtain the responsible owner's approval before continuing. Vendor documentation and the approved change record take precedence over illustrative values in this runbook.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Hyperscience POC — Nonproduction Only   •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HYPERSCIENCE OCI POC  |  INFRASTRUCTURE BUILD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after="60"/>
      <w:ind w:left="288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Hyperscience OCI POC Infrastructure Build Runbook</dc:title>
  <dc:subject>Dedicated Hyperscience Dev/Test-equivalent infrastructure build on OCI VM.GPU.A10.2</dc:subject>
  <dc:creator>John Nguyen-Tran / OCI POC Team</dc:creator>
  <cp:keywords>OCI, Hyperscience, POC, A10.2, GPU, RHEL 8.10, Podman, Resource Manager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