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OCI to Azure POC Migration Plan and Timeline</w:t>
      </w:r>
    </w:p>
    <w:p>
      <w:pPr>
        <w:pStyle w:val="Subtitle"/>
      </w:pPr>
      <w:r>
        <w:t>DataWalk and Hyperscience</w:t>
      </w:r>
    </w:p>
    <w:p>
      <w:r>
        <w:t>21 September 2026  |  Proposal for review</w:t>
      </w:r>
    </w:p>
    <w:p>
      <w:r>
        <w:t>We propose relocating the planned DataWalk and Hyperscience proof of concept from Oracle Cloud Infrastructure to Azure Government. The POC will preserve separate application clusters, private enterprise connectivity and controlled document exchange. The recommended approach is a clean Azure build followed by application installation and test-data loading, rather than a direct migration of partially built OCI virtual machines.</w:t>
      </w:r>
    </w:p>
    <w:p>
      <w:r>
        <w:rPr>
          <w:b/>
        </w:rPr>
        <w:t xml:space="preserve">Target completion: 13 November 2026. </w:t>
      </w:r>
      <w:r>
        <w:t xml:space="preserve">Management contingency: 4 December 2026. </w:t>
      </w:r>
    </w:p>
    <w:p>
      <w:r>
        <w:t>The target date assumes an approved Azure Government subscription, existing private connectivity, available GPU capacity and quota, and written vendor confirmation during the first week.</w:t>
      </w:r>
    </w:p>
    <w:p>
      <w:pPr>
        <w:pStyle w:val="Heading1"/>
      </w:pPr>
      <w:r>
        <w:t>Decision and Scope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7992"/>
      </w:tblGrid>
      <w:tr>
        <w:trPr>
          <w:cantSplit/>
          <w:tblHeader/>
        </w:trPr>
        <w:tc>
          <w:tcPr>
            <w:tcW w:type="dxa" w:w="2088"/>
            <w:vAlign w:val="center"/>
            <w:tcMar>
              <w:top w:w="100" w:type="dxa"/>
              <w:bottom w:w="100" w:type="dxa"/>
              <w:left w:w="100" w:type="dxa"/>
              <w:right w:w="100" w:type="dxa"/>
            </w:tcMar>
            <w:shd w:fill="203864"/>
          </w:tcPr>
          <w:p>
            <w:pPr>
              <w:spacing w:after="0" w:line="245" w:lineRule="auto"/>
            </w:pPr>
            <w:r>
              <w:rPr>
                <w:b/>
                <w:color w:val="FFFFFF"/>
                <w:sz w:val="20"/>
              </w:rPr>
              <w:t>Area</w:t>
            </w:r>
          </w:p>
        </w:tc>
        <w:tc>
          <w:tcPr>
            <w:tcW w:type="dxa" w:w="7992"/>
            <w:vAlign w:val="center"/>
            <w:tcMar>
              <w:top w:w="100" w:type="dxa"/>
              <w:bottom w:w="100" w:type="dxa"/>
              <w:left w:w="100" w:type="dxa"/>
              <w:right w:w="100" w:type="dxa"/>
            </w:tcMar>
            <w:shd w:fill="203864"/>
          </w:tcPr>
          <w:p>
            <w:pPr>
              <w:spacing w:after="0" w:line="245" w:lineRule="auto"/>
            </w:pPr>
            <w:r>
              <w:rPr>
                <w:b/>
                <w:color w:val="FFFFFF"/>
                <w:sz w:val="20"/>
              </w:rPr>
              <w:t>POC decision</w:t>
            </w:r>
          </w:p>
        </w:tc>
      </w:tr>
      <w:tr>
        <w:trPr>
          <w:cantSplit/>
        </w:trPr>
        <w:tc>
          <w:tcPr>
            <w:tcW w:type="dxa" w:w="2088"/>
            <w:vAlign w:val="center"/>
            <w:tcMar>
              <w:top w:w="100" w:type="dxa"/>
              <w:bottom w:w="100" w:type="dxa"/>
              <w:left w:w="100" w:type="dxa"/>
              <w:right w:w="100" w:type="dxa"/>
            </w:tcMar>
            <w:shd w:fill="FFFFFF"/>
          </w:tcPr>
          <w:p>
            <w:pPr>
              <w:spacing w:after="0" w:line="245" w:lineRule="auto"/>
            </w:pPr>
            <w:r>
              <w:rPr>
                <w:b w:val="0"/>
                <w:color w:val="000000"/>
                <w:sz w:val="20"/>
              </w:rPr>
              <w:t>Cloud</w:t>
            </w:r>
          </w:p>
        </w:tc>
        <w:tc>
          <w:tcPr>
            <w:tcW w:type="dxa" w:w="7992"/>
            <w:vAlign w:val="center"/>
            <w:tcMar>
              <w:top w:w="100" w:type="dxa"/>
              <w:bottom w:w="100" w:type="dxa"/>
              <w:left w:w="100" w:type="dxa"/>
              <w:right w:w="100" w:type="dxa"/>
            </w:tcMar>
            <w:shd w:fill="FFFFFF"/>
          </w:tcPr>
          <w:p>
            <w:pPr>
              <w:spacing w:after="0" w:line="245" w:lineRule="auto"/>
            </w:pPr>
            <w:r>
              <w:rPr>
                <w:b w:val="0"/>
                <w:color w:val="000000"/>
                <w:sz w:val="20"/>
              </w:rPr>
              <w:t>Azure Government in an approved region and subscription.</w:t>
            </w:r>
          </w:p>
        </w:tc>
      </w:tr>
      <w:tr>
        <w:trPr>
          <w:cantSplit/>
        </w:trPr>
        <w:tc>
          <w:tcPr>
            <w:tcW w:type="dxa" w:w="2088"/>
            <w:vAlign w:val="center"/>
            <w:tcMar>
              <w:top w:w="100" w:type="dxa"/>
              <w:bottom w:w="100" w:type="dxa"/>
              <w:left w:w="100" w:type="dxa"/>
              <w:right w:w="100" w:type="dxa"/>
            </w:tcMar>
            <w:shd w:fill="F2F6FA"/>
          </w:tcPr>
          <w:p>
            <w:pPr>
              <w:spacing w:after="0" w:line="245" w:lineRule="auto"/>
            </w:pPr>
            <w:r>
              <w:rPr>
                <w:b w:val="0"/>
                <w:color w:val="000000"/>
                <w:sz w:val="20"/>
              </w:rPr>
              <w:t>DataWalk</w:t>
            </w:r>
          </w:p>
        </w:tc>
        <w:tc>
          <w:tcPr>
            <w:tcW w:type="dxa" w:w="7992"/>
            <w:vAlign w:val="center"/>
            <w:tcMar>
              <w:top w:w="100" w:type="dxa"/>
              <w:bottom w:w="100" w:type="dxa"/>
              <w:left w:w="100" w:type="dxa"/>
              <w:right w:w="100" w:type="dxa"/>
            </w:tcMar>
            <w:shd w:fill="F2F6FA"/>
          </w:tcPr>
          <w:p>
            <w:pPr>
              <w:spacing w:after="0" w:line="245" w:lineRule="auto"/>
            </w:pPr>
            <w:r>
              <w:rPr>
                <w:b w:val="0"/>
                <w:color w:val="000000"/>
                <w:sz w:val="20"/>
              </w:rPr>
              <w:t>One Dev-equivalent environment on a dedicated three-node CPU VM and Kubernetes cluster. DataWalk does not share workers with Hyperscience.</w:t>
            </w:r>
          </w:p>
        </w:tc>
      </w:tr>
      <w:tr>
        <w:trPr>
          <w:cantSplit/>
        </w:trPr>
        <w:tc>
          <w:tcPr>
            <w:tcW w:type="dxa" w:w="2088"/>
            <w:vAlign w:val="center"/>
            <w:tcMar>
              <w:top w:w="100" w:type="dxa"/>
              <w:bottom w:w="100" w:type="dxa"/>
              <w:left w:w="100" w:type="dxa"/>
              <w:right w:w="100" w:type="dxa"/>
            </w:tcMar>
            <w:shd w:fill="FFFFFF"/>
          </w:tcPr>
          <w:p>
            <w:pPr>
              <w:spacing w:after="0" w:line="245" w:lineRule="auto"/>
            </w:pPr>
            <w:r>
              <w:rPr>
                <w:b w:val="0"/>
                <w:color w:val="000000"/>
                <w:sz w:val="20"/>
              </w:rPr>
              <w:t>Hyperscience</w:t>
            </w:r>
          </w:p>
        </w:tc>
        <w:tc>
          <w:tcPr>
            <w:tcW w:type="dxa" w:w="7992"/>
            <w:vAlign w:val="center"/>
            <w:tcMar>
              <w:top w:w="100" w:type="dxa"/>
              <w:bottom w:w="100" w:type="dxa"/>
              <w:left w:w="100" w:type="dxa"/>
              <w:right w:w="100" w:type="dxa"/>
            </w:tcMar>
            <w:shd w:fill="FFFFFF"/>
          </w:tcPr>
          <w:p>
            <w:pPr>
              <w:spacing w:after="0" w:line="245" w:lineRule="auto"/>
            </w:pPr>
            <w:r>
              <w:rPr>
                <w:b w:val="0"/>
                <w:color w:val="000000"/>
                <w:sz w:val="20"/>
              </w:rPr>
              <w:t>One Dev-equivalent environment on separate GPU VM and Kubernetes capacity. CPU platform roles remain separate when required by the vendor.</w:t>
            </w:r>
          </w:p>
        </w:tc>
      </w:tr>
      <w:tr>
        <w:trPr>
          <w:cantSplit/>
        </w:trPr>
        <w:tc>
          <w:tcPr>
            <w:tcW w:type="dxa" w:w="2088"/>
            <w:vAlign w:val="center"/>
            <w:tcMar>
              <w:top w:w="100" w:type="dxa"/>
              <w:bottom w:w="100" w:type="dxa"/>
              <w:left w:w="100" w:type="dxa"/>
              <w:right w:w="100" w:type="dxa"/>
            </w:tcMar>
            <w:shd w:fill="F2F6FA"/>
          </w:tcPr>
          <w:p>
            <w:pPr>
              <w:spacing w:after="0" w:line="245" w:lineRule="auto"/>
            </w:pPr>
            <w:r>
              <w:rPr>
                <w:b w:val="0"/>
                <w:color w:val="000000"/>
                <w:sz w:val="20"/>
              </w:rPr>
              <w:t>Data</w:t>
            </w:r>
          </w:p>
        </w:tc>
        <w:tc>
          <w:tcPr>
            <w:tcW w:type="dxa" w:w="7992"/>
            <w:vAlign w:val="center"/>
            <w:tcMar>
              <w:top w:w="100" w:type="dxa"/>
              <w:bottom w:w="100" w:type="dxa"/>
              <w:left w:w="100" w:type="dxa"/>
              <w:right w:w="100" w:type="dxa"/>
            </w:tcMar>
            <w:shd w:fill="F2F6FA"/>
          </w:tcPr>
          <w:p>
            <w:pPr>
              <w:spacing w:after="0" w:line="245" w:lineRule="auto"/>
            </w:pPr>
            <w:r>
              <w:rPr>
                <w:b w:val="0"/>
                <w:color w:val="000000"/>
                <w:sz w:val="20"/>
              </w:rPr>
              <w:t>Approved representative test data only. Production migration and cutover remain outside this POC.</w:t>
            </w:r>
          </w:p>
        </w:tc>
      </w:tr>
      <w:tr>
        <w:trPr>
          <w:cantSplit/>
        </w:trPr>
        <w:tc>
          <w:tcPr>
            <w:tcW w:type="dxa" w:w="2088"/>
            <w:vAlign w:val="center"/>
            <w:tcMar>
              <w:top w:w="100" w:type="dxa"/>
              <w:bottom w:w="100" w:type="dxa"/>
              <w:left w:w="100" w:type="dxa"/>
              <w:right w:w="100" w:type="dxa"/>
            </w:tcMar>
            <w:shd w:fill="FFFFFF"/>
          </w:tcPr>
          <w:p>
            <w:pPr>
              <w:spacing w:after="0" w:line="245" w:lineRule="auto"/>
            </w:pPr>
            <w:r>
              <w:rPr>
                <w:b w:val="0"/>
                <w:color w:val="000000"/>
                <w:sz w:val="20"/>
              </w:rPr>
              <w:t>Connectivity</w:t>
            </w:r>
          </w:p>
        </w:tc>
        <w:tc>
          <w:tcPr>
            <w:tcW w:type="dxa" w:w="7992"/>
            <w:vAlign w:val="center"/>
            <w:tcMar>
              <w:top w:w="100" w:type="dxa"/>
              <w:bottom w:w="100" w:type="dxa"/>
              <w:left w:w="100" w:type="dxa"/>
              <w:right w:w="100" w:type="dxa"/>
            </w:tcMar>
            <w:shd w:fill="FFFFFF"/>
          </w:tcPr>
          <w:p>
            <w:pPr>
              <w:spacing w:after="0" w:line="245" w:lineRule="auto"/>
            </w:pPr>
            <w:r>
              <w:rPr>
                <w:b w:val="0"/>
                <w:color w:val="000000"/>
                <w:sz w:val="20"/>
              </w:rPr>
              <w:t>Private access through the enterprise hub and ExpressRoute. Administration uses the approved on-premises Windows jump host.</w:t>
            </w:r>
          </w:p>
        </w:tc>
      </w:tr>
      <w:tr>
        <w:trPr>
          <w:cantSplit/>
        </w:trPr>
        <w:tc>
          <w:tcPr>
            <w:tcW w:type="dxa" w:w="2088"/>
            <w:vAlign w:val="center"/>
            <w:tcMar>
              <w:top w:w="100" w:type="dxa"/>
              <w:bottom w:w="100" w:type="dxa"/>
              <w:left w:w="100" w:type="dxa"/>
              <w:right w:w="100" w:type="dxa"/>
            </w:tcMar>
            <w:shd w:fill="F2F6FA"/>
          </w:tcPr>
          <w:p>
            <w:pPr>
              <w:spacing w:after="0" w:line="245" w:lineRule="auto"/>
            </w:pPr>
            <w:r>
              <w:rPr>
                <w:b w:val="0"/>
                <w:color w:val="000000"/>
                <w:sz w:val="20"/>
              </w:rPr>
              <w:t>Outcome</w:t>
            </w:r>
          </w:p>
        </w:tc>
        <w:tc>
          <w:tcPr>
            <w:tcW w:type="dxa" w:w="7992"/>
            <w:vAlign w:val="center"/>
            <w:tcMar>
              <w:top w:w="100" w:type="dxa"/>
              <w:bottom w:w="100" w:type="dxa"/>
              <w:left w:w="100" w:type="dxa"/>
              <w:right w:w="100" w:type="dxa"/>
            </w:tcMar>
            <w:shd w:fill="F2F6FA"/>
          </w:tcPr>
          <w:p>
            <w:pPr>
              <w:spacing w:after="0" w:line="245" w:lineRule="auto"/>
            </w:pPr>
            <w:r>
              <w:rPr>
                <w:b w:val="0"/>
                <w:color w:val="000000"/>
                <w:sz w:val="20"/>
              </w:rPr>
              <w:t>A documented proceed, remediate and retest, or stop recommendation based on supportability, security, performance, recovery and cost evidence.</w:t>
            </w:r>
          </w:p>
        </w:tc>
      </w:tr>
    </w:tbl>
    <w:p>
      <w:r>
        <w:br w:type="page"/>
      </w:r>
    </w:p>
    <w:p>
      <w:pPr>
        <w:pStyle w:val="Heading1"/>
      </w:pPr>
      <w:r>
        <w:t>Azure Planning Basis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848"/>
      </w:tblGrid>
      <w:tr>
        <w:trPr>
          <w:cantSplit/>
          <w:tblHeader/>
        </w:trPr>
        <w:tc>
          <w:tcPr>
            <w:tcW w:type="dxa" w:w="2232"/>
            <w:vAlign w:val="center"/>
            <w:tcMar>
              <w:top w:w="100" w:type="dxa"/>
              <w:bottom w:w="100" w:type="dxa"/>
              <w:left w:w="100" w:type="dxa"/>
              <w:right w:w="100" w:type="dxa"/>
            </w:tcMar>
            <w:shd w:fill="203864"/>
          </w:tcPr>
          <w:p>
            <w:pPr>
              <w:spacing w:after="0" w:line="245" w:lineRule="auto"/>
            </w:pPr>
            <w:r>
              <w:rPr>
                <w:b/>
                <w:color w:val="FFFFFF"/>
                <w:sz w:val="19"/>
              </w:rPr>
              <w:t>Component</w:t>
            </w:r>
          </w:p>
        </w:tc>
        <w:tc>
          <w:tcPr>
            <w:tcW w:type="dxa" w:w="7848"/>
            <w:vAlign w:val="center"/>
            <w:tcMar>
              <w:top w:w="100" w:type="dxa"/>
              <w:bottom w:w="100" w:type="dxa"/>
              <w:left w:w="100" w:type="dxa"/>
              <w:right w:w="100" w:type="dxa"/>
            </w:tcMar>
            <w:shd w:fill="203864"/>
          </w:tcPr>
          <w:p>
            <w:pPr>
              <w:spacing w:after="0" w:line="245" w:lineRule="auto"/>
            </w:pPr>
            <w:r>
              <w:rPr>
                <w:b/>
                <w:color w:val="FFFFFF"/>
                <w:sz w:val="19"/>
              </w:rPr>
              <w:t>Proposed Azure implementation</w:t>
            </w:r>
          </w:p>
        </w:tc>
      </w:tr>
      <w:tr>
        <w:trPr>
          <w:cantSplit/>
        </w:trPr>
        <w:tc>
          <w:tcPr>
            <w:tcW w:type="dxa" w:w="2232"/>
            <w:vAlign w:val="center"/>
            <w:tcMar>
              <w:top w:w="100" w:type="dxa"/>
              <w:bottom w:w="100" w:type="dxa"/>
              <w:left w:w="100" w:type="dxa"/>
              <w:right w:w="100" w:type="dxa"/>
            </w:tcMar>
            <w:shd w:fill="FFFFFF"/>
          </w:tcPr>
          <w:p>
            <w:pPr>
              <w:spacing w:after="0" w:line="245" w:lineRule="auto"/>
            </w:pPr>
            <w:r>
              <w:rPr>
                <w:b w:val="0"/>
                <w:color w:val="000000"/>
                <w:sz w:val="19"/>
              </w:rPr>
              <w:t>DataWalk compute</w:t>
            </w:r>
          </w:p>
        </w:tc>
        <w:tc>
          <w:tcPr>
            <w:tcW w:type="dxa" w:w="7848"/>
            <w:vAlign w:val="center"/>
            <w:tcMar>
              <w:top w:w="100" w:type="dxa"/>
              <w:bottom w:w="100" w:type="dxa"/>
              <w:left w:w="100" w:type="dxa"/>
              <w:right w:w="100" w:type="dxa"/>
            </w:tcMar>
            <w:shd w:fill="FFFFFF"/>
          </w:tcPr>
          <w:p>
            <w:pPr>
              <w:spacing w:after="0" w:line="245" w:lineRule="auto"/>
            </w:pPr>
            <w:r>
              <w:rPr>
                <w:b w:val="0"/>
                <w:color w:val="000000"/>
                <w:sz w:val="19"/>
              </w:rPr>
              <w:t>Standard_E16as_v5 is the initial sizing candidate for each worker because it provides 16 vCPUs and 128 GiB memory. Final worker count, disk IOPS and throughput require DataWalk approval.</w:t>
            </w:r>
          </w:p>
        </w:tc>
      </w:tr>
      <w:tr>
        <w:trPr>
          <w:cantSplit/>
        </w:trPr>
        <w:tc>
          <w:tcPr>
            <w:tcW w:type="dxa" w:w="2232"/>
            <w:vAlign w:val="center"/>
            <w:tcMar>
              <w:top w:w="100" w:type="dxa"/>
              <w:bottom w:w="100" w:type="dxa"/>
              <w:left w:w="100" w:type="dxa"/>
              <w:right w:w="100" w:type="dxa"/>
            </w:tcMar>
            <w:shd w:fill="F2F6FA"/>
          </w:tcPr>
          <w:p>
            <w:pPr>
              <w:spacing w:after="0" w:line="245" w:lineRule="auto"/>
            </w:pPr>
            <w:r>
              <w:rPr>
                <w:b w:val="0"/>
                <w:color w:val="000000"/>
                <w:sz w:val="19"/>
              </w:rPr>
              <w:t>Hyperscience GPU</w:t>
            </w:r>
          </w:p>
        </w:tc>
        <w:tc>
          <w:tcPr>
            <w:tcW w:type="dxa" w:w="7848"/>
            <w:vAlign w:val="center"/>
            <w:tcMar>
              <w:top w:w="100" w:type="dxa"/>
              <w:bottom w:w="100" w:type="dxa"/>
              <w:left w:w="100" w:type="dxa"/>
              <w:right w:w="100" w:type="dxa"/>
            </w:tcMar>
            <w:shd w:fill="F2F6FA"/>
          </w:tcPr>
          <w:p>
            <w:pPr>
              <w:spacing w:after="0" w:line="245" w:lineRule="auto"/>
            </w:pPr>
            <w:r>
              <w:rPr>
                <w:b w:val="0"/>
                <w:color w:val="000000"/>
                <w:sz w:val="19"/>
              </w:rPr>
              <w:t>Standard_NV72ads_A10_v5 is the closest candidate by GPU count to OCI VM.GPU.A10.2 because it provides two NVIDIA A10 GPUs. Validate Azure Government availability, quota, CUDA and driver compatibility, and Hyperscience support before deployment.</w:t>
            </w:r>
          </w:p>
        </w:tc>
      </w:tr>
      <w:tr>
        <w:trPr>
          <w:cantSplit/>
        </w:trPr>
        <w:tc>
          <w:tcPr>
            <w:tcW w:type="dxa" w:w="2232"/>
            <w:vAlign w:val="center"/>
            <w:tcMar>
              <w:top w:w="100" w:type="dxa"/>
              <w:bottom w:w="100" w:type="dxa"/>
              <w:left w:w="100" w:type="dxa"/>
              <w:right w:w="100" w:type="dxa"/>
            </w:tcMar>
            <w:shd w:fill="FFFFFF"/>
          </w:tcPr>
          <w:p>
            <w:pPr>
              <w:spacing w:after="0" w:line="245" w:lineRule="auto"/>
            </w:pPr>
            <w:r>
              <w:rPr>
                <w:b w:val="0"/>
                <w:color w:val="000000"/>
                <w:sz w:val="19"/>
              </w:rPr>
              <w:t>Operating system</w:t>
            </w:r>
          </w:p>
        </w:tc>
        <w:tc>
          <w:tcPr>
            <w:tcW w:type="dxa" w:w="7848"/>
            <w:vAlign w:val="center"/>
            <w:tcMar>
              <w:top w:w="100" w:type="dxa"/>
              <w:bottom w:w="100" w:type="dxa"/>
              <w:left w:w="100" w:type="dxa"/>
              <w:right w:w="100" w:type="dxa"/>
            </w:tcMar>
            <w:shd w:fill="FFFFFF"/>
          </w:tcPr>
          <w:p>
            <w:pPr>
              <w:spacing w:after="0" w:line="245" w:lineRule="auto"/>
            </w:pPr>
            <w:r>
              <w:rPr>
                <w:b w:val="0"/>
                <w:color w:val="000000"/>
                <w:sz w:val="19"/>
              </w:rPr>
              <w:t>RHEL 8.10 x86-64 is the planning assumption for self-managed Kubernetes VMs. Each vendor must approve the exact OS and Kubernetes release. Managed AKS requires a separately supported node image decision.</w:t>
            </w:r>
          </w:p>
        </w:tc>
      </w:tr>
      <w:tr>
        <w:trPr>
          <w:cantSplit/>
        </w:trPr>
        <w:tc>
          <w:tcPr>
            <w:tcW w:type="dxa" w:w="2232"/>
            <w:vAlign w:val="center"/>
            <w:tcMar>
              <w:top w:w="100" w:type="dxa"/>
              <w:bottom w:w="100" w:type="dxa"/>
              <w:left w:w="100" w:type="dxa"/>
              <w:right w:w="100" w:type="dxa"/>
            </w:tcMar>
            <w:shd w:fill="F2F6FA"/>
          </w:tcPr>
          <w:p>
            <w:pPr>
              <w:spacing w:after="0" w:line="245" w:lineRule="auto"/>
            </w:pPr>
            <w:r>
              <w:rPr>
                <w:b w:val="0"/>
                <w:color w:val="000000"/>
                <w:sz w:val="19"/>
              </w:rPr>
              <w:t>Network</w:t>
            </w:r>
          </w:p>
        </w:tc>
        <w:tc>
          <w:tcPr>
            <w:tcW w:type="dxa" w:w="7848"/>
            <w:vAlign w:val="center"/>
            <w:tcMar>
              <w:top w:w="100" w:type="dxa"/>
              <w:bottom w:w="100" w:type="dxa"/>
              <w:left w:w="100" w:type="dxa"/>
              <w:right w:w="100" w:type="dxa"/>
            </w:tcMar>
            <w:shd w:fill="F2F6FA"/>
          </w:tcPr>
          <w:p>
            <w:pPr>
              <w:spacing w:after="0" w:line="245" w:lineRule="auto"/>
            </w:pPr>
            <w:r>
              <w:rPr>
                <w:b w:val="0"/>
                <w:color w:val="000000"/>
                <w:sz w:val="19"/>
              </w:rPr>
              <w:t>Dedicated application spoke VNets connected to the enterprise hub. Use NSGs, user-defined routes, private DNS and enterprise firewall inspection. Do not assign public IP addresses to application VMs.</w:t>
            </w:r>
          </w:p>
        </w:tc>
      </w:tr>
      <w:tr>
        <w:trPr>
          <w:cantSplit/>
        </w:trPr>
        <w:tc>
          <w:tcPr>
            <w:tcW w:type="dxa" w:w="2232"/>
            <w:vAlign w:val="center"/>
            <w:tcMar>
              <w:top w:w="100" w:type="dxa"/>
              <w:bottom w:w="100" w:type="dxa"/>
              <w:left w:w="100" w:type="dxa"/>
              <w:right w:w="100" w:type="dxa"/>
            </w:tcMar>
            <w:shd w:fill="FFFFFF"/>
          </w:tcPr>
          <w:p>
            <w:pPr>
              <w:spacing w:after="0" w:line="245" w:lineRule="auto"/>
            </w:pPr>
            <w:r>
              <w:rPr>
                <w:b w:val="0"/>
                <w:color w:val="000000"/>
                <w:sz w:val="19"/>
              </w:rPr>
              <w:t>Application entry</w:t>
            </w:r>
          </w:p>
        </w:tc>
        <w:tc>
          <w:tcPr>
            <w:tcW w:type="dxa" w:w="7848"/>
            <w:vAlign w:val="center"/>
            <w:tcMar>
              <w:top w:w="100" w:type="dxa"/>
              <w:bottom w:w="100" w:type="dxa"/>
              <w:left w:w="100" w:type="dxa"/>
              <w:right w:w="100" w:type="dxa"/>
            </w:tcMar>
            <w:shd w:fill="FFFFFF"/>
          </w:tcPr>
          <w:p>
            <w:pPr>
              <w:spacing w:after="0" w:line="245" w:lineRule="auto"/>
            </w:pPr>
            <w:r>
              <w:rPr>
                <w:b w:val="0"/>
                <w:color w:val="000000"/>
                <w:sz w:val="19"/>
              </w:rPr>
              <w:t>Private HTTPS through an internal load balancer or approved private application gateway.</w:t>
            </w:r>
          </w:p>
        </w:tc>
      </w:tr>
      <w:tr>
        <w:trPr>
          <w:cantSplit/>
        </w:trPr>
        <w:tc>
          <w:tcPr>
            <w:tcW w:type="dxa" w:w="2232"/>
            <w:vAlign w:val="center"/>
            <w:tcMar>
              <w:top w:w="100" w:type="dxa"/>
              <w:bottom w:w="100" w:type="dxa"/>
              <w:left w:w="100" w:type="dxa"/>
              <w:right w:w="100" w:type="dxa"/>
            </w:tcMar>
            <w:shd w:fill="F2F6FA"/>
          </w:tcPr>
          <w:p>
            <w:pPr>
              <w:spacing w:after="0" w:line="245" w:lineRule="auto"/>
            </w:pPr>
            <w:r>
              <w:rPr>
                <w:b w:val="0"/>
                <w:color w:val="000000"/>
                <w:sz w:val="19"/>
              </w:rPr>
              <w:t>Platform services</w:t>
            </w:r>
          </w:p>
        </w:tc>
        <w:tc>
          <w:tcPr>
            <w:tcW w:type="dxa" w:w="7848"/>
            <w:vAlign w:val="center"/>
            <w:tcMar>
              <w:top w:w="100" w:type="dxa"/>
              <w:bottom w:w="100" w:type="dxa"/>
              <w:left w:w="100" w:type="dxa"/>
              <w:right w:w="100" w:type="dxa"/>
            </w:tcMar>
            <w:shd w:fill="F2F6FA"/>
          </w:tcPr>
          <w:p>
            <w:pPr>
              <w:spacing w:after="0" w:line="245" w:lineRule="auto"/>
            </w:pPr>
            <w:r>
              <w:rPr>
                <w:b w:val="0"/>
                <w:color w:val="000000"/>
                <w:sz w:val="19"/>
              </w:rPr>
              <w:t>Azure Container Registry, Key Vault, Azure Monitor, Log Analytics, Managed Disks and a supported database service or database VM.</w:t>
            </w:r>
          </w:p>
        </w:tc>
      </w:tr>
      <w:tr>
        <w:trPr>
          <w:cantSplit/>
        </w:trPr>
        <w:tc>
          <w:tcPr>
            <w:tcW w:type="dxa" w:w="2232"/>
            <w:vAlign w:val="center"/>
            <w:tcMar>
              <w:top w:w="100" w:type="dxa"/>
              <w:bottom w:w="100" w:type="dxa"/>
              <w:left w:w="100" w:type="dxa"/>
              <w:right w:w="100" w:type="dxa"/>
            </w:tcMar>
            <w:shd w:fill="FFFFFF"/>
          </w:tcPr>
          <w:p>
            <w:pPr>
              <w:spacing w:after="0" w:line="245" w:lineRule="auto"/>
            </w:pPr>
            <w:r>
              <w:rPr>
                <w:b w:val="0"/>
                <w:color w:val="000000"/>
                <w:sz w:val="19"/>
              </w:rPr>
              <w:t>Document handoff</w:t>
            </w:r>
          </w:p>
        </w:tc>
        <w:tc>
          <w:tcPr>
            <w:tcW w:type="dxa" w:w="7848"/>
            <w:vAlign w:val="center"/>
            <w:tcMar>
              <w:top w:w="100" w:type="dxa"/>
              <w:bottom w:w="100" w:type="dxa"/>
              <w:left w:w="100" w:type="dxa"/>
              <w:right w:w="100" w:type="dxa"/>
            </w:tcMar>
            <w:shd w:fill="FFFFFF"/>
          </w:tcPr>
          <w:p>
            <w:pPr>
              <w:spacing w:after="0" w:line="245" w:lineRule="auto"/>
            </w:pPr>
            <w:r>
              <w:rPr>
                <w:b w:val="0"/>
                <w:color w:val="000000"/>
                <w:sz w:val="19"/>
              </w:rPr>
              <w:t>Use a dedicated Azure Blob Storage account or another vendor-supported interface. This storage is a controlled exchange point, not shared application storage.</w:t>
            </w:r>
          </w:p>
        </w:tc>
      </w:tr>
    </w:tbl>
    <w:p>
      <w:pPr>
        <w:spacing w:before="120"/>
      </w:pPr>
      <w:r>
        <w:t>The OCI A10.2 name cannot be retained in Azure because it is an OCI VM shape. The Azure POC must select an Azure A10 SKU that meets the same functional requirement and is available in the approved government region.</w:t>
      </w:r>
    </w:p>
    <w:p>
      <w:r>
        <w:br w:type="page"/>
      </w:r>
    </w:p>
    <w:p>
      <w:pPr>
        <w:pStyle w:val="Heading1"/>
      </w:pPr>
      <w:r>
        <w:t>OCI to Azure Terminology Crosswalk</w:t>
      </w:r>
    </w:p>
    <w:p>
      <w:r>
        <w:t>Use the Azure term when describing the target design. The entries marked as approximate require a design decision because the OCI and Azure services do not have identical boundaries or behavior.</w:t>
      </w:r>
    </w:p>
    <w:p>
      <w:pPr>
        <w:pStyle w:val="Heading2"/>
      </w:pPr>
      <w:r>
        <w:t>Organization and Networking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2952"/>
        <w:gridCol w:w="4464"/>
      </w:tblGrid>
      <w:tr>
        <w:trPr>
          <w:cantSplit/>
          <w:tblHeader/>
        </w:trPr>
        <w:tc>
          <w:tcPr>
            <w:tcW w:type="dxa" w:w="2664"/>
            <w:vAlign w:val="center"/>
            <w:tcMar>
              <w:top w:w="100" w:type="dxa"/>
              <w:bottom w:w="100" w:type="dxa"/>
              <w:left w:w="100" w:type="dxa"/>
              <w:right w:w="100" w:type="dxa"/>
            </w:tcMar>
            <w:shd w:fill="203864"/>
          </w:tcPr>
          <w:p>
            <w:pPr>
              <w:spacing w:after="0" w:line="245" w:lineRule="auto"/>
            </w:pPr>
            <w:r>
              <w:rPr>
                <w:b/>
                <w:color w:val="FFFFFF"/>
                <w:sz w:val="16"/>
              </w:rPr>
              <w:t>OCI term</w:t>
            </w:r>
          </w:p>
        </w:tc>
        <w:tc>
          <w:tcPr>
            <w:tcW w:type="dxa" w:w="2952"/>
            <w:vAlign w:val="center"/>
            <w:tcMar>
              <w:top w:w="100" w:type="dxa"/>
              <w:bottom w:w="100" w:type="dxa"/>
              <w:left w:w="100" w:type="dxa"/>
              <w:right w:w="100" w:type="dxa"/>
            </w:tcMar>
            <w:shd w:fill="203864"/>
          </w:tcPr>
          <w:p>
            <w:pPr>
              <w:spacing w:after="0" w:line="245" w:lineRule="auto"/>
            </w:pPr>
            <w:r>
              <w:rPr>
                <w:b/>
                <w:color w:val="FFFFFF"/>
                <w:sz w:val="16"/>
              </w:rPr>
              <w:t>Azure term</w:t>
            </w:r>
          </w:p>
        </w:tc>
        <w:tc>
          <w:tcPr>
            <w:tcW w:type="dxa" w:w="4464"/>
            <w:vAlign w:val="center"/>
            <w:tcMar>
              <w:top w:w="100" w:type="dxa"/>
              <w:bottom w:w="100" w:type="dxa"/>
              <w:left w:w="100" w:type="dxa"/>
              <w:right w:w="100" w:type="dxa"/>
            </w:tcMar>
            <w:shd w:fill="203864"/>
          </w:tcPr>
          <w:p>
            <w:pPr>
              <w:spacing w:after="0" w:line="245" w:lineRule="auto"/>
            </w:pPr>
            <w:r>
              <w:rPr>
                <w:b/>
                <w:color w:val="FFFFFF"/>
                <w:sz w:val="16"/>
              </w:rPr>
              <w:t>POC interpretation</w:t>
            </w:r>
          </w:p>
        </w:tc>
      </w:tr>
      <w:tr>
        <w:trPr>
          <w:cantSplit/>
        </w:trPr>
        <w:tc>
          <w:tcPr>
            <w:tcW w:type="dxa" w:w="2664"/>
            <w:vAlign w:val="center"/>
            <w:tcMar>
              <w:top w:w="100" w:type="dxa"/>
              <w:bottom w:w="100" w:type="dxa"/>
              <w:left w:w="100" w:type="dxa"/>
              <w:right w:w="100" w:type="dxa"/>
            </w:tcMar>
            <w:shd w:fill="FFFFFF"/>
          </w:tcPr>
          <w:p>
            <w:pPr>
              <w:spacing w:after="0" w:line="245" w:lineRule="auto"/>
            </w:pPr>
            <w:r>
              <w:rPr>
                <w:b w:val="0"/>
                <w:color w:val="000000"/>
                <w:sz w:val="16"/>
              </w:rPr>
              <w:t>Tenancy</w:t>
            </w:r>
          </w:p>
        </w:tc>
        <w:tc>
          <w:tcPr>
            <w:tcW w:type="dxa" w:w="2952"/>
            <w:vAlign w:val="center"/>
            <w:tcMar>
              <w:top w:w="100" w:type="dxa"/>
              <w:bottom w:w="100" w:type="dxa"/>
              <w:left w:w="100" w:type="dxa"/>
              <w:right w:w="100" w:type="dxa"/>
            </w:tcMar>
            <w:shd w:fill="FFFFFF"/>
          </w:tcPr>
          <w:p>
            <w:pPr>
              <w:spacing w:after="0" w:line="245" w:lineRule="auto"/>
            </w:pPr>
            <w:r>
              <w:rPr>
                <w:b w:val="0"/>
                <w:color w:val="000000"/>
                <w:sz w:val="16"/>
              </w:rPr>
              <w:t>Microsoft Entra tenant plus Azure hierarchy</w:t>
            </w:r>
          </w:p>
        </w:tc>
        <w:tc>
          <w:tcPr>
            <w:tcW w:type="dxa" w:w="4464"/>
            <w:vAlign w:val="center"/>
            <w:tcMar>
              <w:top w:w="100" w:type="dxa"/>
              <w:bottom w:w="100" w:type="dxa"/>
              <w:left w:w="100" w:type="dxa"/>
              <w:right w:w="100" w:type="dxa"/>
            </w:tcMar>
            <w:shd w:fill="FFFFFF"/>
          </w:tcPr>
          <w:p>
            <w:pPr>
              <w:spacing w:after="0" w:line="245" w:lineRule="auto"/>
            </w:pPr>
            <w:r>
              <w:rPr>
                <w:b w:val="0"/>
                <w:color w:val="000000"/>
                <w:sz w:val="16"/>
              </w:rPr>
              <w:t>Approximate. Identity, billing and resource governance are separated across the tenant, management groups and subscriptions.</w:t>
            </w:r>
          </w:p>
        </w:tc>
      </w:tr>
      <w:tr>
        <w:trPr>
          <w:cantSplit/>
        </w:trPr>
        <w:tc>
          <w:tcPr>
            <w:tcW w:type="dxa" w:w="2664"/>
            <w:vAlign w:val="center"/>
            <w:tcMar>
              <w:top w:w="100" w:type="dxa"/>
              <w:bottom w:w="100" w:type="dxa"/>
              <w:left w:w="100" w:type="dxa"/>
              <w:right w:w="100" w:type="dxa"/>
            </w:tcMar>
            <w:shd w:fill="F2F6FA"/>
          </w:tcPr>
          <w:p>
            <w:pPr>
              <w:spacing w:after="0" w:line="245" w:lineRule="auto"/>
            </w:pPr>
            <w:r>
              <w:rPr>
                <w:b w:val="0"/>
                <w:color w:val="000000"/>
                <w:sz w:val="16"/>
              </w:rPr>
              <w:t>Compartment</w:t>
            </w:r>
          </w:p>
        </w:tc>
        <w:tc>
          <w:tcPr>
            <w:tcW w:type="dxa" w:w="2952"/>
            <w:vAlign w:val="center"/>
            <w:tcMar>
              <w:top w:w="100" w:type="dxa"/>
              <w:bottom w:w="100" w:type="dxa"/>
              <w:left w:w="100" w:type="dxa"/>
              <w:right w:w="100" w:type="dxa"/>
            </w:tcMar>
            <w:shd w:fill="F2F6FA"/>
          </w:tcPr>
          <w:p>
            <w:pPr>
              <w:spacing w:after="0" w:line="245" w:lineRule="auto"/>
            </w:pPr>
            <w:r>
              <w:rPr>
                <w:b w:val="0"/>
                <w:color w:val="000000"/>
                <w:sz w:val="16"/>
              </w:rPr>
              <w:t>Subscription or resource group</w:t>
            </w:r>
          </w:p>
        </w:tc>
        <w:tc>
          <w:tcPr>
            <w:tcW w:type="dxa" w:w="4464"/>
            <w:vAlign w:val="center"/>
            <w:tcMar>
              <w:top w:w="100" w:type="dxa"/>
              <w:bottom w:w="100" w:type="dxa"/>
              <w:left w:w="100" w:type="dxa"/>
              <w:right w:w="100" w:type="dxa"/>
            </w:tcMar>
            <w:shd w:fill="F2F6FA"/>
          </w:tcPr>
          <w:p>
            <w:pPr>
              <w:spacing w:after="0" w:line="245" w:lineRule="auto"/>
            </w:pPr>
            <w:r>
              <w:rPr>
                <w:b w:val="0"/>
                <w:color w:val="000000"/>
                <w:sz w:val="16"/>
              </w:rPr>
              <w:t>Approximate. Use subscriptions for strong environment or policy boundaries and resource groups for lifecycle grouping.</w:t>
            </w:r>
          </w:p>
        </w:tc>
      </w:tr>
      <w:tr>
        <w:trPr>
          <w:cantSplit/>
        </w:trPr>
        <w:tc>
          <w:tcPr>
            <w:tcW w:type="dxa" w:w="2664"/>
            <w:vAlign w:val="center"/>
            <w:tcMar>
              <w:top w:w="100" w:type="dxa"/>
              <w:bottom w:w="100" w:type="dxa"/>
              <w:left w:w="100" w:type="dxa"/>
              <w:right w:w="100" w:type="dxa"/>
            </w:tcMar>
            <w:shd w:fill="FFFFFF"/>
          </w:tcPr>
          <w:p>
            <w:pPr>
              <w:spacing w:after="0" w:line="245" w:lineRule="auto"/>
            </w:pPr>
            <w:r>
              <w:rPr>
                <w:b w:val="0"/>
                <w:color w:val="000000"/>
                <w:sz w:val="16"/>
              </w:rPr>
              <w:t>Virtual Cloud Network (VCN)</w:t>
            </w:r>
          </w:p>
        </w:tc>
        <w:tc>
          <w:tcPr>
            <w:tcW w:type="dxa" w:w="2952"/>
            <w:vAlign w:val="center"/>
            <w:tcMar>
              <w:top w:w="100" w:type="dxa"/>
              <w:bottom w:w="100" w:type="dxa"/>
              <w:left w:w="100" w:type="dxa"/>
              <w:right w:w="100" w:type="dxa"/>
            </w:tcMar>
            <w:shd w:fill="FFFFFF"/>
          </w:tcPr>
          <w:p>
            <w:pPr>
              <w:spacing w:after="0" w:line="245" w:lineRule="auto"/>
            </w:pPr>
            <w:r>
              <w:rPr>
                <w:b w:val="0"/>
                <w:color w:val="000000"/>
                <w:sz w:val="16"/>
              </w:rPr>
              <w:t>Virtual Network (VNet)</w:t>
            </w:r>
          </w:p>
        </w:tc>
        <w:tc>
          <w:tcPr>
            <w:tcW w:type="dxa" w:w="4464"/>
            <w:vAlign w:val="center"/>
            <w:tcMar>
              <w:top w:w="100" w:type="dxa"/>
              <w:bottom w:w="100" w:type="dxa"/>
              <w:left w:w="100" w:type="dxa"/>
              <w:right w:w="100" w:type="dxa"/>
            </w:tcMar>
            <w:shd w:fill="FFFFFF"/>
          </w:tcPr>
          <w:p>
            <w:pPr>
              <w:spacing w:after="0" w:line="245" w:lineRule="auto"/>
            </w:pPr>
            <w:r>
              <w:rPr>
                <w:b w:val="0"/>
                <w:color w:val="000000"/>
                <w:sz w:val="16"/>
              </w:rPr>
              <w:t>Private network boundary for application subnets.</w:t>
            </w:r>
          </w:p>
        </w:tc>
      </w:tr>
      <w:tr>
        <w:trPr>
          <w:cantSplit/>
        </w:trPr>
        <w:tc>
          <w:tcPr>
            <w:tcW w:type="dxa" w:w="2664"/>
            <w:vAlign w:val="center"/>
            <w:tcMar>
              <w:top w:w="100" w:type="dxa"/>
              <w:bottom w:w="100" w:type="dxa"/>
              <w:left w:w="100" w:type="dxa"/>
              <w:right w:w="100" w:type="dxa"/>
            </w:tcMar>
            <w:shd w:fill="F2F6FA"/>
          </w:tcPr>
          <w:p>
            <w:pPr>
              <w:spacing w:after="0" w:line="245" w:lineRule="auto"/>
            </w:pPr>
            <w:r>
              <w:rPr>
                <w:b w:val="0"/>
                <w:color w:val="000000"/>
                <w:sz w:val="16"/>
              </w:rPr>
              <w:t>Dynamic Routing Gateway (DRG)</w:t>
            </w:r>
          </w:p>
        </w:tc>
        <w:tc>
          <w:tcPr>
            <w:tcW w:type="dxa" w:w="2952"/>
            <w:vAlign w:val="center"/>
            <w:tcMar>
              <w:top w:w="100" w:type="dxa"/>
              <w:bottom w:w="100" w:type="dxa"/>
              <w:left w:w="100" w:type="dxa"/>
              <w:right w:w="100" w:type="dxa"/>
            </w:tcMar>
            <w:shd w:fill="F2F6FA"/>
          </w:tcPr>
          <w:p>
            <w:pPr>
              <w:spacing w:after="0" w:line="245" w:lineRule="auto"/>
            </w:pPr>
            <w:r>
              <w:rPr>
                <w:b w:val="0"/>
                <w:color w:val="000000"/>
                <w:sz w:val="16"/>
              </w:rPr>
              <w:t>ExpressRoute virtual network gateway or Virtual WAN hub</w:t>
            </w:r>
          </w:p>
        </w:tc>
        <w:tc>
          <w:tcPr>
            <w:tcW w:type="dxa" w:w="4464"/>
            <w:vAlign w:val="center"/>
            <w:tcMar>
              <w:top w:w="100" w:type="dxa"/>
              <w:bottom w:w="100" w:type="dxa"/>
              <w:left w:w="100" w:type="dxa"/>
              <w:right w:w="100" w:type="dxa"/>
            </w:tcMar>
            <w:shd w:fill="F2F6FA"/>
          </w:tcPr>
          <w:p>
            <w:pPr>
              <w:spacing w:after="0" w:line="245" w:lineRule="auto"/>
            </w:pPr>
            <w:r>
              <w:rPr>
                <w:b w:val="0"/>
                <w:color w:val="000000"/>
                <w:sz w:val="16"/>
              </w:rPr>
              <w:t>Approximate. Select the Azure routing construct that connects the hub, spokes and enterprise network.</w:t>
            </w:r>
          </w:p>
        </w:tc>
      </w:tr>
      <w:tr>
        <w:trPr>
          <w:cantSplit/>
        </w:trPr>
        <w:tc>
          <w:tcPr>
            <w:tcW w:type="dxa" w:w="2664"/>
            <w:vAlign w:val="center"/>
            <w:tcMar>
              <w:top w:w="100" w:type="dxa"/>
              <w:bottom w:w="100" w:type="dxa"/>
              <w:left w:w="100" w:type="dxa"/>
              <w:right w:w="100" w:type="dxa"/>
            </w:tcMar>
            <w:shd w:fill="FFFFFF"/>
          </w:tcPr>
          <w:p>
            <w:pPr>
              <w:spacing w:after="0" w:line="245" w:lineRule="auto"/>
            </w:pPr>
            <w:r>
              <w:rPr>
                <w:b w:val="0"/>
                <w:color w:val="000000"/>
                <w:sz w:val="16"/>
              </w:rPr>
              <w:t>FastConnect</w:t>
            </w:r>
          </w:p>
        </w:tc>
        <w:tc>
          <w:tcPr>
            <w:tcW w:type="dxa" w:w="2952"/>
            <w:vAlign w:val="center"/>
            <w:tcMar>
              <w:top w:w="100" w:type="dxa"/>
              <w:bottom w:w="100" w:type="dxa"/>
              <w:left w:w="100" w:type="dxa"/>
              <w:right w:w="100" w:type="dxa"/>
            </w:tcMar>
            <w:shd w:fill="FFFFFF"/>
          </w:tcPr>
          <w:p>
            <w:pPr>
              <w:spacing w:after="0" w:line="245" w:lineRule="auto"/>
            </w:pPr>
            <w:r>
              <w:rPr>
                <w:b w:val="0"/>
                <w:color w:val="000000"/>
                <w:sz w:val="16"/>
              </w:rPr>
              <w:t>ExpressRoute</w:t>
            </w:r>
          </w:p>
        </w:tc>
        <w:tc>
          <w:tcPr>
            <w:tcW w:type="dxa" w:w="4464"/>
            <w:vAlign w:val="center"/>
            <w:tcMar>
              <w:top w:w="100" w:type="dxa"/>
              <w:bottom w:w="100" w:type="dxa"/>
              <w:left w:w="100" w:type="dxa"/>
              <w:right w:w="100" w:type="dxa"/>
            </w:tcMar>
            <w:shd w:fill="FFFFFF"/>
          </w:tcPr>
          <w:p>
            <w:pPr>
              <w:spacing w:after="0" w:line="245" w:lineRule="auto"/>
            </w:pPr>
            <w:r>
              <w:rPr>
                <w:b w:val="0"/>
                <w:color w:val="000000"/>
                <w:sz w:val="16"/>
              </w:rPr>
              <w:t>Private provider-based connection between the enterprise network and the cloud.</w:t>
            </w:r>
          </w:p>
        </w:tc>
      </w:tr>
      <w:tr>
        <w:trPr>
          <w:cantSplit/>
        </w:trPr>
        <w:tc>
          <w:tcPr>
            <w:tcW w:type="dxa" w:w="2664"/>
            <w:vAlign w:val="center"/>
            <w:tcMar>
              <w:top w:w="100" w:type="dxa"/>
              <w:bottom w:w="100" w:type="dxa"/>
              <w:left w:w="100" w:type="dxa"/>
              <w:right w:w="100" w:type="dxa"/>
            </w:tcMar>
            <w:shd w:fill="F2F6FA"/>
          </w:tcPr>
          <w:p>
            <w:pPr>
              <w:spacing w:after="0" w:line="245" w:lineRule="auto"/>
            </w:pPr>
            <w:r>
              <w:rPr>
                <w:b w:val="0"/>
                <w:color w:val="000000"/>
                <w:sz w:val="16"/>
              </w:rPr>
              <w:t>Local or remote VCN peering</w:t>
            </w:r>
          </w:p>
        </w:tc>
        <w:tc>
          <w:tcPr>
            <w:tcW w:type="dxa" w:w="2952"/>
            <w:vAlign w:val="center"/>
            <w:tcMar>
              <w:top w:w="100" w:type="dxa"/>
              <w:bottom w:w="100" w:type="dxa"/>
              <w:left w:w="100" w:type="dxa"/>
              <w:right w:w="100" w:type="dxa"/>
            </w:tcMar>
            <w:shd w:fill="F2F6FA"/>
          </w:tcPr>
          <w:p>
            <w:pPr>
              <w:spacing w:after="0" w:line="245" w:lineRule="auto"/>
            </w:pPr>
            <w:r>
              <w:rPr>
                <w:b w:val="0"/>
                <w:color w:val="000000"/>
                <w:sz w:val="16"/>
              </w:rPr>
              <w:t>VNet peering or global VNet peering</w:t>
            </w:r>
          </w:p>
        </w:tc>
        <w:tc>
          <w:tcPr>
            <w:tcW w:type="dxa" w:w="4464"/>
            <w:vAlign w:val="center"/>
            <w:tcMar>
              <w:top w:w="100" w:type="dxa"/>
              <w:bottom w:w="100" w:type="dxa"/>
              <w:left w:w="100" w:type="dxa"/>
              <w:right w:w="100" w:type="dxa"/>
            </w:tcMar>
            <w:shd w:fill="F2F6FA"/>
          </w:tcPr>
          <w:p>
            <w:pPr>
              <w:spacing w:after="0" w:line="245" w:lineRule="auto"/>
            </w:pPr>
            <w:r>
              <w:rPr>
                <w:b w:val="0"/>
                <w:color w:val="000000"/>
                <w:sz w:val="16"/>
              </w:rPr>
              <w:t>Private routing between Azure virtual networks.</w:t>
            </w:r>
          </w:p>
        </w:tc>
      </w:tr>
      <w:tr>
        <w:trPr>
          <w:cantSplit/>
        </w:trPr>
        <w:tc>
          <w:tcPr>
            <w:tcW w:type="dxa" w:w="2664"/>
            <w:vAlign w:val="center"/>
            <w:tcMar>
              <w:top w:w="100" w:type="dxa"/>
              <w:bottom w:w="100" w:type="dxa"/>
              <w:left w:w="100" w:type="dxa"/>
              <w:right w:w="100" w:type="dxa"/>
            </w:tcMar>
            <w:shd w:fill="FFFFFF"/>
          </w:tcPr>
          <w:p>
            <w:pPr>
              <w:spacing w:after="0" w:line="245" w:lineRule="auto"/>
            </w:pPr>
            <w:r>
              <w:rPr>
                <w:b w:val="0"/>
                <w:color w:val="000000"/>
                <w:sz w:val="16"/>
              </w:rPr>
              <w:t>Service Gateway</w:t>
            </w:r>
          </w:p>
        </w:tc>
        <w:tc>
          <w:tcPr>
            <w:tcW w:type="dxa" w:w="2952"/>
            <w:vAlign w:val="center"/>
            <w:tcMar>
              <w:top w:w="100" w:type="dxa"/>
              <w:bottom w:w="100" w:type="dxa"/>
              <w:left w:w="100" w:type="dxa"/>
              <w:right w:w="100" w:type="dxa"/>
            </w:tcMar>
            <w:shd w:fill="FFFFFF"/>
          </w:tcPr>
          <w:p>
            <w:pPr>
              <w:spacing w:after="0" w:line="245" w:lineRule="auto"/>
            </w:pPr>
            <w:r>
              <w:rPr>
                <w:b w:val="0"/>
                <w:color w:val="000000"/>
                <w:sz w:val="16"/>
              </w:rPr>
              <w:t>Private Link/private endpoint or service endpoint</w:t>
            </w:r>
          </w:p>
        </w:tc>
        <w:tc>
          <w:tcPr>
            <w:tcW w:type="dxa" w:w="4464"/>
            <w:vAlign w:val="center"/>
            <w:tcMar>
              <w:top w:w="100" w:type="dxa"/>
              <w:bottom w:w="100" w:type="dxa"/>
              <w:left w:w="100" w:type="dxa"/>
              <w:right w:w="100" w:type="dxa"/>
            </w:tcMar>
            <w:shd w:fill="FFFFFF"/>
          </w:tcPr>
          <w:p>
            <w:pPr>
              <w:spacing w:after="0" w:line="245" w:lineRule="auto"/>
            </w:pPr>
            <w:r>
              <w:rPr>
                <w:b w:val="0"/>
                <w:color w:val="000000"/>
                <w:sz w:val="16"/>
              </w:rPr>
              <w:t>Approximate. Prefer private endpoints when the Azure service supports them.</w:t>
            </w:r>
          </w:p>
        </w:tc>
      </w:tr>
      <w:tr>
        <w:trPr>
          <w:cantSplit/>
        </w:trPr>
        <w:tc>
          <w:tcPr>
            <w:tcW w:type="dxa" w:w="2664"/>
            <w:vAlign w:val="center"/>
            <w:tcMar>
              <w:top w:w="100" w:type="dxa"/>
              <w:bottom w:w="100" w:type="dxa"/>
              <w:left w:w="100" w:type="dxa"/>
              <w:right w:w="100" w:type="dxa"/>
            </w:tcMar>
            <w:shd w:fill="F2F6FA"/>
          </w:tcPr>
          <w:p>
            <w:pPr>
              <w:spacing w:after="0" w:line="245" w:lineRule="auto"/>
            </w:pPr>
            <w:r>
              <w:rPr>
                <w:b w:val="0"/>
                <w:color w:val="000000"/>
                <w:sz w:val="16"/>
              </w:rPr>
              <w:t>NAT Gateway</w:t>
            </w:r>
          </w:p>
        </w:tc>
        <w:tc>
          <w:tcPr>
            <w:tcW w:type="dxa" w:w="2952"/>
            <w:vAlign w:val="center"/>
            <w:tcMar>
              <w:top w:w="100" w:type="dxa"/>
              <w:bottom w:w="100" w:type="dxa"/>
              <w:left w:w="100" w:type="dxa"/>
              <w:right w:w="100" w:type="dxa"/>
            </w:tcMar>
            <w:shd w:fill="F2F6FA"/>
          </w:tcPr>
          <w:p>
            <w:pPr>
              <w:spacing w:after="0" w:line="245" w:lineRule="auto"/>
            </w:pPr>
            <w:r>
              <w:rPr>
                <w:b w:val="0"/>
                <w:color w:val="000000"/>
                <w:sz w:val="16"/>
              </w:rPr>
              <w:t>Azure NAT Gateway</w:t>
            </w:r>
          </w:p>
        </w:tc>
        <w:tc>
          <w:tcPr>
            <w:tcW w:type="dxa" w:w="4464"/>
            <w:vAlign w:val="center"/>
            <w:tcMar>
              <w:top w:w="100" w:type="dxa"/>
              <w:bottom w:w="100" w:type="dxa"/>
              <w:left w:w="100" w:type="dxa"/>
              <w:right w:w="100" w:type="dxa"/>
            </w:tcMar>
            <w:shd w:fill="F2F6FA"/>
          </w:tcPr>
          <w:p>
            <w:pPr>
              <w:spacing w:after="0" w:line="245" w:lineRule="auto"/>
            </w:pPr>
            <w:r>
              <w:rPr>
                <w:b w:val="0"/>
                <w:color w:val="000000"/>
                <w:sz w:val="16"/>
              </w:rPr>
              <w:t>Controlled outbound internet connectivity for private subnets; it does not provide inbound access.</w:t>
            </w:r>
          </w:p>
        </w:tc>
      </w:tr>
      <w:tr>
        <w:trPr>
          <w:cantSplit/>
        </w:trPr>
        <w:tc>
          <w:tcPr>
            <w:tcW w:type="dxa" w:w="2664"/>
            <w:vAlign w:val="center"/>
            <w:tcMar>
              <w:top w:w="100" w:type="dxa"/>
              <w:bottom w:w="100" w:type="dxa"/>
              <w:left w:w="100" w:type="dxa"/>
              <w:right w:w="100" w:type="dxa"/>
            </w:tcMar>
            <w:shd w:fill="FFFFFF"/>
          </w:tcPr>
          <w:p>
            <w:pPr>
              <w:spacing w:after="0" w:line="245" w:lineRule="auto"/>
            </w:pPr>
            <w:r>
              <w:rPr>
                <w:b w:val="0"/>
                <w:color w:val="000000"/>
                <w:sz w:val="16"/>
              </w:rPr>
              <w:t>Security List / Network Security Group</w:t>
            </w:r>
          </w:p>
        </w:tc>
        <w:tc>
          <w:tcPr>
            <w:tcW w:type="dxa" w:w="2952"/>
            <w:vAlign w:val="center"/>
            <w:tcMar>
              <w:top w:w="100" w:type="dxa"/>
              <w:bottom w:w="100" w:type="dxa"/>
              <w:left w:w="100" w:type="dxa"/>
              <w:right w:w="100" w:type="dxa"/>
            </w:tcMar>
            <w:shd w:fill="FFFFFF"/>
          </w:tcPr>
          <w:p>
            <w:pPr>
              <w:spacing w:after="0" w:line="245" w:lineRule="auto"/>
            </w:pPr>
            <w:r>
              <w:rPr>
                <w:b w:val="0"/>
                <w:color w:val="000000"/>
                <w:sz w:val="16"/>
              </w:rPr>
              <w:t>Network Security Group (NSG)</w:t>
            </w:r>
          </w:p>
        </w:tc>
        <w:tc>
          <w:tcPr>
            <w:tcW w:type="dxa" w:w="4464"/>
            <w:vAlign w:val="center"/>
            <w:tcMar>
              <w:top w:w="100" w:type="dxa"/>
              <w:bottom w:w="100" w:type="dxa"/>
              <w:left w:w="100" w:type="dxa"/>
              <w:right w:w="100" w:type="dxa"/>
            </w:tcMar>
            <w:shd w:fill="FFFFFF"/>
          </w:tcPr>
          <w:p>
            <w:pPr>
              <w:spacing w:after="0" w:line="245" w:lineRule="auto"/>
            </w:pPr>
            <w:r>
              <w:rPr>
                <w:b w:val="0"/>
                <w:color w:val="000000"/>
                <w:sz w:val="16"/>
              </w:rPr>
              <w:t>Filter traffic at Azure subnet or network-interface scope.</w:t>
            </w:r>
          </w:p>
        </w:tc>
      </w:tr>
      <w:tr>
        <w:trPr>
          <w:cantSplit/>
        </w:trPr>
        <w:tc>
          <w:tcPr>
            <w:tcW w:type="dxa" w:w="2664"/>
            <w:vAlign w:val="center"/>
            <w:tcMar>
              <w:top w:w="100" w:type="dxa"/>
              <w:bottom w:w="100" w:type="dxa"/>
              <w:left w:w="100" w:type="dxa"/>
              <w:right w:w="100" w:type="dxa"/>
            </w:tcMar>
            <w:shd w:fill="F2F6FA"/>
          </w:tcPr>
          <w:p>
            <w:pPr>
              <w:spacing w:after="0" w:line="245" w:lineRule="auto"/>
            </w:pPr>
            <w:r>
              <w:rPr>
                <w:b w:val="0"/>
                <w:color w:val="000000"/>
                <w:sz w:val="16"/>
              </w:rPr>
              <w:t>Route table / route rule</w:t>
            </w:r>
          </w:p>
        </w:tc>
        <w:tc>
          <w:tcPr>
            <w:tcW w:type="dxa" w:w="2952"/>
            <w:vAlign w:val="center"/>
            <w:tcMar>
              <w:top w:w="100" w:type="dxa"/>
              <w:bottom w:w="100" w:type="dxa"/>
              <w:left w:w="100" w:type="dxa"/>
              <w:right w:w="100" w:type="dxa"/>
            </w:tcMar>
            <w:shd w:fill="F2F6FA"/>
          </w:tcPr>
          <w:p>
            <w:pPr>
              <w:spacing w:after="0" w:line="245" w:lineRule="auto"/>
            </w:pPr>
            <w:r>
              <w:rPr>
                <w:b w:val="0"/>
                <w:color w:val="000000"/>
                <w:sz w:val="16"/>
              </w:rPr>
              <w:t>Route table / user-defined route (UDR)</w:t>
            </w:r>
          </w:p>
        </w:tc>
        <w:tc>
          <w:tcPr>
            <w:tcW w:type="dxa" w:w="4464"/>
            <w:vAlign w:val="center"/>
            <w:tcMar>
              <w:top w:w="100" w:type="dxa"/>
              <w:bottom w:w="100" w:type="dxa"/>
              <w:left w:w="100" w:type="dxa"/>
              <w:right w:w="100" w:type="dxa"/>
            </w:tcMar>
            <w:shd w:fill="F2F6FA"/>
          </w:tcPr>
          <w:p>
            <w:pPr>
              <w:spacing w:after="0" w:line="245" w:lineRule="auto"/>
            </w:pPr>
            <w:r>
              <w:rPr>
                <w:b w:val="0"/>
                <w:color w:val="000000"/>
                <w:sz w:val="16"/>
              </w:rPr>
              <w:t>Direct spoke traffic through the enterprise firewall, gateway or approved next hop.</w:t>
            </w:r>
          </w:p>
        </w:tc>
      </w:tr>
      <w:tr>
        <w:trPr>
          <w:cantSplit/>
        </w:trPr>
        <w:tc>
          <w:tcPr>
            <w:tcW w:type="dxa" w:w="2664"/>
            <w:vAlign w:val="center"/>
            <w:tcMar>
              <w:top w:w="100" w:type="dxa"/>
              <w:bottom w:w="100" w:type="dxa"/>
              <w:left w:w="100" w:type="dxa"/>
              <w:right w:w="100" w:type="dxa"/>
            </w:tcMar>
            <w:shd w:fill="FFFFFF"/>
          </w:tcPr>
          <w:p>
            <w:pPr>
              <w:spacing w:after="0" w:line="245" w:lineRule="auto"/>
            </w:pPr>
            <w:r>
              <w:rPr>
                <w:b w:val="0"/>
                <w:color w:val="000000"/>
                <w:sz w:val="16"/>
              </w:rPr>
              <w:t>OCI Bastion</w:t>
            </w:r>
          </w:p>
        </w:tc>
        <w:tc>
          <w:tcPr>
            <w:tcW w:type="dxa" w:w="2952"/>
            <w:vAlign w:val="center"/>
            <w:tcMar>
              <w:top w:w="100" w:type="dxa"/>
              <w:bottom w:w="100" w:type="dxa"/>
              <w:left w:w="100" w:type="dxa"/>
              <w:right w:w="100" w:type="dxa"/>
            </w:tcMar>
            <w:shd w:fill="FFFFFF"/>
          </w:tcPr>
          <w:p>
            <w:pPr>
              <w:spacing w:after="0" w:line="245" w:lineRule="auto"/>
            </w:pPr>
            <w:r>
              <w:rPr>
                <w:b w:val="0"/>
                <w:color w:val="000000"/>
                <w:sz w:val="16"/>
              </w:rPr>
              <w:t>Azure Bastion</w:t>
            </w:r>
          </w:p>
        </w:tc>
        <w:tc>
          <w:tcPr>
            <w:tcW w:type="dxa" w:w="4464"/>
            <w:vAlign w:val="center"/>
            <w:tcMar>
              <w:top w:w="100" w:type="dxa"/>
              <w:bottom w:w="100" w:type="dxa"/>
              <w:left w:w="100" w:type="dxa"/>
              <w:right w:w="100" w:type="dxa"/>
            </w:tcMar>
            <w:shd w:fill="FFFFFF"/>
          </w:tcPr>
          <w:p>
            <w:pPr>
              <w:spacing w:after="0" w:line="245" w:lineRule="auto"/>
            </w:pPr>
            <w:r>
              <w:rPr>
                <w:b w:val="0"/>
                <w:color w:val="000000"/>
                <w:sz w:val="16"/>
              </w:rPr>
              <w:t>Optional interactive administration service; routine POC access remains through the approved enterprise jump host.</w:t>
            </w:r>
          </w:p>
        </w:tc>
      </w:tr>
      <w:tr>
        <w:trPr>
          <w:cantSplit/>
        </w:trPr>
        <w:tc>
          <w:tcPr>
            <w:tcW w:type="dxa" w:w="2664"/>
            <w:vAlign w:val="center"/>
            <w:tcMar>
              <w:top w:w="100" w:type="dxa"/>
              <w:bottom w:w="100" w:type="dxa"/>
              <w:left w:w="100" w:type="dxa"/>
              <w:right w:w="100" w:type="dxa"/>
            </w:tcMar>
            <w:shd w:fill="F2F6FA"/>
          </w:tcPr>
          <w:p>
            <w:pPr>
              <w:spacing w:after="0" w:line="245" w:lineRule="auto"/>
            </w:pPr>
            <w:r>
              <w:rPr>
                <w:b w:val="0"/>
                <w:color w:val="000000"/>
                <w:sz w:val="16"/>
              </w:rPr>
              <w:t>OCI Load Balancer</w:t>
            </w:r>
          </w:p>
        </w:tc>
        <w:tc>
          <w:tcPr>
            <w:tcW w:type="dxa" w:w="2952"/>
            <w:vAlign w:val="center"/>
            <w:tcMar>
              <w:top w:w="100" w:type="dxa"/>
              <w:bottom w:w="100" w:type="dxa"/>
              <w:left w:w="100" w:type="dxa"/>
              <w:right w:w="100" w:type="dxa"/>
            </w:tcMar>
            <w:shd w:fill="F2F6FA"/>
          </w:tcPr>
          <w:p>
            <w:pPr>
              <w:spacing w:after="0" w:line="245" w:lineRule="auto"/>
            </w:pPr>
            <w:r>
              <w:rPr>
                <w:b w:val="0"/>
                <w:color w:val="000000"/>
                <w:sz w:val="16"/>
              </w:rPr>
              <w:t>Azure Load Balancer or Application Gateway</w:t>
            </w:r>
          </w:p>
        </w:tc>
        <w:tc>
          <w:tcPr>
            <w:tcW w:type="dxa" w:w="4464"/>
            <w:vAlign w:val="center"/>
            <w:tcMar>
              <w:top w:w="100" w:type="dxa"/>
              <w:bottom w:w="100" w:type="dxa"/>
              <w:left w:w="100" w:type="dxa"/>
              <w:right w:w="100" w:type="dxa"/>
            </w:tcMar>
            <w:shd w:fill="F2F6FA"/>
          </w:tcPr>
          <w:p>
            <w:pPr>
              <w:spacing w:after="0" w:line="245" w:lineRule="auto"/>
            </w:pPr>
            <w:r>
              <w:rPr>
                <w:b w:val="0"/>
                <w:color w:val="000000"/>
                <w:sz w:val="16"/>
              </w:rPr>
              <w:t>Use Load Balancer for Layer 4 traffic and Application Gateway for Layer 7 HTTPS and WAF features.</w:t>
            </w:r>
          </w:p>
        </w:tc>
      </w:tr>
    </w:tbl>
    <w:p>
      <w:pPr>
        <w:pStyle w:val="Heading2"/>
      </w:pPr>
      <w:r>
        <w:t>Compute, Kubernetes and Data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2952"/>
        <w:gridCol w:w="4464"/>
      </w:tblGrid>
      <w:tr>
        <w:trPr>
          <w:cantSplit/>
          <w:tblHeader/>
        </w:trPr>
        <w:tc>
          <w:tcPr>
            <w:tcW w:type="dxa" w:w="2664"/>
            <w:vAlign w:val="center"/>
            <w:tcMar>
              <w:top w:w="100" w:type="dxa"/>
              <w:bottom w:w="100" w:type="dxa"/>
              <w:left w:w="100" w:type="dxa"/>
              <w:right w:w="100" w:type="dxa"/>
            </w:tcMar>
            <w:shd w:fill="203864"/>
          </w:tcPr>
          <w:p>
            <w:pPr>
              <w:spacing w:after="0" w:line="245" w:lineRule="auto"/>
            </w:pPr>
            <w:r>
              <w:rPr>
                <w:b/>
                <w:color w:val="FFFFFF"/>
                <w:sz w:val="16"/>
              </w:rPr>
              <w:t>OCI term</w:t>
            </w:r>
          </w:p>
        </w:tc>
        <w:tc>
          <w:tcPr>
            <w:tcW w:type="dxa" w:w="2952"/>
            <w:vAlign w:val="center"/>
            <w:tcMar>
              <w:top w:w="100" w:type="dxa"/>
              <w:bottom w:w="100" w:type="dxa"/>
              <w:left w:w="100" w:type="dxa"/>
              <w:right w:w="100" w:type="dxa"/>
            </w:tcMar>
            <w:shd w:fill="203864"/>
          </w:tcPr>
          <w:p>
            <w:pPr>
              <w:spacing w:after="0" w:line="245" w:lineRule="auto"/>
            </w:pPr>
            <w:r>
              <w:rPr>
                <w:b/>
                <w:color w:val="FFFFFF"/>
                <w:sz w:val="16"/>
              </w:rPr>
              <w:t>Azure term</w:t>
            </w:r>
          </w:p>
        </w:tc>
        <w:tc>
          <w:tcPr>
            <w:tcW w:type="dxa" w:w="4464"/>
            <w:vAlign w:val="center"/>
            <w:tcMar>
              <w:top w:w="100" w:type="dxa"/>
              <w:bottom w:w="100" w:type="dxa"/>
              <w:left w:w="100" w:type="dxa"/>
              <w:right w:w="100" w:type="dxa"/>
            </w:tcMar>
            <w:shd w:fill="203864"/>
          </w:tcPr>
          <w:p>
            <w:pPr>
              <w:spacing w:after="0" w:line="245" w:lineRule="auto"/>
            </w:pPr>
            <w:r>
              <w:rPr>
                <w:b/>
                <w:color w:val="FFFFFF"/>
                <w:sz w:val="16"/>
              </w:rPr>
              <w:t>POC interpretation</w:t>
            </w:r>
          </w:p>
        </w:tc>
      </w:tr>
      <w:tr>
        <w:trPr>
          <w:cantSplit/>
        </w:trPr>
        <w:tc>
          <w:tcPr>
            <w:tcW w:type="dxa" w:w="2664"/>
            <w:vAlign w:val="center"/>
            <w:tcMar>
              <w:top w:w="100" w:type="dxa"/>
              <w:bottom w:w="100" w:type="dxa"/>
              <w:left w:w="100" w:type="dxa"/>
              <w:right w:w="100" w:type="dxa"/>
            </w:tcMar>
            <w:shd w:fill="FFFFFF"/>
          </w:tcPr>
          <w:p>
            <w:pPr>
              <w:spacing w:after="0" w:line="245" w:lineRule="auto"/>
            </w:pPr>
            <w:r>
              <w:rPr>
                <w:b w:val="0"/>
                <w:color w:val="000000"/>
                <w:sz w:val="16"/>
              </w:rPr>
              <w:t>Oracle Kubernetes Engine (OKE)</w:t>
            </w:r>
          </w:p>
        </w:tc>
        <w:tc>
          <w:tcPr>
            <w:tcW w:type="dxa" w:w="2952"/>
            <w:vAlign w:val="center"/>
            <w:tcMar>
              <w:top w:w="100" w:type="dxa"/>
              <w:bottom w:w="100" w:type="dxa"/>
              <w:left w:w="100" w:type="dxa"/>
              <w:right w:w="100" w:type="dxa"/>
            </w:tcMar>
            <w:shd w:fill="FFFFFF"/>
          </w:tcPr>
          <w:p>
            <w:pPr>
              <w:spacing w:after="0" w:line="245" w:lineRule="auto"/>
            </w:pPr>
            <w:r>
              <w:rPr>
                <w:b w:val="0"/>
                <w:color w:val="000000"/>
                <w:sz w:val="16"/>
              </w:rPr>
              <w:t>Azure Kubernetes Service (AKS)</w:t>
            </w:r>
          </w:p>
        </w:tc>
        <w:tc>
          <w:tcPr>
            <w:tcW w:type="dxa" w:w="4464"/>
            <w:vAlign w:val="center"/>
            <w:tcMar>
              <w:top w:w="100" w:type="dxa"/>
              <w:bottom w:w="100" w:type="dxa"/>
              <w:left w:w="100" w:type="dxa"/>
              <w:right w:w="100" w:type="dxa"/>
            </w:tcMar>
            <w:shd w:fill="FFFFFF"/>
          </w:tcPr>
          <w:p>
            <w:pPr>
              <w:spacing w:after="0" w:line="245" w:lineRule="auto"/>
            </w:pPr>
            <w:r>
              <w:rPr>
                <w:b w:val="0"/>
                <w:color w:val="000000"/>
                <w:sz w:val="16"/>
              </w:rPr>
              <w:t>Managed Kubernetes equivalent. The current POC may use self-managed Kubernetes when vendor OS requirements prevent AKS.</w:t>
            </w:r>
          </w:p>
        </w:tc>
      </w:tr>
      <w:tr>
        <w:trPr>
          <w:cantSplit/>
        </w:trPr>
        <w:tc>
          <w:tcPr>
            <w:tcW w:type="dxa" w:w="2664"/>
            <w:vAlign w:val="center"/>
            <w:tcMar>
              <w:top w:w="100" w:type="dxa"/>
              <w:bottom w:w="100" w:type="dxa"/>
              <w:left w:w="100" w:type="dxa"/>
              <w:right w:w="100" w:type="dxa"/>
            </w:tcMar>
            <w:shd w:fill="F2F6FA"/>
          </w:tcPr>
          <w:p>
            <w:pPr>
              <w:spacing w:after="0" w:line="245" w:lineRule="auto"/>
            </w:pPr>
            <w:r>
              <w:rPr>
                <w:b w:val="0"/>
                <w:color w:val="000000"/>
                <w:sz w:val="16"/>
              </w:rPr>
              <w:t>Compute instance / shape</w:t>
            </w:r>
          </w:p>
        </w:tc>
        <w:tc>
          <w:tcPr>
            <w:tcW w:type="dxa" w:w="2952"/>
            <w:vAlign w:val="center"/>
            <w:tcMar>
              <w:top w:w="100" w:type="dxa"/>
              <w:bottom w:w="100" w:type="dxa"/>
              <w:left w:w="100" w:type="dxa"/>
              <w:right w:w="100" w:type="dxa"/>
            </w:tcMar>
            <w:shd w:fill="F2F6FA"/>
          </w:tcPr>
          <w:p>
            <w:pPr>
              <w:spacing w:after="0" w:line="245" w:lineRule="auto"/>
            </w:pPr>
            <w:r>
              <w:rPr>
                <w:b w:val="0"/>
                <w:color w:val="000000"/>
                <w:sz w:val="16"/>
              </w:rPr>
              <w:t>Virtual machine / VM size</w:t>
            </w:r>
          </w:p>
        </w:tc>
        <w:tc>
          <w:tcPr>
            <w:tcW w:type="dxa" w:w="4464"/>
            <w:vAlign w:val="center"/>
            <w:tcMar>
              <w:top w:w="100" w:type="dxa"/>
              <w:bottom w:w="100" w:type="dxa"/>
              <w:left w:w="100" w:type="dxa"/>
              <w:right w:w="100" w:type="dxa"/>
            </w:tcMar>
            <w:shd w:fill="F2F6FA"/>
          </w:tcPr>
          <w:p>
            <w:pPr>
              <w:spacing w:after="0" w:line="245" w:lineRule="auto"/>
            </w:pPr>
            <w:r>
              <w:rPr>
                <w:b w:val="0"/>
                <w:color w:val="000000"/>
                <w:sz w:val="16"/>
              </w:rPr>
              <w:t>Azure sizes are selected by CPU, memory, disk, network and accelerator requirements; shape names do not translate directly.</w:t>
            </w:r>
          </w:p>
        </w:tc>
      </w:tr>
      <w:tr>
        <w:trPr>
          <w:cantSplit/>
        </w:trPr>
        <w:tc>
          <w:tcPr>
            <w:tcW w:type="dxa" w:w="2664"/>
            <w:vAlign w:val="center"/>
            <w:tcMar>
              <w:top w:w="100" w:type="dxa"/>
              <w:bottom w:w="100" w:type="dxa"/>
              <w:left w:w="100" w:type="dxa"/>
              <w:right w:w="100" w:type="dxa"/>
            </w:tcMar>
            <w:shd w:fill="FFFFFF"/>
          </w:tcPr>
          <w:p>
            <w:pPr>
              <w:spacing w:after="0" w:line="245" w:lineRule="auto"/>
            </w:pPr>
            <w:r>
              <w:rPr>
                <w:b w:val="0"/>
                <w:color w:val="000000"/>
                <w:sz w:val="16"/>
              </w:rPr>
              <w:t>VM.Standard.E6.Flex</w:t>
            </w:r>
          </w:p>
        </w:tc>
        <w:tc>
          <w:tcPr>
            <w:tcW w:type="dxa" w:w="2952"/>
            <w:vAlign w:val="center"/>
            <w:tcMar>
              <w:top w:w="100" w:type="dxa"/>
              <w:bottom w:w="100" w:type="dxa"/>
              <w:left w:w="100" w:type="dxa"/>
              <w:right w:w="100" w:type="dxa"/>
            </w:tcMar>
            <w:shd w:fill="FFFFFF"/>
          </w:tcPr>
          <w:p>
            <w:pPr>
              <w:spacing w:after="0" w:line="245" w:lineRule="auto"/>
            </w:pPr>
            <w:r>
              <w:rPr>
                <w:b w:val="0"/>
                <w:color w:val="000000"/>
                <w:sz w:val="16"/>
              </w:rPr>
              <w:t>E-series AMD VM candidate</w:t>
            </w:r>
          </w:p>
        </w:tc>
        <w:tc>
          <w:tcPr>
            <w:tcW w:type="dxa" w:w="4464"/>
            <w:vAlign w:val="center"/>
            <w:tcMar>
              <w:top w:w="100" w:type="dxa"/>
              <w:bottom w:w="100" w:type="dxa"/>
              <w:left w:w="100" w:type="dxa"/>
              <w:right w:w="100" w:type="dxa"/>
            </w:tcMar>
            <w:shd w:fill="FFFFFF"/>
          </w:tcPr>
          <w:p>
            <w:pPr>
              <w:spacing w:after="0" w:line="245" w:lineRule="auto"/>
            </w:pPr>
            <w:r>
              <w:rPr>
                <w:b w:val="0"/>
                <w:color w:val="000000"/>
                <w:sz w:val="16"/>
              </w:rPr>
              <w:t>Approximate. Standard_E16as_v5 is the initial DataWalk candidate for 16 vCPUs and 128 GiB memory.</w:t>
            </w:r>
          </w:p>
        </w:tc>
      </w:tr>
      <w:tr>
        <w:trPr>
          <w:cantSplit/>
        </w:trPr>
        <w:tc>
          <w:tcPr>
            <w:tcW w:type="dxa" w:w="2664"/>
            <w:vAlign w:val="center"/>
            <w:tcMar>
              <w:top w:w="100" w:type="dxa"/>
              <w:bottom w:w="100" w:type="dxa"/>
              <w:left w:w="100" w:type="dxa"/>
              <w:right w:w="100" w:type="dxa"/>
            </w:tcMar>
            <w:shd w:fill="F2F6FA"/>
          </w:tcPr>
          <w:p>
            <w:pPr>
              <w:spacing w:after="0" w:line="245" w:lineRule="auto"/>
            </w:pPr>
            <w:r>
              <w:rPr>
                <w:b w:val="0"/>
                <w:color w:val="000000"/>
                <w:sz w:val="16"/>
              </w:rPr>
              <w:t>VM.GPU.A10.2</w:t>
            </w:r>
          </w:p>
        </w:tc>
        <w:tc>
          <w:tcPr>
            <w:tcW w:type="dxa" w:w="2952"/>
            <w:vAlign w:val="center"/>
            <w:tcMar>
              <w:top w:w="100" w:type="dxa"/>
              <w:bottom w:w="100" w:type="dxa"/>
              <w:left w:w="100" w:type="dxa"/>
              <w:right w:w="100" w:type="dxa"/>
            </w:tcMar>
            <w:shd w:fill="F2F6FA"/>
          </w:tcPr>
          <w:p>
            <w:pPr>
              <w:spacing w:after="0" w:line="245" w:lineRule="auto"/>
            </w:pPr>
            <w:r>
              <w:rPr>
                <w:b w:val="0"/>
                <w:color w:val="000000"/>
                <w:sz w:val="16"/>
              </w:rPr>
              <w:t>Standard_NV72ads_A10_v5 candidate</w:t>
            </w:r>
          </w:p>
        </w:tc>
        <w:tc>
          <w:tcPr>
            <w:tcW w:type="dxa" w:w="4464"/>
            <w:vAlign w:val="center"/>
            <w:tcMar>
              <w:top w:w="100" w:type="dxa"/>
              <w:bottom w:w="100" w:type="dxa"/>
              <w:left w:w="100" w:type="dxa"/>
              <w:right w:w="100" w:type="dxa"/>
            </w:tcMar>
            <w:shd w:fill="F2F6FA"/>
          </w:tcPr>
          <w:p>
            <w:pPr>
              <w:spacing w:after="0" w:line="245" w:lineRule="auto"/>
            </w:pPr>
            <w:r>
              <w:rPr>
                <w:b w:val="0"/>
                <w:color w:val="000000"/>
                <w:sz w:val="16"/>
              </w:rPr>
              <w:t>Approximate. Both expose two NVIDIA A10 GPUs, but quota, regional availability, drivers and vendor support must be validated.</w:t>
            </w:r>
          </w:p>
        </w:tc>
      </w:tr>
      <w:tr>
        <w:trPr>
          <w:cantSplit/>
        </w:trPr>
        <w:tc>
          <w:tcPr>
            <w:tcW w:type="dxa" w:w="2664"/>
            <w:vAlign w:val="center"/>
            <w:tcMar>
              <w:top w:w="100" w:type="dxa"/>
              <w:bottom w:w="100" w:type="dxa"/>
              <w:left w:w="100" w:type="dxa"/>
              <w:right w:w="100" w:type="dxa"/>
            </w:tcMar>
            <w:shd w:fill="FFFFFF"/>
          </w:tcPr>
          <w:p>
            <w:pPr>
              <w:spacing w:after="0" w:line="245" w:lineRule="auto"/>
            </w:pPr>
            <w:r>
              <w:rPr>
                <w:b w:val="0"/>
                <w:color w:val="000000"/>
                <w:sz w:val="16"/>
              </w:rPr>
              <w:t>Block Volume</w:t>
            </w:r>
          </w:p>
        </w:tc>
        <w:tc>
          <w:tcPr>
            <w:tcW w:type="dxa" w:w="2952"/>
            <w:vAlign w:val="center"/>
            <w:tcMar>
              <w:top w:w="100" w:type="dxa"/>
              <w:bottom w:w="100" w:type="dxa"/>
              <w:left w:w="100" w:type="dxa"/>
              <w:right w:w="100" w:type="dxa"/>
            </w:tcMar>
            <w:shd w:fill="FFFFFF"/>
          </w:tcPr>
          <w:p>
            <w:pPr>
              <w:spacing w:after="0" w:line="245" w:lineRule="auto"/>
            </w:pPr>
            <w:r>
              <w:rPr>
                <w:b w:val="0"/>
                <w:color w:val="000000"/>
                <w:sz w:val="16"/>
              </w:rPr>
              <w:t>Azure Managed Disks</w:t>
            </w:r>
          </w:p>
        </w:tc>
        <w:tc>
          <w:tcPr>
            <w:tcW w:type="dxa" w:w="4464"/>
            <w:vAlign w:val="center"/>
            <w:tcMar>
              <w:top w:w="100" w:type="dxa"/>
              <w:bottom w:w="100" w:type="dxa"/>
              <w:left w:w="100" w:type="dxa"/>
              <w:right w:w="100" w:type="dxa"/>
            </w:tcMar>
            <w:shd w:fill="FFFFFF"/>
          </w:tcPr>
          <w:p>
            <w:pPr>
              <w:spacing w:after="0" w:line="245" w:lineRule="auto"/>
            </w:pPr>
            <w:r>
              <w:rPr>
                <w:b w:val="0"/>
                <w:color w:val="000000"/>
                <w:sz w:val="16"/>
              </w:rPr>
              <w:t>Persistent operating-system and application block storage.</w:t>
            </w:r>
          </w:p>
        </w:tc>
      </w:tr>
      <w:tr>
        <w:trPr>
          <w:cantSplit/>
        </w:trPr>
        <w:tc>
          <w:tcPr>
            <w:tcW w:type="dxa" w:w="2664"/>
            <w:vAlign w:val="center"/>
            <w:tcMar>
              <w:top w:w="100" w:type="dxa"/>
              <w:bottom w:w="100" w:type="dxa"/>
              <w:left w:w="100" w:type="dxa"/>
              <w:right w:w="100" w:type="dxa"/>
            </w:tcMar>
            <w:shd w:fill="F2F6FA"/>
          </w:tcPr>
          <w:p>
            <w:pPr>
              <w:spacing w:after="0" w:line="245" w:lineRule="auto"/>
            </w:pPr>
            <w:r>
              <w:rPr>
                <w:b w:val="0"/>
                <w:color w:val="000000"/>
                <w:sz w:val="16"/>
              </w:rPr>
              <w:t>File Storage</w:t>
            </w:r>
          </w:p>
        </w:tc>
        <w:tc>
          <w:tcPr>
            <w:tcW w:type="dxa" w:w="2952"/>
            <w:vAlign w:val="center"/>
            <w:tcMar>
              <w:top w:w="100" w:type="dxa"/>
              <w:bottom w:w="100" w:type="dxa"/>
              <w:left w:w="100" w:type="dxa"/>
              <w:right w:w="100" w:type="dxa"/>
            </w:tcMar>
            <w:shd w:fill="F2F6FA"/>
          </w:tcPr>
          <w:p>
            <w:pPr>
              <w:spacing w:after="0" w:line="245" w:lineRule="auto"/>
            </w:pPr>
            <w:r>
              <w:rPr>
                <w:b w:val="0"/>
                <w:color w:val="000000"/>
                <w:sz w:val="16"/>
              </w:rPr>
              <w:t>Azure Files or Azure NetApp Files</w:t>
            </w:r>
          </w:p>
        </w:tc>
        <w:tc>
          <w:tcPr>
            <w:tcW w:type="dxa" w:w="4464"/>
            <w:vAlign w:val="center"/>
            <w:tcMar>
              <w:top w:w="100" w:type="dxa"/>
              <w:bottom w:w="100" w:type="dxa"/>
              <w:left w:w="100" w:type="dxa"/>
              <w:right w:w="100" w:type="dxa"/>
            </w:tcMar>
            <w:shd w:fill="F2F6FA"/>
          </w:tcPr>
          <w:p>
            <w:pPr>
              <w:spacing w:after="0" w:line="245" w:lineRule="auto"/>
            </w:pPr>
            <w:r>
              <w:rPr>
                <w:b w:val="0"/>
                <w:color w:val="000000"/>
                <w:sz w:val="16"/>
              </w:rPr>
              <w:t>Managed shared file storage; choose the service only after protocol and performance validation.</w:t>
            </w:r>
          </w:p>
        </w:tc>
      </w:tr>
      <w:tr>
        <w:trPr>
          <w:cantSplit/>
        </w:trPr>
        <w:tc>
          <w:tcPr>
            <w:tcW w:type="dxa" w:w="2664"/>
            <w:vAlign w:val="center"/>
            <w:tcMar>
              <w:top w:w="100" w:type="dxa"/>
              <w:bottom w:w="100" w:type="dxa"/>
              <w:left w:w="100" w:type="dxa"/>
              <w:right w:w="100" w:type="dxa"/>
            </w:tcMar>
            <w:shd w:fill="FFFFFF"/>
          </w:tcPr>
          <w:p>
            <w:pPr>
              <w:spacing w:after="0" w:line="245" w:lineRule="auto"/>
            </w:pPr>
            <w:r>
              <w:rPr>
                <w:b w:val="0"/>
                <w:color w:val="000000"/>
                <w:sz w:val="16"/>
              </w:rPr>
              <w:t>Object Storage</w:t>
            </w:r>
          </w:p>
        </w:tc>
        <w:tc>
          <w:tcPr>
            <w:tcW w:type="dxa" w:w="2952"/>
            <w:vAlign w:val="center"/>
            <w:tcMar>
              <w:top w:w="100" w:type="dxa"/>
              <w:bottom w:w="100" w:type="dxa"/>
              <w:left w:w="100" w:type="dxa"/>
              <w:right w:w="100" w:type="dxa"/>
            </w:tcMar>
            <w:shd w:fill="FFFFFF"/>
          </w:tcPr>
          <w:p>
            <w:pPr>
              <w:spacing w:after="0" w:line="245" w:lineRule="auto"/>
            </w:pPr>
            <w:r>
              <w:rPr>
                <w:b w:val="0"/>
                <w:color w:val="000000"/>
                <w:sz w:val="16"/>
              </w:rPr>
              <w:t>Azure Blob Storage</w:t>
            </w:r>
          </w:p>
        </w:tc>
        <w:tc>
          <w:tcPr>
            <w:tcW w:type="dxa" w:w="4464"/>
            <w:vAlign w:val="center"/>
            <w:tcMar>
              <w:top w:w="100" w:type="dxa"/>
              <w:bottom w:w="100" w:type="dxa"/>
              <w:left w:w="100" w:type="dxa"/>
              <w:right w:w="100" w:type="dxa"/>
            </w:tcMar>
            <w:shd w:fill="FFFFFF"/>
          </w:tcPr>
          <w:p>
            <w:pPr>
              <w:spacing w:after="0" w:line="245" w:lineRule="auto"/>
            </w:pPr>
            <w:r>
              <w:rPr>
                <w:b w:val="0"/>
                <w:color w:val="000000"/>
                <w:sz w:val="16"/>
              </w:rPr>
              <w:t>Candidate controlled exchange point for Hyperscience output and DataWalk ingestion.</w:t>
            </w:r>
          </w:p>
        </w:tc>
      </w:tr>
      <w:tr>
        <w:trPr>
          <w:cantSplit/>
        </w:trPr>
        <w:tc>
          <w:tcPr>
            <w:tcW w:type="dxa" w:w="2664"/>
            <w:vAlign w:val="center"/>
            <w:tcMar>
              <w:top w:w="100" w:type="dxa"/>
              <w:bottom w:w="100" w:type="dxa"/>
              <w:left w:w="100" w:type="dxa"/>
              <w:right w:w="100" w:type="dxa"/>
            </w:tcMar>
            <w:shd w:fill="F2F6FA"/>
          </w:tcPr>
          <w:p>
            <w:pPr>
              <w:spacing w:after="0" w:line="245" w:lineRule="auto"/>
            </w:pPr>
            <w:r>
              <w:rPr>
                <w:b w:val="0"/>
                <w:color w:val="000000"/>
                <w:sz w:val="16"/>
              </w:rPr>
              <w:t>Oracle Cloud Infrastructure Registry (OCIR)</w:t>
            </w:r>
          </w:p>
        </w:tc>
        <w:tc>
          <w:tcPr>
            <w:tcW w:type="dxa" w:w="2952"/>
            <w:vAlign w:val="center"/>
            <w:tcMar>
              <w:top w:w="100" w:type="dxa"/>
              <w:bottom w:w="100" w:type="dxa"/>
              <w:left w:w="100" w:type="dxa"/>
              <w:right w:w="100" w:type="dxa"/>
            </w:tcMar>
            <w:shd w:fill="F2F6FA"/>
          </w:tcPr>
          <w:p>
            <w:pPr>
              <w:spacing w:after="0" w:line="245" w:lineRule="auto"/>
            </w:pPr>
            <w:r>
              <w:rPr>
                <w:b w:val="0"/>
                <w:color w:val="000000"/>
                <w:sz w:val="16"/>
              </w:rPr>
              <w:t>Azure Container Registry (ACR)</w:t>
            </w:r>
          </w:p>
        </w:tc>
        <w:tc>
          <w:tcPr>
            <w:tcW w:type="dxa" w:w="4464"/>
            <w:vAlign w:val="center"/>
            <w:tcMar>
              <w:top w:w="100" w:type="dxa"/>
              <w:bottom w:w="100" w:type="dxa"/>
              <w:left w:w="100" w:type="dxa"/>
              <w:right w:w="100" w:type="dxa"/>
            </w:tcMar>
            <w:shd w:fill="F2F6FA"/>
          </w:tcPr>
          <w:p>
            <w:pPr>
              <w:spacing w:after="0" w:line="245" w:lineRule="auto"/>
            </w:pPr>
            <w:r>
              <w:rPr>
                <w:b w:val="0"/>
                <w:color w:val="000000"/>
                <w:sz w:val="16"/>
              </w:rPr>
              <w:t>Private registry for application and platform container images.</w:t>
            </w:r>
          </w:p>
        </w:tc>
      </w:tr>
    </w:tbl>
    <w:p>
      <w:pPr>
        <w:pStyle w:val="Heading2"/>
      </w:pPr>
      <w:r>
        <w:t>Identity, Security and Operations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2952"/>
        <w:gridCol w:w="4464"/>
      </w:tblGrid>
      <w:tr>
        <w:trPr>
          <w:cantSplit/>
          <w:tblHeader/>
        </w:trPr>
        <w:tc>
          <w:tcPr>
            <w:tcW w:type="dxa" w:w="2664"/>
            <w:vAlign w:val="center"/>
            <w:tcMar>
              <w:top w:w="100" w:type="dxa"/>
              <w:bottom w:w="100" w:type="dxa"/>
              <w:left w:w="100" w:type="dxa"/>
              <w:right w:w="100" w:type="dxa"/>
            </w:tcMar>
            <w:shd w:fill="203864"/>
          </w:tcPr>
          <w:p>
            <w:pPr>
              <w:spacing w:after="0" w:line="245" w:lineRule="auto"/>
            </w:pPr>
            <w:r>
              <w:rPr>
                <w:b/>
                <w:color w:val="FFFFFF"/>
                <w:sz w:val="16"/>
              </w:rPr>
              <w:t>OCI term</w:t>
            </w:r>
          </w:p>
        </w:tc>
        <w:tc>
          <w:tcPr>
            <w:tcW w:type="dxa" w:w="2952"/>
            <w:vAlign w:val="center"/>
            <w:tcMar>
              <w:top w:w="100" w:type="dxa"/>
              <w:bottom w:w="100" w:type="dxa"/>
              <w:left w:w="100" w:type="dxa"/>
              <w:right w:w="100" w:type="dxa"/>
            </w:tcMar>
            <w:shd w:fill="203864"/>
          </w:tcPr>
          <w:p>
            <w:pPr>
              <w:spacing w:after="0" w:line="245" w:lineRule="auto"/>
            </w:pPr>
            <w:r>
              <w:rPr>
                <w:b/>
                <w:color w:val="FFFFFF"/>
                <w:sz w:val="16"/>
              </w:rPr>
              <w:t>Azure term</w:t>
            </w:r>
          </w:p>
        </w:tc>
        <w:tc>
          <w:tcPr>
            <w:tcW w:type="dxa" w:w="4464"/>
            <w:vAlign w:val="center"/>
            <w:tcMar>
              <w:top w:w="100" w:type="dxa"/>
              <w:bottom w:w="100" w:type="dxa"/>
              <w:left w:w="100" w:type="dxa"/>
              <w:right w:w="100" w:type="dxa"/>
            </w:tcMar>
            <w:shd w:fill="203864"/>
          </w:tcPr>
          <w:p>
            <w:pPr>
              <w:spacing w:after="0" w:line="245" w:lineRule="auto"/>
            </w:pPr>
            <w:r>
              <w:rPr>
                <w:b/>
                <w:color w:val="FFFFFF"/>
                <w:sz w:val="16"/>
              </w:rPr>
              <w:t>POC interpretation</w:t>
            </w:r>
          </w:p>
        </w:tc>
      </w:tr>
      <w:tr>
        <w:trPr>
          <w:cantSplit/>
        </w:trPr>
        <w:tc>
          <w:tcPr>
            <w:tcW w:type="dxa" w:w="2664"/>
            <w:vAlign w:val="center"/>
            <w:tcMar>
              <w:top w:w="100" w:type="dxa"/>
              <w:bottom w:w="100" w:type="dxa"/>
              <w:left w:w="100" w:type="dxa"/>
              <w:right w:w="100" w:type="dxa"/>
            </w:tcMar>
            <w:shd w:fill="FFFFFF"/>
          </w:tcPr>
          <w:p>
            <w:pPr>
              <w:spacing w:after="0" w:line="245" w:lineRule="auto"/>
            </w:pPr>
            <w:r>
              <w:rPr>
                <w:b w:val="0"/>
                <w:color w:val="000000"/>
                <w:sz w:val="16"/>
              </w:rPr>
              <w:t>Identity domain / IAM</w:t>
            </w:r>
          </w:p>
        </w:tc>
        <w:tc>
          <w:tcPr>
            <w:tcW w:type="dxa" w:w="2952"/>
            <w:vAlign w:val="center"/>
            <w:tcMar>
              <w:top w:w="100" w:type="dxa"/>
              <w:bottom w:w="100" w:type="dxa"/>
              <w:left w:w="100" w:type="dxa"/>
              <w:right w:w="100" w:type="dxa"/>
            </w:tcMar>
            <w:shd w:fill="FFFFFF"/>
          </w:tcPr>
          <w:p>
            <w:pPr>
              <w:spacing w:after="0" w:line="245" w:lineRule="auto"/>
            </w:pPr>
            <w:r>
              <w:rPr>
                <w:b w:val="0"/>
                <w:color w:val="000000"/>
                <w:sz w:val="16"/>
              </w:rPr>
              <w:t>Microsoft Entra ID</w:t>
            </w:r>
          </w:p>
        </w:tc>
        <w:tc>
          <w:tcPr>
            <w:tcW w:type="dxa" w:w="4464"/>
            <w:vAlign w:val="center"/>
            <w:tcMar>
              <w:top w:w="100" w:type="dxa"/>
              <w:bottom w:w="100" w:type="dxa"/>
              <w:left w:w="100" w:type="dxa"/>
              <w:right w:w="100" w:type="dxa"/>
            </w:tcMar>
            <w:shd w:fill="FFFFFF"/>
          </w:tcPr>
          <w:p>
            <w:pPr>
              <w:spacing w:after="0" w:line="245" w:lineRule="auto"/>
            </w:pPr>
            <w:r>
              <w:rPr>
                <w:b w:val="0"/>
                <w:color w:val="000000"/>
                <w:sz w:val="16"/>
              </w:rPr>
              <w:t>Workforce and workload identity foundation.</w:t>
            </w:r>
          </w:p>
        </w:tc>
      </w:tr>
      <w:tr>
        <w:trPr>
          <w:cantSplit/>
        </w:trPr>
        <w:tc>
          <w:tcPr>
            <w:tcW w:type="dxa" w:w="2664"/>
            <w:vAlign w:val="center"/>
            <w:tcMar>
              <w:top w:w="100" w:type="dxa"/>
              <w:bottom w:w="100" w:type="dxa"/>
              <w:left w:w="100" w:type="dxa"/>
              <w:right w:w="100" w:type="dxa"/>
            </w:tcMar>
            <w:shd w:fill="F2F6FA"/>
          </w:tcPr>
          <w:p>
            <w:pPr>
              <w:spacing w:after="0" w:line="245" w:lineRule="auto"/>
            </w:pPr>
            <w:r>
              <w:rPr>
                <w:b w:val="0"/>
                <w:color w:val="000000"/>
                <w:sz w:val="16"/>
              </w:rPr>
              <w:t>IAM policy</w:t>
            </w:r>
          </w:p>
        </w:tc>
        <w:tc>
          <w:tcPr>
            <w:tcW w:type="dxa" w:w="2952"/>
            <w:vAlign w:val="center"/>
            <w:tcMar>
              <w:top w:w="100" w:type="dxa"/>
              <w:bottom w:w="100" w:type="dxa"/>
              <w:left w:w="100" w:type="dxa"/>
              <w:right w:w="100" w:type="dxa"/>
            </w:tcMar>
            <w:shd w:fill="F2F6FA"/>
          </w:tcPr>
          <w:p>
            <w:pPr>
              <w:spacing w:after="0" w:line="245" w:lineRule="auto"/>
            </w:pPr>
            <w:r>
              <w:rPr>
                <w:b w:val="0"/>
                <w:color w:val="000000"/>
                <w:sz w:val="16"/>
              </w:rPr>
              <w:t>Azure RBAC plus Azure Policy</w:t>
            </w:r>
          </w:p>
        </w:tc>
        <w:tc>
          <w:tcPr>
            <w:tcW w:type="dxa" w:w="4464"/>
            <w:vAlign w:val="center"/>
            <w:tcMar>
              <w:top w:w="100" w:type="dxa"/>
              <w:bottom w:w="100" w:type="dxa"/>
              <w:left w:w="100" w:type="dxa"/>
              <w:right w:w="100" w:type="dxa"/>
            </w:tcMar>
            <w:shd w:fill="F2F6FA"/>
          </w:tcPr>
          <w:p>
            <w:pPr>
              <w:spacing w:after="0" w:line="245" w:lineRule="auto"/>
            </w:pPr>
            <w:r>
              <w:rPr>
                <w:b w:val="0"/>
                <w:color w:val="000000"/>
                <w:sz w:val="16"/>
              </w:rPr>
              <w:t>Approximate. RBAC grants access; Azure Policy enforces or audits resource configuration.</w:t>
            </w:r>
          </w:p>
        </w:tc>
      </w:tr>
      <w:tr>
        <w:trPr>
          <w:cantSplit/>
        </w:trPr>
        <w:tc>
          <w:tcPr>
            <w:tcW w:type="dxa" w:w="2664"/>
            <w:vAlign w:val="center"/>
            <w:tcMar>
              <w:top w:w="100" w:type="dxa"/>
              <w:bottom w:w="100" w:type="dxa"/>
              <w:left w:w="100" w:type="dxa"/>
              <w:right w:w="100" w:type="dxa"/>
            </w:tcMar>
            <w:shd w:fill="FFFFFF"/>
          </w:tcPr>
          <w:p>
            <w:pPr>
              <w:spacing w:after="0" w:line="245" w:lineRule="auto"/>
            </w:pPr>
            <w:r>
              <w:rPr>
                <w:b w:val="0"/>
                <w:color w:val="000000"/>
                <w:sz w:val="16"/>
              </w:rPr>
              <w:t>Vault</w:t>
            </w:r>
          </w:p>
        </w:tc>
        <w:tc>
          <w:tcPr>
            <w:tcW w:type="dxa" w:w="2952"/>
            <w:vAlign w:val="center"/>
            <w:tcMar>
              <w:top w:w="100" w:type="dxa"/>
              <w:bottom w:w="100" w:type="dxa"/>
              <w:left w:w="100" w:type="dxa"/>
              <w:right w:w="100" w:type="dxa"/>
            </w:tcMar>
            <w:shd w:fill="FFFFFF"/>
          </w:tcPr>
          <w:p>
            <w:pPr>
              <w:spacing w:after="0" w:line="245" w:lineRule="auto"/>
            </w:pPr>
            <w:r>
              <w:rPr>
                <w:b w:val="0"/>
                <w:color w:val="000000"/>
                <w:sz w:val="16"/>
              </w:rPr>
              <w:t>Azure Key Vault</w:t>
            </w:r>
          </w:p>
        </w:tc>
        <w:tc>
          <w:tcPr>
            <w:tcW w:type="dxa" w:w="4464"/>
            <w:vAlign w:val="center"/>
            <w:tcMar>
              <w:top w:w="100" w:type="dxa"/>
              <w:bottom w:w="100" w:type="dxa"/>
              <w:left w:w="100" w:type="dxa"/>
              <w:right w:w="100" w:type="dxa"/>
            </w:tcMar>
            <w:shd w:fill="FFFFFF"/>
          </w:tcPr>
          <w:p>
            <w:pPr>
              <w:spacing w:after="0" w:line="245" w:lineRule="auto"/>
            </w:pPr>
            <w:r>
              <w:rPr>
                <w:b w:val="0"/>
                <w:color w:val="000000"/>
                <w:sz w:val="16"/>
              </w:rPr>
              <w:t>Store secrets, keys and certificates outside application configuration.</w:t>
            </w:r>
          </w:p>
        </w:tc>
      </w:tr>
      <w:tr>
        <w:trPr>
          <w:cantSplit/>
        </w:trPr>
        <w:tc>
          <w:tcPr>
            <w:tcW w:type="dxa" w:w="2664"/>
            <w:vAlign w:val="center"/>
            <w:tcMar>
              <w:top w:w="100" w:type="dxa"/>
              <w:bottom w:w="100" w:type="dxa"/>
              <w:left w:w="100" w:type="dxa"/>
              <w:right w:w="100" w:type="dxa"/>
            </w:tcMar>
            <w:shd w:fill="F2F6FA"/>
          </w:tcPr>
          <w:p>
            <w:pPr>
              <w:spacing w:after="0" w:line="245" w:lineRule="auto"/>
            </w:pPr>
            <w:r>
              <w:rPr>
                <w:b w:val="0"/>
                <w:color w:val="000000"/>
                <w:sz w:val="16"/>
              </w:rPr>
              <w:t>Cloud Guard</w:t>
            </w:r>
          </w:p>
        </w:tc>
        <w:tc>
          <w:tcPr>
            <w:tcW w:type="dxa" w:w="2952"/>
            <w:vAlign w:val="center"/>
            <w:tcMar>
              <w:top w:w="100" w:type="dxa"/>
              <w:bottom w:w="100" w:type="dxa"/>
              <w:left w:w="100" w:type="dxa"/>
              <w:right w:w="100" w:type="dxa"/>
            </w:tcMar>
            <w:shd w:fill="F2F6FA"/>
          </w:tcPr>
          <w:p>
            <w:pPr>
              <w:spacing w:after="0" w:line="245" w:lineRule="auto"/>
            </w:pPr>
            <w:r>
              <w:rPr>
                <w:b w:val="0"/>
                <w:color w:val="000000"/>
                <w:sz w:val="16"/>
              </w:rPr>
              <w:t>Microsoft Defender for Cloud</w:t>
            </w:r>
          </w:p>
        </w:tc>
        <w:tc>
          <w:tcPr>
            <w:tcW w:type="dxa" w:w="4464"/>
            <w:vAlign w:val="center"/>
            <w:tcMar>
              <w:top w:w="100" w:type="dxa"/>
              <w:bottom w:w="100" w:type="dxa"/>
              <w:left w:w="100" w:type="dxa"/>
              <w:right w:w="100" w:type="dxa"/>
            </w:tcMar>
            <w:shd w:fill="F2F6FA"/>
          </w:tcPr>
          <w:p>
            <w:pPr>
              <w:spacing w:after="0" w:line="245" w:lineRule="auto"/>
            </w:pPr>
            <w:r>
              <w:rPr>
                <w:b w:val="0"/>
                <w:color w:val="000000"/>
                <w:sz w:val="16"/>
              </w:rPr>
              <w:t>Cloud security posture, recommendations and workload protection capabilities.</w:t>
            </w:r>
          </w:p>
        </w:tc>
      </w:tr>
      <w:tr>
        <w:trPr>
          <w:cantSplit/>
        </w:trPr>
        <w:tc>
          <w:tcPr>
            <w:tcW w:type="dxa" w:w="2664"/>
            <w:vAlign w:val="center"/>
            <w:tcMar>
              <w:top w:w="100" w:type="dxa"/>
              <w:bottom w:w="100" w:type="dxa"/>
              <w:left w:w="100" w:type="dxa"/>
              <w:right w:w="100" w:type="dxa"/>
            </w:tcMar>
            <w:shd w:fill="FFFFFF"/>
          </w:tcPr>
          <w:p>
            <w:pPr>
              <w:spacing w:after="0" w:line="245" w:lineRule="auto"/>
            </w:pPr>
            <w:r>
              <w:rPr>
                <w:b w:val="0"/>
                <w:color w:val="000000"/>
                <w:sz w:val="16"/>
              </w:rPr>
              <w:t>Security Zones</w:t>
            </w:r>
          </w:p>
        </w:tc>
        <w:tc>
          <w:tcPr>
            <w:tcW w:type="dxa" w:w="2952"/>
            <w:vAlign w:val="center"/>
            <w:tcMar>
              <w:top w:w="100" w:type="dxa"/>
              <w:bottom w:w="100" w:type="dxa"/>
              <w:left w:w="100" w:type="dxa"/>
              <w:right w:w="100" w:type="dxa"/>
            </w:tcMar>
            <w:shd w:fill="FFFFFF"/>
          </w:tcPr>
          <w:p>
            <w:pPr>
              <w:spacing w:after="0" w:line="245" w:lineRule="auto"/>
            </w:pPr>
            <w:r>
              <w:rPr>
                <w:b w:val="0"/>
                <w:color w:val="000000"/>
                <w:sz w:val="16"/>
              </w:rPr>
              <w:t>Azure Policy initiatives and landing-zone guardrails</w:t>
            </w:r>
          </w:p>
        </w:tc>
        <w:tc>
          <w:tcPr>
            <w:tcW w:type="dxa" w:w="4464"/>
            <w:vAlign w:val="center"/>
            <w:tcMar>
              <w:top w:w="100" w:type="dxa"/>
              <w:bottom w:w="100" w:type="dxa"/>
              <w:left w:w="100" w:type="dxa"/>
              <w:right w:w="100" w:type="dxa"/>
            </w:tcMar>
            <w:shd w:fill="FFFFFF"/>
          </w:tcPr>
          <w:p>
            <w:pPr>
              <w:spacing w:after="0" w:line="245" w:lineRule="auto"/>
            </w:pPr>
            <w:r>
              <w:rPr>
                <w:b w:val="0"/>
                <w:color w:val="000000"/>
                <w:sz w:val="16"/>
              </w:rPr>
              <w:t>Approximate. Enforce approved configurations at management-group, subscription or resource-group scope.</w:t>
            </w:r>
          </w:p>
        </w:tc>
      </w:tr>
      <w:tr>
        <w:trPr>
          <w:cantSplit/>
        </w:trPr>
        <w:tc>
          <w:tcPr>
            <w:tcW w:type="dxa" w:w="2664"/>
            <w:vAlign w:val="center"/>
            <w:tcMar>
              <w:top w:w="100" w:type="dxa"/>
              <w:bottom w:w="100" w:type="dxa"/>
              <w:left w:w="100" w:type="dxa"/>
              <w:right w:w="100" w:type="dxa"/>
            </w:tcMar>
            <w:shd w:fill="F2F6FA"/>
          </w:tcPr>
          <w:p>
            <w:pPr>
              <w:spacing w:after="0" w:line="245" w:lineRule="auto"/>
            </w:pPr>
            <w:r>
              <w:rPr>
                <w:b w:val="0"/>
                <w:color w:val="000000"/>
                <w:sz w:val="16"/>
              </w:rPr>
              <w:t>Logging / Monitoring</w:t>
            </w:r>
          </w:p>
        </w:tc>
        <w:tc>
          <w:tcPr>
            <w:tcW w:type="dxa" w:w="2952"/>
            <w:vAlign w:val="center"/>
            <w:tcMar>
              <w:top w:w="100" w:type="dxa"/>
              <w:bottom w:w="100" w:type="dxa"/>
              <w:left w:w="100" w:type="dxa"/>
              <w:right w:w="100" w:type="dxa"/>
            </w:tcMar>
            <w:shd w:fill="F2F6FA"/>
          </w:tcPr>
          <w:p>
            <w:pPr>
              <w:spacing w:after="0" w:line="245" w:lineRule="auto"/>
            </w:pPr>
            <w:r>
              <w:rPr>
                <w:b w:val="0"/>
                <w:color w:val="000000"/>
                <w:sz w:val="16"/>
              </w:rPr>
              <w:t>Azure Monitor and Log Analytics</w:t>
            </w:r>
          </w:p>
        </w:tc>
        <w:tc>
          <w:tcPr>
            <w:tcW w:type="dxa" w:w="4464"/>
            <w:vAlign w:val="center"/>
            <w:tcMar>
              <w:top w:w="100" w:type="dxa"/>
              <w:bottom w:w="100" w:type="dxa"/>
              <w:left w:w="100" w:type="dxa"/>
              <w:right w:w="100" w:type="dxa"/>
            </w:tcMar>
            <w:shd w:fill="F2F6FA"/>
          </w:tcPr>
          <w:p>
            <w:pPr>
              <w:spacing w:after="0" w:line="245" w:lineRule="auto"/>
            </w:pPr>
            <w:r>
              <w:rPr>
                <w:b w:val="0"/>
                <w:color w:val="000000"/>
                <w:sz w:val="16"/>
              </w:rPr>
              <w:t>Central platform metrics, logs, queries, dashboards and alerts.</w:t>
            </w:r>
          </w:p>
        </w:tc>
      </w:tr>
      <w:tr>
        <w:trPr>
          <w:cantSplit/>
        </w:trPr>
        <w:tc>
          <w:tcPr>
            <w:tcW w:type="dxa" w:w="2664"/>
            <w:vAlign w:val="center"/>
            <w:tcMar>
              <w:top w:w="100" w:type="dxa"/>
              <w:bottom w:w="100" w:type="dxa"/>
              <w:left w:w="100" w:type="dxa"/>
              <w:right w:w="100" w:type="dxa"/>
            </w:tcMar>
            <w:shd w:fill="FFFFFF"/>
          </w:tcPr>
          <w:p>
            <w:pPr>
              <w:spacing w:after="0" w:line="245" w:lineRule="auto"/>
            </w:pPr>
            <w:r>
              <w:rPr>
                <w:b w:val="0"/>
                <w:color w:val="000000"/>
                <w:sz w:val="16"/>
              </w:rPr>
              <w:t>VCN Flow Logs</w:t>
            </w:r>
          </w:p>
        </w:tc>
        <w:tc>
          <w:tcPr>
            <w:tcW w:type="dxa" w:w="2952"/>
            <w:vAlign w:val="center"/>
            <w:tcMar>
              <w:top w:w="100" w:type="dxa"/>
              <w:bottom w:w="100" w:type="dxa"/>
              <w:left w:w="100" w:type="dxa"/>
              <w:right w:w="100" w:type="dxa"/>
            </w:tcMar>
            <w:shd w:fill="FFFFFF"/>
          </w:tcPr>
          <w:p>
            <w:pPr>
              <w:spacing w:after="0" w:line="245" w:lineRule="auto"/>
            </w:pPr>
            <w:r>
              <w:rPr>
                <w:b w:val="0"/>
                <w:color w:val="000000"/>
                <w:sz w:val="16"/>
              </w:rPr>
              <w:t>Virtual Network Flow Logs</w:t>
            </w:r>
          </w:p>
        </w:tc>
        <w:tc>
          <w:tcPr>
            <w:tcW w:type="dxa" w:w="4464"/>
            <w:vAlign w:val="center"/>
            <w:tcMar>
              <w:top w:w="100" w:type="dxa"/>
              <w:bottom w:w="100" w:type="dxa"/>
              <w:left w:w="100" w:type="dxa"/>
              <w:right w:w="100" w:type="dxa"/>
            </w:tcMar>
            <w:shd w:fill="FFFFFF"/>
          </w:tcPr>
          <w:p>
            <w:pPr>
              <w:spacing w:after="0" w:line="245" w:lineRule="auto"/>
            </w:pPr>
            <w:r>
              <w:rPr>
                <w:b w:val="0"/>
                <w:color w:val="000000"/>
                <w:sz w:val="16"/>
              </w:rPr>
              <w:t>Network-flow evidence for troubleshooting and security analysis.</w:t>
            </w:r>
          </w:p>
        </w:tc>
      </w:tr>
      <w:tr>
        <w:trPr>
          <w:cantSplit/>
        </w:trPr>
        <w:tc>
          <w:tcPr>
            <w:tcW w:type="dxa" w:w="2664"/>
            <w:vAlign w:val="center"/>
            <w:tcMar>
              <w:top w:w="100" w:type="dxa"/>
              <w:bottom w:w="100" w:type="dxa"/>
              <w:left w:w="100" w:type="dxa"/>
              <w:right w:w="100" w:type="dxa"/>
            </w:tcMar>
            <w:shd w:fill="F2F6FA"/>
          </w:tcPr>
          <w:p>
            <w:pPr>
              <w:spacing w:after="0" w:line="245" w:lineRule="auto"/>
            </w:pPr>
            <w:r>
              <w:rPr>
                <w:b w:val="0"/>
                <w:color w:val="000000"/>
                <w:sz w:val="16"/>
              </w:rPr>
              <w:t>Resource Manager (ORM)</w:t>
            </w:r>
          </w:p>
        </w:tc>
        <w:tc>
          <w:tcPr>
            <w:tcW w:type="dxa" w:w="2952"/>
            <w:vAlign w:val="center"/>
            <w:tcMar>
              <w:top w:w="100" w:type="dxa"/>
              <w:bottom w:w="100" w:type="dxa"/>
              <w:left w:w="100" w:type="dxa"/>
              <w:right w:w="100" w:type="dxa"/>
            </w:tcMar>
            <w:shd w:fill="F2F6FA"/>
          </w:tcPr>
          <w:p>
            <w:pPr>
              <w:spacing w:after="0" w:line="245" w:lineRule="auto"/>
            </w:pPr>
            <w:r>
              <w:rPr>
                <w:b w:val="0"/>
                <w:color w:val="000000"/>
                <w:sz w:val="16"/>
              </w:rPr>
              <w:t>Azure Resource Manager/Bicep or Terraform pipeline</w:t>
            </w:r>
          </w:p>
        </w:tc>
        <w:tc>
          <w:tcPr>
            <w:tcW w:type="dxa" w:w="4464"/>
            <w:vAlign w:val="center"/>
            <w:tcMar>
              <w:top w:w="100" w:type="dxa"/>
              <w:bottom w:w="100" w:type="dxa"/>
              <w:left w:w="100" w:type="dxa"/>
              <w:right w:w="100" w:type="dxa"/>
            </w:tcMar>
            <w:shd w:fill="F2F6FA"/>
          </w:tcPr>
          <w:p>
            <w:pPr>
              <w:spacing w:after="0" w:line="245" w:lineRule="auto"/>
            </w:pPr>
            <w:r>
              <w:rPr>
                <w:b w:val="0"/>
                <w:color w:val="000000"/>
                <w:sz w:val="16"/>
              </w:rPr>
              <w:t>No exact managed-Terraform equivalent. This POC will use Terraform with an approved delivery pipeline.</w:t>
            </w:r>
          </w:p>
        </w:tc>
      </w:tr>
    </w:tbl>
    <w:p>
      <w:r>
        <w:br w:type="page"/>
      </w:r>
    </w:p>
    <w:p>
      <w:pPr>
        <w:pStyle w:val="Heading1"/>
      </w:pPr>
      <w:r>
        <w:t>Migration Workstreams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4968"/>
        <w:gridCol w:w="3240"/>
      </w:tblGrid>
      <w:tr>
        <w:trPr>
          <w:cantSplit/>
          <w:tblHeader/>
        </w:trPr>
        <w:tc>
          <w:tcPr>
            <w:tcW w:type="dxa" w:w="1872"/>
            <w:vAlign w:val="center"/>
            <w:tcMar>
              <w:top w:w="100" w:type="dxa"/>
              <w:bottom w:w="100" w:type="dxa"/>
              <w:left w:w="100" w:type="dxa"/>
              <w:right w:w="100" w:type="dxa"/>
            </w:tcMar>
            <w:shd w:fill="203864"/>
          </w:tcPr>
          <w:p>
            <w:pPr>
              <w:spacing w:after="0" w:line="245" w:lineRule="auto"/>
            </w:pPr>
            <w:r>
              <w:rPr>
                <w:b/>
                <w:color w:val="FFFFFF"/>
                <w:sz w:val="18"/>
              </w:rPr>
              <w:t>Workstream</w:t>
            </w:r>
          </w:p>
        </w:tc>
        <w:tc>
          <w:tcPr>
            <w:tcW w:type="dxa" w:w="4968"/>
            <w:vAlign w:val="center"/>
            <w:tcMar>
              <w:top w:w="100" w:type="dxa"/>
              <w:bottom w:w="100" w:type="dxa"/>
              <w:left w:w="100" w:type="dxa"/>
              <w:right w:w="100" w:type="dxa"/>
            </w:tcMar>
            <w:shd w:fill="203864"/>
          </w:tcPr>
          <w:p>
            <w:pPr>
              <w:spacing w:after="0" w:line="245" w:lineRule="auto"/>
            </w:pPr>
            <w:r>
              <w:rPr>
                <w:b/>
                <w:color w:val="FFFFFF"/>
                <w:sz w:val="18"/>
              </w:rPr>
              <w:t>Required work</w:t>
            </w:r>
          </w:p>
        </w:tc>
        <w:tc>
          <w:tcPr>
            <w:tcW w:type="dxa" w:w="3240"/>
            <w:vAlign w:val="center"/>
            <w:tcMar>
              <w:top w:w="100" w:type="dxa"/>
              <w:bottom w:w="100" w:type="dxa"/>
              <w:left w:w="100" w:type="dxa"/>
              <w:right w:w="100" w:type="dxa"/>
            </w:tcMar>
            <w:shd w:fill="203864"/>
          </w:tcPr>
          <w:p>
            <w:pPr>
              <w:spacing w:after="0" w:line="245" w:lineRule="auto"/>
            </w:pPr>
            <w:r>
              <w:rPr>
                <w:b/>
                <w:color w:val="FFFFFF"/>
                <w:sz w:val="18"/>
              </w:rPr>
              <w:t>Completion evidence</w:t>
            </w:r>
          </w:p>
        </w:tc>
      </w:tr>
      <w:tr>
        <w:trPr>
          <w:cantSplit/>
        </w:trPr>
        <w:tc>
          <w:tcPr>
            <w:tcW w:type="dxa" w:w="1872"/>
            <w:vAlign w:val="center"/>
            <w:tcMar>
              <w:top w:w="100" w:type="dxa"/>
              <w:bottom w:w="100" w:type="dxa"/>
              <w:left w:w="100" w:type="dxa"/>
              <w:right w:w="100" w:type="dxa"/>
            </w:tcMar>
            <w:shd w:fill="FFFFFF"/>
          </w:tcPr>
          <w:p>
            <w:pPr>
              <w:spacing w:after="0" w:line="245" w:lineRule="auto"/>
            </w:pPr>
            <w:r>
              <w:rPr>
                <w:b w:val="0"/>
                <w:color w:val="000000"/>
                <w:sz w:val="18"/>
              </w:rPr>
              <w:t>Governance</w:t>
            </w:r>
          </w:p>
        </w:tc>
        <w:tc>
          <w:tcPr>
            <w:tcW w:type="dxa" w:w="4968"/>
            <w:vAlign w:val="center"/>
            <w:tcMar>
              <w:top w:w="100" w:type="dxa"/>
              <w:bottom w:w="100" w:type="dxa"/>
              <w:left w:w="100" w:type="dxa"/>
              <w:right w:w="100" w:type="dxa"/>
            </w:tcMar>
            <w:shd w:fill="FFFFFF"/>
          </w:tcPr>
          <w:p>
            <w:pPr>
              <w:spacing w:after="0" w:line="245" w:lineRule="auto"/>
            </w:pPr>
            <w:r>
              <w:rPr>
                <w:b w:val="0"/>
                <w:color w:val="000000"/>
                <w:sz w:val="18"/>
              </w:rPr>
              <w:t>Confirm subscription, region, funding, permitted data classification, resource owners, tags and deletion date.</w:t>
            </w:r>
          </w:p>
        </w:tc>
        <w:tc>
          <w:tcPr>
            <w:tcW w:type="dxa" w:w="3240"/>
            <w:vAlign w:val="center"/>
            <w:tcMar>
              <w:top w:w="100" w:type="dxa"/>
              <w:bottom w:w="100" w:type="dxa"/>
              <w:left w:w="100" w:type="dxa"/>
              <w:right w:w="100" w:type="dxa"/>
            </w:tcMar>
            <w:shd w:fill="FFFFFF"/>
          </w:tcPr>
          <w:p>
            <w:pPr>
              <w:spacing w:after="0" w:line="245" w:lineRule="auto"/>
            </w:pPr>
            <w:r>
              <w:rPr>
                <w:b w:val="0"/>
                <w:color w:val="000000"/>
                <w:sz w:val="18"/>
              </w:rPr>
              <w:t>Approved scope, budget and ownership record.</w:t>
            </w:r>
          </w:p>
        </w:tc>
      </w:tr>
      <w:tr>
        <w:trPr>
          <w:cantSplit/>
        </w:trPr>
        <w:tc>
          <w:tcPr>
            <w:tcW w:type="dxa" w:w="1872"/>
            <w:vAlign w:val="center"/>
            <w:tcMar>
              <w:top w:w="100" w:type="dxa"/>
              <w:bottom w:w="100" w:type="dxa"/>
              <w:left w:w="100" w:type="dxa"/>
              <w:right w:w="100" w:type="dxa"/>
            </w:tcMar>
            <w:shd w:fill="F2F6FA"/>
          </w:tcPr>
          <w:p>
            <w:pPr>
              <w:spacing w:after="0" w:line="245" w:lineRule="auto"/>
            </w:pPr>
            <w:r>
              <w:rPr>
                <w:b w:val="0"/>
                <w:color w:val="000000"/>
                <w:sz w:val="18"/>
              </w:rPr>
              <w:t>Vendor validation</w:t>
            </w:r>
          </w:p>
        </w:tc>
        <w:tc>
          <w:tcPr>
            <w:tcW w:type="dxa" w:w="4968"/>
            <w:vAlign w:val="center"/>
            <w:tcMar>
              <w:top w:w="100" w:type="dxa"/>
              <w:bottom w:w="100" w:type="dxa"/>
              <w:left w:w="100" w:type="dxa"/>
              <w:right w:w="100" w:type="dxa"/>
            </w:tcMar>
            <w:shd w:fill="F2F6FA"/>
          </w:tcPr>
          <w:p>
            <w:pPr>
              <w:spacing w:after="0" w:line="245" w:lineRule="auto"/>
            </w:pPr>
            <w:r>
              <w:rPr>
                <w:b w:val="0"/>
                <w:color w:val="000000"/>
                <w:sz w:val="18"/>
              </w:rPr>
              <w:t>Confirm application releases, OS, Kubernetes, CPU and GPU topology, database, storage protocol and installation support.</w:t>
            </w:r>
          </w:p>
        </w:tc>
        <w:tc>
          <w:tcPr>
            <w:tcW w:type="dxa" w:w="3240"/>
            <w:vAlign w:val="center"/>
            <w:tcMar>
              <w:top w:w="100" w:type="dxa"/>
              <w:bottom w:w="100" w:type="dxa"/>
              <w:left w:w="100" w:type="dxa"/>
              <w:right w:w="100" w:type="dxa"/>
            </w:tcMar>
            <w:shd w:fill="F2F6FA"/>
          </w:tcPr>
          <w:p>
            <w:pPr>
              <w:spacing w:after="0" w:line="245" w:lineRule="auto"/>
            </w:pPr>
            <w:r>
              <w:rPr>
                <w:b w:val="0"/>
                <w:color w:val="000000"/>
                <w:sz w:val="18"/>
              </w:rPr>
              <w:t>Written DataWalk and Hyperscience compatibility decisions.</w:t>
            </w:r>
          </w:p>
        </w:tc>
      </w:tr>
      <w:tr>
        <w:trPr>
          <w:cantSplit/>
        </w:trPr>
        <w:tc>
          <w:tcPr>
            <w:tcW w:type="dxa" w:w="1872"/>
            <w:vAlign w:val="center"/>
            <w:tcMar>
              <w:top w:w="100" w:type="dxa"/>
              <w:bottom w:w="100" w:type="dxa"/>
              <w:left w:w="100" w:type="dxa"/>
              <w:right w:w="100" w:type="dxa"/>
            </w:tcMar>
            <w:shd w:fill="FFFFFF"/>
          </w:tcPr>
          <w:p>
            <w:pPr>
              <w:spacing w:after="0" w:line="245" w:lineRule="auto"/>
            </w:pPr>
            <w:r>
              <w:rPr>
                <w:b w:val="0"/>
                <w:color w:val="000000"/>
                <w:sz w:val="18"/>
              </w:rPr>
              <w:t>Platform engineering</w:t>
            </w:r>
          </w:p>
        </w:tc>
        <w:tc>
          <w:tcPr>
            <w:tcW w:type="dxa" w:w="4968"/>
            <w:vAlign w:val="center"/>
            <w:tcMar>
              <w:top w:w="100" w:type="dxa"/>
              <w:bottom w:w="100" w:type="dxa"/>
              <w:left w:w="100" w:type="dxa"/>
              <w:right w:w="100" w:type="dxa"/>
            </w:tcMar>
            <w:shd w:fill="FFFFFF"/>
          </w:tcPr>
          <w:p>
            <w:pPr>
              <w:spacing w:after="0" w:line="245" w:lineRule="auto"/>
            </w:pPr>
            <w:r>
              <w:rPr>
                <w:b w:val="0"/>
                <w:color w:val="000000"/>
                <w:sz w:val="18"/>
              </w:rPr>
              <w:t>Translate OCI Terraform into Azure Terraform using the azurerm provider. Build the hub-connected spokes and shared platform services.</w:t>
            </w:r>
          </w:p>
        </w:tc>
        <w:tc>
          <w:tcPr>
            <w:tcW w:type="dxa" w:w="3240"/>
            <w:vAlign w:val="center"/>
            <w:tcMar>
              <w:top w:w="100" w:type="dxa"/>
              <w:bottom w:w="100" w:type="dxa"/>
              <w:left w:w="100" w:type="dxa"/>
              <w:right w:w="100" w:type="dxa"/>
            </w:tcMar>
            <w:shd w:fill="FFFFFF"/>
          </w:tcPr>
          <w:p>
            <w:pPr>
              <w:spacing w:after="0" w:line="245" w:lineRule="auto"/>
            </w:pPr>
            <w:r>
              <w:rPr>
                <w:b w:val="0"/>
                <w:color w:val="000000"/>
                <w:sz w:val="18"/>
              </w:rPr>
              <w:t>Reviewed Terraform plan and deployment record.</w:t>
            </w:r>
          </w:p>
        </w:tc>
      </w:tr>
      <w:tr>
        <w:trPr>
          <w:cantSplit/>
        </w:trPr>
        <w:tc>
          <w:tcPr>
            <w:tcW w:type="dxa" w:w="1872"/>
            <w:vAlign w:val="center"/>
            <w:tcMar>
              <w:top w:w="100" w:type="dxa"/>
              <w:bottom w:w="100" w:type="dxa"/>
              <w:left w:w="100" w:type="dxa"/>
              <w:right w:w="100" w:type="dxa"/>
            </w:tcMar>
            <w:shd w:fill="F2F6FA"/>
          </w:tcPr>
          <w:p>
            <w:pPr>
              <w:spacing w:after="0" w:line="245" w:lineRule="auto"/>
            </w:pPr>
            <w:r>
              <w:rPr>
                <w:b w:val="0"/>
                <w:color w:val="000000"/>
                <w:sz w:val="18"/>
              </w:rPr>
              <w:t>Security and identity</w:t>
            </w:r>
          </w:p>
        </w:tc>
        <w:tc>
          <w:tcPr>
            <w:tcW w:type="dxa" w:w="4968"/>
            <w:vAlign w:val="center"/>
            <w:tcMar>
              <w:top w:w="100" w:type="dxa"/>
              <w:bottom w:w="100" w:type="dxa"/>
              <w:left w:w="100" w:type="dxa"/>
              <w:right w:w="100" w:type="dxa"/>
            </w:tcMar>
            <w:shd w:fill="F2F6FA"/>
          </w:tcPr>
          <w:p>
            <w:pPr>
              <w:spacing w:after="0" w:line="245" w:lineRule="auto"/>
            </w:pPr>
            <w:r>
              <w:rPr>
                <w:b w:val="0"/>
                <w:color w:val="000000"/>
                <w:sz w:val="18"/>
              </w:rPr>
              <w:t>Apply Azure Policy, RBAC, Key Vault, logging, vulnerability scanning, NSGs, firewall rules and private administration paths.</w:t>
            </w:r>
          </w:p>
        </w:tc>
        <w:tc>
          <w:tcPr>
            <w:tcW w:type="dxa" w:w="3240"/>
            <w:vAlign w:val="center"/>
            <w:tcMar>
              <w:top w:w="100" w:type="dxa"/>
              <w:bottom w:w="100" w:type="dxa"/>
              <w:left w:w="100" w:type="dxa"/>
              <w:right w:w="100" w:type="dxa"/>
            </w:tcMar>
            <w:shd w:fill="F2F6FA"/>
          </w:tcPr>
          <w:p>
            <w:pPr>
              <w:spacing w:after="0" w:line="245" w:lineRule="auto"/>
            </w:pPr>
            <w:r>
              <w:rPr>
                <w:b w:val="0"/>
                <w:color w:val="000000"/>
                <w:sz w:val="18"/>
              </w:rPr>
              <w:t>Security checklist, access tests and log samples.</w:t>
            </w:r>
          </w:p>
        </w:tc>
      </w:tr>
      <w:tr>
        <w:trPr>
          <w:cantSplit/>
        </w:trPr>
        <w:tc>
          <w:tcPr>
            <w:tcW w:type="dxa" w:w="1872"/>
            <w:vAlign w:val="center"/>
            <w:tcMar>
              <w:top w:w="100" w:type="dxa"/>
              <w:bottom w:w="100" w:type="dxa"/>
              <w:left w:w="100" w:type="dxa"/>
              <w:right w:w="100" w:type="dxa"/>
            </w:tcMar>
            <w:shd w:fill="FFFFFF"/>
          </w:tcPr>
          <w:p>
            <w:pPr>
              <w:spacing w:after="0" w:line="245" w:lineRule="auto"/>
            </w:pPr>
            <w:r>
              <w:rPr>
                <w:b w:val="0"/>
                <w:color w:val="000000"/>
                <w:sz w:val="18"/>
              </w:rPr>
              <w:t>Application deployment</w:t>
            </w:r>
          </w:p>
        </w:tc>
        <w:tc>
          <w:tcPr>
            <w:tcW w:type="dxa" w:w="4968"/>
            <w:vAlign w:val="center"/>
            <w:tcMar>
              <w:top w:w="100" w:type="dxa"/>
              <w:bottom w:w="100" w:type="dxa"/>
              <w:left w:w="100" w:type="dxa"/>
              <w:right w:w="100" w:type="dxa"/>
            </w:tcMar>
            <w:shd w:fill="FFFFFF"/>
          </w:tcPr>
          <w:p>
            <w:pPr>
              <w:spacing w:after="0" w:line="245" w:lineRule="auto"/>
            </w:pPr>
            <w:r>
              <w:rPr>
                <w:b w:val="0"/>
                <w:color w:val="000000"/>
                <w:sz w:val="18"/>
              </w:rPr>
              <w:t>Build separate clusters, install DataWalk and Hyperscience, load licenses, configure dependencies and complete smoke tests.</w:t>
            </w:r>
          </w:p>
        </w:tc>
        <w:tc>
          <w:tcPr>
            <w:tcW w:type="dxa" w:w="3240"/>
            <w:vAlign w:val="center"/>
            <w:tcMar>
              <w:top w:w="100" w:type="dxa"/>
              <w:bottom w:w="100" w:type="dxa"/>
              <w:left w:w="100" w:type="dxa"/>
              <w:right w:w="100" w:type="dxa"/>
            </w:tcMar>
            <w:shd w:fill="FFFFFF"/>
          </w:tcPr>
          <w:p>
            <w:pPr>
              <w:spacing w:after="0" w:line="245" w:lineRule="auto"/>
            </w:pPr>
            <w:r>
              <w:rPr>
                <w:b w:val="0"/>
                <w:color w:val="000000"/>
                <w:sz w:val="18"/>
              </w:rPr>
              <w:t>Vendor-confirmed healthy installations.</w:t>
            </w:r>
          </w:p>
        </w:tc>
      </w:tr>
      <w:tr>
        <w:trPr>
          <w:cantSplit/>
        </w:trPr>
        <w:tc>
          <w:tcPr>
            <w:tcW w:type="dxa" w:w="1872"/>
            <w:vAlign w:val="center"/>
            <w:tcMar>
              <w:top w:w="100" w:type="dxa"/>
              <w:bottom w:w="100" w:type="dxa"/>
              <w:left w:w="100" w:type="dxa"/>
              <w:right w:w="100" w:type="dxa"/>
            </w:tcMar>
            <w:shd w:fill="F2F6FA"/>
          </w:tcPr>
          <w:p>
            <w:pPr>
              <w:spacing w:after="0" w:line="245" w:lineRule="auto"/>
            </w:pPr>
            <w:r>
              <w:rPr>
                <w:b w:val="0"/>
                <w:color w:val="000000"/>
                <w:sz w:val="18"/>
              </w:rPr>
              <w:t>Data and integration</w:t>
            </w:r>
          </w:p>
        </w:tc>
        <w:tc>
          <w:tcPr>
            <w:tcW w:type="dxa" w:w="4968"/>
            <w:vAlign w:val="center"/>
            <w:tcMar>
              <w:top w:w="100" w:type="dxa"/>
              <w:bottom w:w="100" w:type="dxa"/>
              <w:left w:w="100" w:type="dxa"/>
              <w:right w:w="100" w:type="dxa"/>
            </w:tcMar>
            <w:shd w:fill="F2F6FA"/>
          </w:tcPr>
          <w:p>
            <w:pPr>
              <w:spacing w:after="0" w:line="245" w:lineRule="auto"/>
            </w:pPr>
            <w:r>
              <w:rPr>
                <w:b w:val="0"/>
                <w:color w:val="000000"/>
                <w:sz w:val="18"/>
              </w:rPr>
              <w:t>Load approved test data and reproduce the Hyperscience output, postprocessing and DataWalk ingestion workflow.</w:t>
            </w:r>
          </w:p>
        </w:tc>
        <w:tc>
          <w:tcPr>
            <w:tcW w:type="dxa" w:w="3240"/>
            <w:vAlign w:val="center"/>
            <w:tcMar>
              <w:top w:w="100" w:type="dxa"/>
              <w:bottom w:w="100" w:type="dxa"/>
              <w:left w:w="100" w:type="dxa"/>
              <w:right w:w="100" w:type="dxa"/>
            </w:tcMar>
            <w:shd w:fill="F2F6FA"/>
          </w:tcPr>
          <w:p>
            <w:pPr>
              <w:spacing w:after="0" w:line="245" w:lineRule="auto"/>
            </w:pPr>
            <w:r>
              <w:rPr>
                <w:b w:val="0"/>
                <w:color w:val="000000"/>
                <w:sz w:val="18"/>
              </w:rPr>
              <w:t>Reconciled input and output manifest.</w:t>
            </w:r>
          </w:p>
        </w:tc>
      </w:tr>
      <w:tr>
        <w:trPr>
          <w:cantSplit/>
        </w:trPr>
        <w:tc>
          <w:tcPr>
            <w:tcW w:type="dxa" w:w="1872"/>
            <w:vAlign w:val="center"/>
            <w:tcMar>
              <w:top w:w="100" w:type="dxa"/>
              <w:bottom w:w="100" w:type="dxa"/>
              <w:left w:w="100" w:type="dxa"/>
              <w:right w:w="100" w:type="dxa"/>
            </w:tcMar>
            <w:shd w:fill="FFFFFF"/>
          </w:tcPr>
          <w:p>
            <w:pPr>
              <w:spacing w:after="0" w:line="245" w:lineRule="auto"/>
            </w:pPr>
            <w:r>
              <w:rPr>
                <w:b w:val="0"/>
                <w:color w:val="000000"/>
                <w:sz w:val="18"/>
              </w:rPr>
              <w:t>Testing and decision</w:t>
            </w:r>
          </w:p>
        </w:tc>
        <w:tc>
          <w:tcPr>
            <w:tcW w:type="dxa" w:w="4968"/>
            <w:vAlign w:val="center"/>
            <w:tcMar>
              <w:top w:w="100" w:type="dxa"/>
              <w:bottom w:w="100" w:type="dxa"/>
              <w:left w:w="100" w:type="dxa"/>
              <w:right w:w="100" w:type="dxa"/>
            </w:tcMar>
            <w:shd w:fill="FFFFFF"/>
          </w:tcPr>
          <w:p>
            <w:pPr>
              <w:spacing w:after="0" w:line="245" w:lineRule="auto"/>
            </w:pPr>
            <w:r>
              <w:rPr>
                <w:b w:val="0"/>
                <w:color w:val="000000"/>
                <w:sz w:val="18"/>
              </w:rPr>
              <w:t>Measure functionality, performance, accuracy, recovery, security findings, operating effort and Azure cost.</w:t>
            </w:r>
          </w:p>
        </w:tc>
        <w:tc>
          <w:tcPr>
            <w:tcW w:type="dxa" w:w="3240"/>
            <w:vAlign w:val="center"/>
            <w:tcMar>
              <w:top w:w="100" w:type="dxa"/>
              <w:bottom w:w="100" w:type="dxa"/>
              <w:left w:w="100" w:type="dxa"/>
              <w:right w:w="100" w:type="dxa"/>
            </w:tcMar>
            <w:shd w:fill="FFFFFF"/>
          </w:tcPr>
          <w:p>
            <w:pPr>
              <w:spacing w:after="0" w:line="245" w:lineRule="auto"/>
            </w:pPr>
            <w:r>
              <w:rPr>
                <w:b w:val="0"/>
                <w:color w:val="000000"/>
                <w:sz w:val="18"/>
              </w:rPr>
              <w:t>Signed POC results and recommendation.</w:t>
            </w:r>
          </w:p>
        </w:tc>
      </w:tr>
    </w:tbl>
    <w:p>
      <w:pPr>
        <w:pStyle w:val="Heading1"/>
      </w:pPr>
      <w:r>
        <w:t>Eight Week Timeline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48"/>
        <w:gridCol w:w="1512"/>
        <w:gridCol w:w="5400"/>
        <w:gridCol w:w="2520"/>
      </w:tblGrid>
      <w:tr>
        <w:trPr>
          <w:cantSplit/>
          <w:tblHeader/>
        </w:trPr>
        <w:tc>
          <w:tcPr>
            <w:tcW w:type="dxa" w:w="648"/>
            <w:vAlign w:val="center"/>
            <w:tcMar>
              <w:top w:w="100" w:type="dxa"/>
              <w:bottom w:w="100" w:type="dxa"/>
              <w:left w:w="100" w:type="dxa"/>
              <w:right w:w="100" w:type="dxa"/>
            </w:tcMar>
            <w:shd w:fill="203864"/>
          </w:tcPr>
          <w:p>
            <w:pPr>
              <w:spacing w:after="0" w:line="245" w:lineRule="auto"/>
              <w:jc w:val="center"/>
            </w:pPr>
            <w:r>
              <w:rPr>
                <w:b/>
                <w:color w:val="FFFFFF"/>
                <w:sz w:val="17"/>
              </w:rPr>
              <w:t>Wk</w:t>
            </w:r>
          </w:p>
        </w:tc>
        <w:tc>
          <w:tcPr>
            <w:tcW w:type="dxa" w:w="1512"/>
            <w:vAlign w:val="center"/>
            <w:tcMar>
              <w:top w:w="100" w:type="dxa"/>
              <w:bottom w:w="100" w:type="dxa"/>
              <w:left w:w="100" w:type="dxa"/>
              <w:right w:w="100" w:type="dxa"/>
            </w:tcMar>
            <w:shd w:fill="203864"/>
          </w:tcPr>
          <w:p>
            <w:pPr>
              <w:spacing w:after="0" w:line="245" w:lineRule="auto"/>
              <w:jc w:val="center"/>
            </w:pPr>
            <w:r>
              <w:rPr>
                <w:b/>
                <w:color w:val="FFFFFF"/>
                <w:sz w:val="17"/>
              </w:rPr>
              <w:t>Dates</w:t>
            </w:r>
          </w:p>
        </w:tc>
        <w:tc>
          <w:tcPr>
            <w:tcW w:type="dxa" w:w="5400"/>
            <w:vAlign w:val="center"/>
            <w:tcMar>
              <w:top w:w="100" w:type="dxa"/>
              <w:bottom w:w="100" w:type="dxa"/>
              <w:left w:w="100" w:type="dxa"/>
              <w:right w:w="100" w:type="dxa"/>
            </w:tcMar>
            <w:shd w:fill="203864"/>
          </w:tcPr>
          <w:p>
            <w:pPr>
              <w:spacing w:after="0" w:line="245" w:lineRule="auto"/>
            </w:pPr>
            <w:r>
              <w:rPr>
                <w:b/>
                <w:color w:val="FFFFFF"/>
                <w:sz w:val="17"/>
              </w:rPr>
              <w:t>Activities</w:t>
            </w:r>
          </w:p>
        </w:tc>
        <w:tc>
          <w:tcPr>
            <w:tcW w:type="dxa" w:w="2520"/>
            <w:vAlign w:val="center"/>
            <w:tcMar>
              <w:top w:w="100" w:type="dxa"/>
              <w:bottom w:w="100" w:type="dxa"/>
              <w:left w:w="100" w:type="dxa"/>
              <w:right w:w="100" w:type="dxa"/>
            </w:tcMar>
            <w:shd w:fill="203864"/>
          </w:tcPr>
          <w:p>
            <w:pPr>
              <w:spacing w:after="0" w:line="245" w:lineRule="auto"/>
            </w:pPr>
            <w:r>
              <w:rPr>
                <w:b/>
                <w:color w:val="FFFFFF"/>
                <w:sz w:val="17"/>
              </w:rPr>
              <w:t>Exit criterion</w:t>
            </w:r>
          </w:p>
        </w:tc>
      </w:tr>
      <w:tr>
        <w:trPr>
          <w:cantSplit/>
        </w:trPr>
        <w:tc>
          <w:tcPr>
            <w:tcW w:type="dxa" w:w="648"/>
            <w:vAlign w:val="center"/>
            <w:tcMar>
              <w:top w:w="100" w:type="dxa"/>
              <w:bottom w:w="100" w:type="dxa"/>
              <w:left w:w="100" w:type="dxa"/>
              <w:right w:w="100" w:type="dxa"/>
            </w:tcMar>
            <w:shd w:fill="FFFFFF"/>
          </w:tcPr>
          <w:p>
            <w:pPr>
              <w:spacing w:after="0" w:line="245" w:lineRule="auto"/>
              <w:jc w:val="center"/>
            </w:pPr>
            <w:r>
              <w:rPr>
                <w:b w:val="0"/>
                <w:color w:val="000000"/>
                <w:sz w:val="17"/>
              </w:rPr>
              <w:t>1</w:t>
            </w:r>
          </w:p>
        </w:tc>
        <w:tc>
          <w:tcPr>
            <w:tcW w:type="dxa" w:w="1512"/>
            <w:vAlign w:val="center"/>
            <w:tcMar>
              <w:top w:w="100" w:type="dxa"/>
              <w:bottom w:w="100" w:type="dxa"/>
              <w:left w:w="100" w:type="dxa"/>
              <w:right w:w="100" w:type="dxa"/>
            </w:tcMar>
            <w:shd w:fill="FFFFFF"/>
          </w:tcPr>
          <w:p>
            <w:pPr>
              <w:spacing w:after="0" w:line="245" w:lineRule="auto"/>
              <w:jc w:val="center"/>
            </w:pPr>
            <w:r>
              <w:rPr>
                <w:b w:val="0"/>
                <w:color w:val="000000"/>
                <w:sz w:val="17"/>
              </w:rPr>
              <w:t>Sep 21–25</w:t>
            </w:r>
          </w:p>
        </w:tc>
        <w:tc>
          <w:tcPr>
            <w:tcW w:type="dxa" w:w="5400"/>
            <w:vAlign w:val="center"/>
            <w:tcMar>
              <w:top w:w="100" w:type="dxa"/>
              <w:bottom w:w="100" w:type="dxa"/>
              <w:left w:w="100" w:type="dxa"/>
              <w:right w:w="100" w:type="dxa"/>
            </w:tcMar>
            <w:shd w:fill="FFFFFF"/>
          </w:tcPr>
          <w:p>
            <w:pPr>
              <w:spacing w:after="0" w:line="245" w:lineRule="auto"/>
            </w:pPr>
            <w:r>
              <w:rPr>
                <w:b w:val="0"/>
                <w:color w:val="000000"/>
                <w:sz w:val="17"/>
              </w:rPr>
              <w:t>Confirm Azure Government region and subscription. Validate vendor support, RHEL and Kubernetes versions, VM sizing, A10 quota and capacity. Freeze additional OCI POC build work.</w:t>
            </w:r>
          </w:p>
        </w:tc>
        <w:tc>
          <w:tcPr>
            <w:tcW w:type="dxa" w:w="2520"/>
            <w:vAlign w:val="center"/>
            <w:tcMar>
              <w:top w:w="100" w:type="dxa"/>
              <w:bottom w:w="100" w:type="dxa"/>
              <w:left w:w="100" w:type="dxa"/>
              <w:right w:w="100" w:type="dxa"/>
            </w:tcMar>
            <w:shd w:fill="FFFFFF"/>
          </w:tcPr>
          <w:p>
            <w:pPr>
              <w:spacing w:after="0" w:line="245" w:lineRule="auto"/>
            </w:pPr>
            <w:r>
              <w:rPr>
                <w:b w:val="0"/>
                <w:color w:val="000000"/>
                <w:sz w:val="17"/>
              </w:rPr>
              <w:t>Architecture decisions, capacity path and owners approved.</w:t>
            </w:r>
          </w:p>
        </w:tc>
      </w:tr>
      <w:tr>
        <w:trPr>
          <w:cantSplit/>
        </w:trPr>
        <w:tc>
          <w:tcPr>
            <w:tcW w:type="dxa" w:w="648"/>
            <w:vAlign w:val="center"/>
            <w:tcMar>
              <w:top w:w="100" w:type="dxa"/>
              <w:bottom w:w="100" w:type="dxa"/>
              <w:left w:w="100" w:type="dxa"/>
              <w:right w:w="100" w:type="dxa"/>
            </w:tcMar>
            <w:shd w:fill="F2F6FA"/>
          </w:tcPr>
          <w:p>
            <w:pPr>
              <w:spacing w:after="0" w:line="245" w:lineRule="auto"/>
              <w:jc w:val="center"/>
            </w:pPr>
            <w:r>
              <w:rPr>
                <w:b w:val="0"/>
                <w:color w:val="000000"/>
                <w:sz w:val="17"/>
              </w:rPr>
              <w:t>2</w:t>
            </w:r>
          </w:p>
        </w:tc>
        <w:tc>
          <w:tcPr>
            <w:tcW w:type="dxa" w:w="1512"/>
            <w:vAlign w:val="center"/>
            <w:tcMar>
              <w:top w:w="100" w:type="dxa"/>
              <w:bottom w:w="100" w:type="dxa"/>
              <w:left w:w="100" w:type="dxa"/>
              <w:right w:w="100" w:type="dxa"/>
            </w:tcMar>
            <w:shd w:fill="F2F6FA"/>
          </w:tcPr>
          <w:p>
            <w:pPr>
              <w:spacing w:after="0" w:line="245" w:lineRule="auto"/>
              <w:jc w:val="center"/>
            </w:pPr>
            <w:r>
              <w:rPr>
                <w:b w:val="0"/>
                <w:color w:val="000000"/>
                <w:sz w:val="17"/>
              </w:rPr>
              <w:t>Sep 28–Oct 2</w:t>
            </w:r>
          </w:p>
        </w:tc>
        <w:tc>
          <w:tcPr>
            <w:tcW w:type="dxa" w:w="5400"/>
            <w:vAlign w:val="center"/>
            <w:tcMar>
              <w:top w:w="100" w:type="dxa"/>
              <w:bottom w:w="100" w:type="dxa"/>
              <w:left w:w="100" w:type="dxa"/>
              <w:right w:w="100" w:type="dxa"/>
            </w:tcMar>
            <w:shd w:fill="F2F6FA"/>
          </w:tcPr>
          <w:p>
            <w:pPr>
              <w:spacing w:after="0" w:line="245" w:lineRule="auto"/>
            </w:pPr>
            <w:r>
              <w:rPr>
                <w:b w:val="0"/>
                <w:color w:val="000000"/>
                <w:sz w:val="17"/>
              </w:rPr>
              <w:t>Complete detailed design, IP plan, resource hierarchy, DNS, routes, firewall flows, storage interfaces, security controls, test dataset and acceptance targets.</w:t>
            </w:r>
          </w:p>
        </w:tc>
        <w:tc>
          <w:tcPr>
            <w:tcW w:type="dxa" w:w="2520"/>
            <w:vAlign w:val="center"/>
            <w:tcMar>
              <w:top w:w="100" w:type="dxa"/>
              <w:bottom w:w="100" w:type="dxa"/>
              <w:left w:w="100" w:type="dxa"/>
              <w:right w:w="100" w:type="dxa"/>
            </w:tcMar>
            <w:shd w:fill="F2F6FA"/>
          </w:tcPr>
          <w:p>
            <w:pPr>
              <w:spacing w:after="0" w:line="245" w:lineRule="auto"/>
            </w:pPr>
            <w:r>
              <w:rPr>
                <w:b w:val="0"/>
                <w:color w:val="000000"/>
                <w:sz w:val="17"/>
              </w:rPr>
              <w:t>Detailed design and POC test plan approved.</w:t>
            </w:r>
          </w:p>
        </w:tc>
      </w:tr>
      <w:tr>
        <w:trPr>
          <w:cantSplit/>
        </w:trPr>
        <w:tc>
          <w:tcPr>
            <w:tcW w:type="dxa" w:w="648"/>
            <w:vAlign w:val="center"/>
            <w:tcMar>
              <w:top w:w="100" w:type="dxa"/>
              <w:bottom w:w="100" w:type="dxa"/>
              <w:left w:w="100" w:type="dxa"/>
              <w:right w:w="100" w:type="dxa"/>
            </w:tcMar>
            <w:shd w:fill="FFFFFF"/>
          </w:tcPr>
          <w:p>
            <w:pPr>
              <w:spacing w:after="0" w:line="245" w:lineRule="auto"/>
              <w:jc w:val="center"/>
            </w:pPr>
            <w:r>
              <w:rPr>
                <w:b w:val="0"/>
                <w:color w:val="000000"/>
                <w:sz w:val="17"/>
              </w:rPr>
              <w:t>3</w:t>
            </w:r>
          </w:p>
        </w:tc>
        <w:tc>
          <w:tcPr>
            <w:tcW w:type="dxa" w:w="1512"/>
            <w:vAlign w:val="center"/>
            <w:tcMar>
              <w:top w:w="100" w:type="dxa"/>
              <w:bottom w:w="100" w:type="dxa"/>
              <w:left w:w="100" w:type="dxa"/>
              <w:right w:w="100" w:type="dxa"/>
            </w:tcMar>
            <w:shd w:fill="FFFFFF"/>
          </w:tcPr>
          <w:p>
            <w:pPr>
              <w:spacing w:after="0" w:line="245" w:lineRule="auto"/>
              <w:jc w:val="center"/>
            </w:pPr>
            <w:r>
              <w:rPr>
                <w:b w:val="0"/>
                <w:color w:val="000000"/>
                <w:sz w:val="17"/>
              </w:rPr>
              <w:t>Oct 5–9</w:t>
            </w:r>
          </w:p>
        </w:tc>
        <w:tc>
          <w:tcPr>
            <w:tcW w:type="dxa" w:w="5400"/>
            <w:vAlign w:val="center"/>
            <w:tcMar>
              <w:top w:w="100" w:type="dxa"/>
              <w:bottom w:w="100" w:type="dxa"/>
              <w:left w:w="100" w:type="dxa"/>
              <w:right w:w="100" w:type="dxa"/>
            </w:tcMar>
            <w:shd w:fill="FFFFFF"/>
          </w:tcPr>
          <w:p>
            <w:pPr>
              <w:spacing w:after="0" w:line="245" w:lineRule="auto"/>
            </w:pPr>
            <w:r>
              <w:rPr>
                <w:b w:val="0"/>
                <w:color w:val="000000"/>
                <w:sz w:val="17"/>
              </w:rPr>
              <w:t>Deploy the Azure foundation with Terraform: resource groups, spoke VNets, hub connection, private DNS, NSGs, routes, Key Vault, ACR, Log Analytics and budgets.</w:t>
            </w:r>
          </w:p>
        </w:tc>
        <w:tc>
          <w:tcPr>
            <w:tcW w:type="dxa" w:w="2520"/>
            <w:vAlign w:val="center"/>
            <w:tcMar>
              <w:top w:w="100" w:type="dxa"/>
              <w:bottom w:w="100" w:type="dxa"/>
              <w:left w:w="100" w:type="dxa"/>
              <w:right w:w="100" w:type="dxa"/>
            </w:tcMar>
            <w:shd w:fill="FFFFFF"/>
          </w:tcPr>
          <w:p>
            <w:pPr>
              <w:spacing w:after="0" w:line="245" w:lineRule="auto"/>
            </w:pPr>
            <w:r>
              <w:rPr>
                <w:b w:val="0"/>
                <w:color w:val="000000"/>
                <w:sz w:val="17"/>
              </w:rPr>
              <w:t>Private foundation is reachable from the approved jump host.</w:t>
            </w:r>
          </w:p>
        </w:tc>
      </w:tr>
      <w:tr>
        <w:trPr>
          <w:cantSplit/>
        </w:trPr>
        <w:tc>
          <w:tcPr>
            <w:tcW w:type="dxa" w:w="648"/>
            <w:vAlign w:val="center"/>
            <w:tcMar>
              <w:top w:w="100" w:type="dxa"/>
              <w:bottom w:w="100" w:type="dxa"/>
              <w:left w:w="100" w:type="dxa"/>
              <w:right w:w="100" w:type="dxa"/>
            </w:tcMar>
            <w:shd w:fill="F2F6FA"/>
          </w:tcPr>
          <w:p>
            <w:pPr>
              <w:spacing w:after="0" w:line="245" w:lineRule="auto"/>
              <w:jc w:val="center"/>
            </w:pPr>
            <w:r>
              <w:rPr>
                <w:b w:val="0"/>
                <w:color w:val="000000"/>
                <w:sz w:val="17"/>
              </w:rPr>
              <w:t>4</w:t>
            </w:r>
          </w:p>
        </w:tc>
        <w:tc>
          <w:tcPr>
            <w:tcW w:type="dxa" w:w="1512"/>
            <w:vAlign w:val="center"/>
            <w:tcMar>
              <w:top w:w="100" w:type="dxa"/>
              <w:bottom w:w="100" w:type="dxa"/>
              <w:left w:w="100" w:type="dxa"/>
              <w:right w:w="100" w:type="dxa"/>
            </w:tcMar>
            <w:shd w:fill="F2F6FA"/>
          </w:tcPr>
          <w:p>
            <w:pPr>
              <w:spacing w:after="0" w:line="245" w:lineRule="auto"/>
              <w:jc w:val="center"/>
            </w:pPr>
            <w:r>
              <w:rPr>
                <w:b w:val="0"/>
                <w:color w:val="000000"/>
                <w:sz w:val="17"/>
              </w:rPr>
              <w:t>Oct 12–16</w:t>
            </w:r>
          </w:p>
        </w:tc>
        <w:tc>
          <w:tcPr>
            <w:tcW w:type="dxa" w:w="5400"/>
            <w:vAlign w:val="center"/>
            <w:tcMar>
              <w:top w:w="100" w:type="dxa"/>
              <w:bottom w:w="100" w:type="dxa"/>
              <w:left w:w="100" w:type="dxa"/>
              <w:right w:w="100" w:type="dxa"/>
            </w:tcMar>
            <w:shd w:fill="F2F6FA"/>
          </w:tcPr>
          <w:p>
            <w:pPr>
              <w:spacing w:after="0" w:line="245" w:lineRule="auto"/>
            </w:pPr>
            <w:r>
              <w:rPr>
                <w:b w:val="0"/>
                <w:color w:val="000000"/>
                <w:sz w:val="17"/>
              </w:rPr>
              <w:t>Build the dedicated DataWalk CPU cluster. Configure RHEL, Kubernetes, persistent disks, access controls, monitoring and backup jobs.</w:t>
            </w:r>
          </w:p>
        </w:tc>
        <w:tc>
          <w:tcPr>
            <w:tcW w:type="dxa" w:w="2520"/>
            <w:vAlign w:val="center"/>
            <w:tcMar>
              <w:top w:w="100" w:type="dxa"/>
              <w:bottom w:w="100" w:type="dxa"/>
              <w:left w:w="100" w:type="dxa"/>
              <w:right w:w="100" w:type="dxa"/>
            </w:tcMar>
            <w:shd w:fill="F2F6FA"/>
          </w:tcPr>
          <w:p>
            <w:pPr>
              <w:spacing w:after="0" w:line="245" w:lineRule="auto"/>
            </w:pPr>
            <w:r>
              <w:rPr>
                <w:b w:val="0"/>
                <w:color w:val="000000"/>
                <w:sz w:val="17"/>
              </w:rPr>
              <w:t>DataWalk platform health and storage persistence tests pass.</w:t>
            </w:r>
          </w:p>
        </w:tc>
      </w:tr>
      <w:tr>
        <w:trPr>
          <w:cantSplit/>
        </w:trPr>
        <w:tc>
          <w:tcPr>
            <w:tcW w:type="dxa" w:w="648"/>
            <w:vAlign w:val="center"/>
            <w:tcMar>
              <w:top w:w="100" w:type="dxa"/>
              <w:bottom w:w="100" w:type="dxa"/>
              <w:left w:w="100" w:type="dxa"/>
              <w:right w:w="100" w:type="dxa"/>
            </w:tcMar>
            <w:shd w:fill="FFFFFF"/>
          </w:tcPr>
          <w:p>
            <w:pPr>
              <w:spacing w:after="0" w:line="245" w:lineRule="auto"/>
              <w:jc w:val="center"/>
            </w:pPr>
            <w:r>
              <w:rPr>
                <w:b w:val="0"/>
                <w:color w:val="000000"/>
                <w:sz w:val="17"/>
              </w:rPr>
              <w:t>5</w:t>
            </w:r>
          </w:p>
        </w:tc>
        <w:tc>
          <w:tcPr>
            <w:tcW w:type="dxa" w:w="1512"/>
            <w:vAlign w:val="center"/>
            <w:tcMar>
              <w:top w:w="100" w:type="dxa"/>
              <w:bottom w:w="100" w:type="dxa"/>
              <w:left w:w="100" w:type="dxa"/>
              <w:right w:w="100" w:type="dxa"/>
            </w:tcMar>
            <w:shd w:fill="FFFFFF"/>
          </w:tcPr>
          <w:p>
            <w:pPr>
              <w:spacing w:after="0" w:line="245" w:lineRule="auto"/>
              <w:jc w:val="center"/>
            </w:pPr>
            <w:r>
              <w:rPr>
                <w:b w:val="0"/>
                <w:color w:val="000000"/>
                <w:sz w:val="17"/>
              </w:rPr>
              <w:t>Oct 19–23</w:t>
            </w:r>
          </w:p>
        </w:tc>
        <w:tc>
          <w:tcPr>
            <w:tcW w:type="dxa" w:w="5400"/>
            <w:vAlign w:val="center"/>
            <w:tcMar>
              <w:top w:w="100" w:type="dxa"/>
              <w:bottom w:w="100" w:type="dxa"/>
              <w:left w:w="100" w:type="dxa"/>
              <w:right w:w="100" w:type="dxa"/>
            </w:tcMar>
            <w:shd w:fill="FFFFFF"/>
          </w:tcPr>
          <w:p>
            <w:pPr>
              <w:spacing w:after="0" w:line="245" w:lineRule="auto"/>
            </w:pPr>
            <w:r>
              <w:rPr>
                <w:b w:val="0"/>
                <w:color w:val="000000"/>
                <w:sz w:val="17"/>
              </w:rPr>
              <w:t>Build the separate Hyperscience GPU cluster. Install approved NVIDIA drivers and CUDA dependencies. Validate GPU count, memory, scheduling and storage.</w:t>
            </w:r>
          </w:p>
        </w:tc>
        <w:tc>
          <w:tcPr>
            <w:tcW w:type="dxa" w:w="2520"/>
            <w:vAlign w:val="center"/>
            <w:tcMar>
              <w:top w:w="100" w:type="dxa"/>
              <w:bottom w:w="100" w:type="dxa"/>
              <w:left w:w="100" w:type="dxa"/>
              <w:right w:w="100" w:type="dxa"/>
            </w:tcMar>
            <w:shd w:fill="FFFFFF"/>
          </w:tcPr>
          <w:p>
            <w:pPr>
              <w:spacing w:after="0" w:line="245" w:lineRule="auto"/>
            </w:pPr>
            <w:r>
              <w:rPr>
                <w:b w:val="0"/>
                <w:color w:val="000000"/>
                <w:sz w:val="17"/>
              </w:rPr>
              <w:t>Vendor-approved GPU validation passes.</w:t>
            </w:r>
          </w:p>
        </w:tc>
      </w:tr>
      <w:tr>
        <w:trPr>
          <w:cantSplit/>
        </w:trPr>
        <w:tc>
          <w:tcPr>
            <w:tcW w:type="dxa" w:w="648"/>
            <w:vAlign w:val="center"/>
            <w:tcMar>
              <w:top w:w="100" w:type="dxa"/>
              <w:bottom w:w="100" w:type="dxa"/>
              <w:left w:w="100" w:type="dxa"/>
              <w:right w:w="100" w:type="dxa"/>
            </w:tcMar>
            <w:shd w:fill="F2F6FA"/>
          </w:tcPr>
          <w:p>
            <w:pPr>
              <w:spacing w:after="0" w:line="245" w:lineRule="auto"/>
              <w:jc w:val="center"/>
            </w:pPr>
            <w:r>
              <w:rPr>
                <w:b w:val="0"/>
                <w:color w:val="000000"/>
                <w:sz w:val="17"/>
              </w:rPr>
              <w:t>6</w:t>
            </w:r>
          </w:p>
        </w:tc>
        <w:tc>
          <w:tcPr>
            <w:tcW w:type="dxa" w:w="1512"/>
            <w:vAlign w:val="center"/>
            <w:tcMar>
              <w:top w:w="100" w:type="dxa"/>
              <w:bottom w:w="100" w:type="dxa"/>
              <w:left w:w="100" w:type="dxa"/>
              <w:right w:w="100" w:type="dxa"/>
            </w:tcMar>
            <w:shd w:fill="F2F6FA"/>
          </w:tcPr>
          <w:p>
            <w:pPr>
              <w:spacing w:after="0" w:line="245" w:lineRule="auto"/>
              <w:jc w:val="center"/>
            </w:pPr>
            <w:r>
              <w:rPr>
                <w:b w:val="0"/>
                <w:color w:val="000000"/>
                <w:sz w:val="17"/>
              </w:rPr>
              <w:t>Oct 26–30</w:t>
            </w:r>
          </w:p>
        </w:tc>
        <w:tc>
          <w:tcPr>
            <w:tcW w:type="dxa" w:w="5400"/>
            <w:vAlign w:val="center"/>
            <w:tcMar>
              <w:top w:w="100" w:type="dxa"/>
              <w:bottom w:w="100" w:type="dxa"/>
              <w:left w:w="100" w:type="dxa"/>
              <w:right w:w="100" w:type="dxa"/>
            </w:tcMar>
            <w:shd w:fill="F2F6FA"/>
          </w:tcPr>
          <w:p>
            <w:pPr>
              <w:spacing w:after="0" w:line="245" w:lineRule="auto"/>
            </w:pPr>
            <w:r>
              <w:rPr>
                <w:b w:val="0"/>
                <w:color w:val="000000"/>
                <w:sz w:val="17"/>
              </w:rPr>
              <w:t>Install both applications. Configure databases, registry access, secrets, certificates, private ingress and document handoff. Complete smoke tests.</w:t>
            </w:r>
          </w:p>
        </w:tc>
        <w:tc>
          <w:tcPr>
            <w:tcW w:type="dxa" w:w="2520"/>
            <w:vAlign w:val="center"/>
            <w:tcMar>
              <w:top w:w="100" w:type="dxa"/>
              <w:bottom w:w="100" w:type="dxa"/>
              <w:left w:w="100" w:type="dxa"/>
              <w:right w:w="100" w:type="dxa"/>
            </w:tcMar>
            <w:shd w:fill="F2F6FA"/>
          </w:tcPr>
          <w:p>
            <w:pPr>
              <w:spacing w:after="0" w:line="245" w:lineRule="auto"/>
            </w:pPr>
            <w:r>
              <w:rPr>
                <w:b w:val="0"/>
                <w:color w:val="000000"/>
                <w:sz w:val="17"/>
              </w:rPr>
              <w:t>Both applications and a sample handoff operate successfully.</w:t>
            </w:r>
          </w:p>
        </w:tc>
      </w:tr>
      <w:tr>
        <w:trPr>
          <w:cantSplit/>
        </w:trPr>
        <w:tc>
          <w:tcPr>
            <w:tcW w:type="dxa" w:w="648"/>
            <w:vAlign w:val="center"/>
            <w:tcMar>
              <w:top w:w="100" w:type="dxa"/>
              <w:bottom w:w="100" w:type="dxa"/>
              <w:left w:w="100" w:type="dxa"/>
              <w:right w:w="100" w:type="dxa"/>
            </w:tcMar>
            <w:shd w:fill="FFFFFF"/>
          </w:tcPr>
          <w:p>
            <w:pPr>
              <w:spacing w:after="0" w:line="245" w:lineRule="auto"/>
              <w:jc w:val="center"/>
            </w:pPr>
            <w:r>
              <w:rPr>
                <w:b w:val="0"/>
                <w:color w:val="000000"/>
                <w:sz w:val="17"/>
              </w:rPr>
              <w:t>7</w:t>
            </w:r>
          </w:p>
        </w:tc>
        <w:tc>
          <w:tcPr>
            <w:tcW w:type="dxa" w:w="1512"/>
            <w:vAlign w:val="center"/>
            <w:tcMar>
              <w:top w:w="100" w:type="dxa"/>
              <w:bottom w:w="100" w:type="dxa"/>
              <w:left w:w="100" w:type="dxa"/>
              <w:right w:w="100" w:type="dxa"/>
            </w:tcMar>
            <w:shd w:fill="FFFFFF"/>
          </w:tcPr>
          <w:p>
            <w:pPr>
              <w:spacing w:after="0" w:line="245" w:lineRule="auto"/>
              <w:jc w:val="center"/>
            </w:pPr>
            <w:r>
              <w:rPr>
                <w:b w:val="0"/>
                <w:color w:val="000000"/>
                <w:sz w:val="17"/>
              </w:rPr>
              <w:t>Nov 2–6</w:t>
            </w:r>
          </w:p>
        </w:tc>
        <w:tc>
          <w:tcPr>
            <w:tcW w:type="dxa" w:w="5400"/>
            <w:vAlign w:val="center"/>
            <w:tcMar>
              <w:top w:w="100" w:type="dxa"/>
              <w:bottom w:w="100" w:type="dxa"/>
              <w:left w:w="100" w:type="dxa"/>
              <w:right w:w="100" w:type="dxa"/>
            </w:tcMar>
            <w:shd w:fill="FFFFFF"/>
          </w:tcPr>
          <w:p>
            <w:pPr>
              <w:spacing w:after="0" w:line="245" w:lineRule="auto"/>
            </w:pPr>
            <w:r>
              <w:rPr>
                <w:b w:val="0"/>
                <w:color w:val="000000"/>
                <w:sz w:val="17"/>
              </w:rPr>
              <w:t>Run functional, integration, performance, accuracy, backup, restore, monitoring and cost tests using the approved dataset and baselines.</w:t>
            </w:r>
          </w:p>
        </w:tc>
        <w:tc>
          <w:tcPr>
            <w:tcW w:type="dxa" w:w="2520"/>
            <w:vAlign w:val="center"/>
            <w:tcMar>
              <w:top w:w="100" w:type="dxa"/>
              <w:bottom w:w="100" w:type="dxa"/>
              <w:left w:w="100" w:type="dxa"/>
              <w:right w:w="100" w:type="dxa"/>
            </w:tcMar>
            <w:shd w:fill="FFFFFF"/>
          </w:tcPr>
          <w:p>
            <w:pPr>
              <w:spacing w:after="0" w:line="245" w:lineRule="auto"/>
            </w:pPr>
            <w:r>
              <w:rPr>
                <w:b w:val="0"/>
                <w:color w:val="000000"/>
                <w:sz w:val="17"/>
              </w:rPr>
              <w:t>Test evidence is complete; failures have owners and dispositions.</w:t>
            </w:r>
          </w:p>
        </w:tc>
      </w:tr>
      <w:tr>
        <w:trPr>
          <w:cantSplit/>
        </w:trPr>
        <w:tc>
          <w:tcPr>
            <w:tcW w:type="dxa" w:w="648"/>
            <w:vAlign w:val="center"/>
            <w:tcMar>
              <w:top w:w="100" w:type="dxa"/>
              <w:bottom w:w="100" w:type="dxa"/>
              <w:left w:w="100" w:type="dxa"/>
              <w:right w:w="100" w:type="dxa"/>
            </w:tcMar>
            <w:shd w:fill="F2F6FA"/>
          </w:tcPr>
          <w:p>
            <w:pPr>
              <w:spacing w:after="0" w:line="245" w:lineRule="auto"/>
              <w:jc w:val="center"/>
            </w:pPr>
            <w:r>
              <w:rPr>
                <w:b w:val="0"/>
                <w:color w:val="000000"/>
                <w:sz w:val="17"/>
              </w:rPr>
              <w:t>8</w:t>
            </w:r>
          </w:p>
        </w:tc>
        <w:tc>
          <w:tcPr>
            <w:tcW w:type="dxa" w:w="1512"/>
            <w:vAlign w:val="center"/>
            <w:tcMar>
              <w:top w:w="100" w:type="dxa"/>
              <w:bottom w:w="100" w:type="dxa"/>
              <w:left w:w="100" w:type="dxa"/>
              <w:right w:w="100" w:type="dxa"/>
            </w:tcMar>
            <w:shd w:fill="F2F6FA"/>
          </w:tcPr>
          <w:p>
            <w:pPr>
              <w:spacing w:after="0" w:line="245" w:lineRule="auto"/>
              <w:jc w:val="center"/>
            </w:pPr>
            <w:r>
              <w:rPr>
                <w:b w:val="0"/>
                <w:color w:val="000000"/>
                <w:sz w:val="17"/>
              </w:rPr>
              <w:t>Nov 9–13</w:t>
            </w:r>
          </w:p>
        </w:tc>
        <w:tc>
          <w:tcPr>
            <w:tcW w:type="dxa" w:w="5400"/>
            <w:vAlign w:val="center"/>
            <w:tcMar>
              <w:top w:w="100" w:type="dxa"/>
              <w:bottom w:w="100" w:type="dxa"/>
              <w:left w:w="100" w:type="dxa"/>
              <w:right w:w="100" w:type="dxa"/>
            </w:tcMar>
            <w:shd w:fill="F2F6FA"/>
          </w:tcPr>
          <w:p>
            <w:pPr>
              <w:spacing w:after="0" w:line="245" w:lineRule="auto"/>
            </w:pPr>
            <w:r>
              <w:rPr>
                <w:b w:val="0"/>
                <w:color w:val="000000"/>
                <w:sz w:val="17"/>
              </w:rPr>
              <w:t>Complete security review and user acceptance. Resolve agreed priority findings. Prepare the as-built design, measured cost, production considerations and final recommendation.</w:t>
            </w:r>
          </w:p>
        </w:tc>
        <w:tc>
          <w:tcPr>
            <w:tcW w:type="dxa" w:w="2520"/>
            <w:vAlign w:val="center"/>
            <w:tcMar>
              <w:top w:w="100" w:type="dxa"/>
              <w:bottom w:w="100" w:type="dxa"/>
              <w:left w:w="100" w:type="dxa"/>
              <w:right w:w="100" w:type="dxa"/>
            </w:tcMar>
            <w:shd w:fill="F2F6FA"/>
          </w:tcPr>
          <w:p>
            <w:pPr>
              <w:spacing w:after="0" w:line="245" w:lineRule="auto"/>
            </w:pPr>
            <w:r>
              <w:rPr>
                <w:b w:val="0"/>
                <w:color w:val="000000"/>
                <w:sz w:val="17"/>
              </w:rPr>
              <w:t>Sponsor records the POC decision.</w:t>
            </w:r>
          </w:p>
        </w:tc>
      </w:tr>
    </w:tbl>
    <w:p>
      <w:pPr>
        <w:pStyle w:val="Heading1"/>
      </w:pPr>
      <w:r>
        <w:t>Milestones and ETA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768"/>
        <w:gridCol w:w="3312"/>
      </w:tblGrid>
      <w:tr>
        <w:trPr>
          <w:cantSplit/>
          <w:tblHeader/>
        </w:trPr>
        <w:tc>
          <w:tcPr>
            <w:tcW w:type="dxa" w:w="6768"/>
            <w:vAlign w:val="center"/>
            <w:tcMar>
              <w:top w:w="100" w:type="dxa"/>
              <w:bottom w:w="100" w:type="dxa"/>
              <w:left w:w="100" w:type="dxa"/>
              <w:right w:w="100" w:type="dxa"/>
            </w:tcMar>
            <w:shd w:fill="203864"/>
          </w:tcPr>
          <w:p>
            <w:pPr>
              <w:spacing w:after="0" w:line="245" w:lineRule="auto"/>
            </w:pPr>
            <w:r>
              <w:rPr>
                <w:b/>
                <w:color w:val="FFFFFF"/>
                <w:sz w:val="19"/>
              </w:rPr>
              <w:t>Milestone</w:t>
            </w:r>
          </w:p>
        </w:tc>
        <w:tc>
          <w:tcPr>
            <w:tcW w:type="dxa" w:w="3312"/>
            <w:vAlign w:val="center"/>
            <w:tcMar>
              <w:top w:w="100" w:type="dxa"/>
              <w:bottom w:w="100" w:type="dxa"/>
              <w:left w:w="100" w:type="dxa"/>
              <w:right w:w="100" w:type="dxa"/>
            </w:tcMar>
            <w:shd w:fill="203864"/>
          </w:tcPr>
          <w:p>
            <w:pPr>
              <w:spacing w:after="0" w:line="245" w:lineRule="auto"/>
              <w:jc w:val="center"/>
            </w:pPr>
            <w:r>
              <w:rPr>
                <w:b/>
                <w:color w:val="FFFFFF"/>
                <w:sz w:val="19"/>
              </w:rPr>
              <w:t>Planned date</w:t>
            </w:r>
          </w:p>
        </w:tc>
      </w:tr>
      <w:tr>
        <w:trPr>
          <w:cantSplit/>
        </w:trPr>
        <w:tc>
          <w:tcPr>
            <w:tcW w:type="dxa" w:w="6768"/>
            <w:vAlign w:val="center"/>
            <w:tcMar>
              <w:top w:w="100" w:type="dxa"/>
              <w:bottom w:w="100" w:type="dxa"/>
              <w:left w:w="100" w:type="dxa"/>
              <w:right w:w="100" w:type="dxa"/>
            </w:tcMar>
            <w:shd w:fill="FFFFFF"/>
          </w:tcPr>
          <w:p>
            <w:pPr>
              <w:spacing w:after="0" w:line="245" w:lineRule="auto"/>
            </w:pPr>
            <w:r>
              <w:rPr>
                <w:b w:val="0"/>
                <w:color w:val="000000"/>
                <w:sz w:val="19"/>
              </w:rPr>
              <w:t>Vendor and capacity decisions complete</w:t>
            </w:r>
          </w:p>
        </w:tc>
        <w:tc>
          <w:tcPr>
            <w:tcW w:type="dxa" w:w="3312"/>
            <w:vAlign w:val="center"/>
            <w:tcMar>
              <w:top w:w="100" w:type="dxa"/>
              <w:bottom w:w="100" w:type="dxa"/>
              <w:left w:w="100" w:type="dxa"/>
              <w:right w:w="100" w:type="dxa"/>
            </w:tcMar>
            <w:shd w:fill="FFFFFF"/>
          </w:tcPr>
          <w:p>
            <w:pPr>
              <w:spacing w:after="0" w:line="245" w:lineRule="auto"/>
              <w:jc w:val="center"/>
            </w:pPr>
            <w:r>
              <w:rPr>
                <w:b w:val="0"/>
                <w:color w:val="000000"/>
                <w:sz w:val="19"/>
              </w:rPr>
              <w:t>25 September 2026</w:t>
            </w:r>
          </w:p>
        </w:tc>
      </w:tr>
      <w:tr>
        <w:trPr>
          <w:cantSplit/>
        </w:trPr>
        <w:tc>
          <w:tcPr>
            <w:tcW w:type="dxa" w:w="6768"/>
            <w:vAlign w:val="center"/>
            <w:tcMar>
              <w:top w:w="100" w:type="dxa"/>
              <w:bottom w:w="100" w:type="dxa"/>
              <w:left w:w="100" w:type="dxa"/>
              <w:right w:w="100" w:type="dxa"/>
            </w:tcMar>
            <w:shd w:fill="F2F6FA"/>
          </w:tcPr>
          <w:p>
            <w:pPr>
              <w:spacing w:after="0" w:line="245" w:lineRule="auto"/>
            </w:pPr>
            <w:r>
              <w:rPr>
                <w:b w:val="0"/>
                <w:color w:val="000000"/>
                <w:sz w:val="19"/>
              </w:rPr>
              <w:t>Azure foundation ready</w:t>
            </w:r>
          </w:p>
        </w:tc>
        <w:tc>
          <w:tcPr>
            <w:tcW w:type="dxa" w:w="3312"/>
            <w:vAlign w:val="center"/>
            <w:tcMar>
              <w:top w:w="100" w:type="dxa"/>
              <w:bottom w:w="100" w:type="dxa"/>
              <w:left w:w="100" w:type="dxa"/>
              <w:right w:w="100" w:type="dxa"/>
            </w:tcMar>
            <w:shd w:fill="F2F6FA"/>
          </w:tcPr>
          <w:p>
            <w:pPr>
              <w:spacing w:after="0" w:line="245" w:lineRule="auto"/>
              <w:jc w:val="center"/>
            </w:pPr>
            <w:r>
              <w:rPr>
                <w:b w:val="0"/>
                <w:color w:val="000000"/>
                <w:sz w:val="19"/>
              </w:rPr>
              <w:t>9 October 2026</w:t>
            </w:r>
          </w:p>
        </w:tc>
      </w:tr>
      <w:tr>
        <w:trPr>
          <w:cantSplit/>
        </w:trPr>
        <w:tc>
          <w:tcPr>
            <w:tcW w:type="dxa" w:w="6768"/>
            <w:vAlign w:val="center"/>
            <w:tcMar>
              <w:top w:w="100" w:type="dxa"/>
              <w:bottom w:w="100" w:type="dxa"/>
              <w:left w:w="100" w:type="dxa"/>
              <w:right w:w="100" w:type="dxa"/>
            </w:tcMar>
            <w:shd w:fill="FFFFFF"/>
          </w:tcPr>
          <w:p>
            <w:pPr>
              <w:spacing w:after="0" w:line="245" w:lineRule="auto"/>
            </w:pPr>
            <w:r>
              <w:rPr>
                <w:b w:val="0"/>
                <w:color w:val="000000"/>
                <w:sz w:val="19"/>
              </w:rPr>
              <w:t>DataWalk cluster ready</w:t>
            </w:r>
          </w:p>
        </w:tc>
        <w:tc>
          <w:tcPr>
            <w:tcW w:type="dxa" w:w="3312"/>
            <w:vAlign w:val="center"/>
            <w:tcMar>
              <w:top w:w="100" w:type="dxa"/>
              <w:bottom w:w="100" w:type="dxa"/>
              <w:left w:w="100" w:type="dxa"/>
              <w:right w:w="100" w:type="dxa"/>
            </w:tcMar>
            <w:shd w:fill="FFFFFF"/>
          </w:tcPr>
          <w:p>
            <w:pPr>
              <w:spacing w:after="0" w:line="245" w:lineRule="auto"/>
              <w:jc w:val="center"/>
            </w:pPr>
            <w:r>
              <w:rPr>
                <w:b w:val="0"/>
                <w:color w:val="000000"/>
                <w:sz w:val="19"/>
              </w:rPr>
              <w:t>16 October 2026</w:t>
            </w:r>
          </w:p>
        </w:tc>
      </w:tr>
      <w:tr>
        <w:trPr>
          <w:cantSplit/>
        </w:trPr>
        <w:tc>
          <w:tcPr>
            <w:tcW w:type="dxa" w:w="6768"/>
            <w:vAlign w:val="center"/>
            <w:tcMar>
              <w:top w:w="100" w:type="dxa"/>
              <w:bottom w:w="100" w:type="dxa"/>
              <w:left w:w="100" w:type="dxa"/>
              <w:right w:w="100" w:type="dxa"/>
            </w:tcMar>
            <w:shd w:fill="F2F6FA"/>
          </w:tcPr>
          <w:p>
            <w:pPr>
              <w:spacing w:after="0" w:line="245" w:lineRule="auto"/>
            </w:pPr>
            <w:r>
              <w:rPr>
                <w:b w:val="0"/>
                <w:color w:val="000000"/>
                <w:sz w:val="19"/>
              </w:rPr>
              <w:t>Hyperscience GPU cluster ready</w:t>
            </w:r>
          </w:p>
        </w:tc>
        <w:tc>
          <w:tcPr>
            <w:tcW w:type="dxa" w:w="3312"/>
            <w:vAlign w:val="center"/>
            <w:tcMar>
              <w:top w:w="100" w:type="dxa"/>
              <w:bottom w:w="100" w:type="dxa"/>
              <w:left w:w="100" w:type="dxa"/>
              <w:right w:w="100" w:type="dxa"/>
            </w:tcMar>
            <w:shd w:fill="F2F6FA"/>
          </w:tcPr>
          <w:p>
            <w:pPr>
              <w:spacing w:after="0" w:line="245" w:lineRule="auto"/>
              <w:jc w:val="center"/>
            </w:pPr>
            <w:r>
              <w:rPr>
                <w:b w:val="0"/>
                <w:color w:val="000000"/>
                <w:sz w:val="19"/>
              </w:rPr>
              <w:t>23 October 2026</w:t>
            </w:r>
          </w:p>
        </w:tc>
      </w:tr>
      <w:tr>
        <w:trPr>
          <w:cantSplit/>
        </w:trPr>
        <w:tc>
          <w:tcPr>
            <w:tcW w:type="dxa" w:w="6768"/>
            <w:vAlign w:val="center"/>
            <w:tcMar>
              <w:top w:w="100" w:type="dxa"/>
              <w:bottom w:w="100" w:type="dxa"/>
              <w:left w:w="100" w:type="dxa"/>
              <w:right w:w="100" w:type="dxa"/>
            </w:tcMar>
            <w:shd w:fill="FFFFFF"/>
          </w:tcPr>
          <w:p>
            <w:pPr>
              <w:spacing w:after="0" w:line="245" w:lineRule="auto"/>
            </w:pPr>
            <w:r>
              <w:rPr>
                <w:b w:val="0"/>
                <w:color w:val="000000"/>
                <w:sz w:val="19"/>
              </w:rPr>
              <w:t>Applications installed</w:t>
            </w:r>
          </w:p>
        </w:tc>
        <w:tc>
          <w:tcPr>
            <w:tcW w:type="dxa" w:w="3312"/>
            <w:vAlign w:val="center"/>
            <w:tcMar>
              <w:top w:w="100" w:type="dxa"/>
              <w:bottom w:w="100" w:type="dxa"/>
              <w:left w:w="100" w:type="dxa"/>
              <w:right w:w="100" w:type="dxa"/>
            </w:tcMar>
            <w:shd w:fill="FFFFFF"/>
          </w:tcPr>
          <w:p>
            <w:pPr>
              <w:spacing w:after="0" w:line="245" w:lineRule="auto"/>
              <w:jc w:val="center"/>
            </w:pPr>
            <w:r>
              <w:rPr>
                <w:b w:val="0"/>
                <w:color w:val="000000"/>
                <w:sz w:val="19"/>
              </w:rPr>
              <w:t>30 October 2026</w:t>
            </w:r>
          </w:p>
        </w:tc>
      </w:tr>
      <w:tr>
        <w:trPr>
          <w:cantSplit/>
        </w:trPr>
        <w:tc>
          <w:tcPr>
            <w:tcW w:type="dxa" w:w="6768"/>
            <w:vAlign w:val="center"/>
            <w:tcMar>
              <w:top w:w="100" w:type="dxa"/>
              <w:bottom w:w="100" w:type="dxa"/>
              <w:left w:w="100" w:type="dxa"/>
              <w:right w:w="100" w:type="dxa"/>
            </w:tcMar>
            <w:shd w:fill="F2F6FA"/>
          </w:tcPr>
          <w:p>
            <w:pPr>
              <w:spacing w:after="0" w:line="245" w:lineRule="auto"/>
            </w:pPr>
            <w:r>
              <w:rPr>
                <w:b w:val="0"/>
                <w:color w:val="000000"/>
                <w:sz w:val="19"/>
              </w:rPr>
              <w:t>Technical testing complete</w:t>
            </w:r>
          </w:p>
        </w:tc>
        <w:tc>
          <w:tcPr>
            <w:tcW w:type="dxa" w:w="3312"/>
            <w:vAlign w:val="center"/>
            <w:tcMar>
              <w:top w:w="100" w:type="dxa"/>
              <w:bottom w:w="100" w:type="dxa"/>
              <w:left w:w="100" w:type="dxa"/>
              <w:right w:w="100" w:type="dxa"/>
            </w:tcMar>
            <w:shd w:fill="F2F6FA"/>
          </w:tcPr>
          <w:p>
            <w:pPr>
              <w:spacing w:after="0" w:line="245" w:lineRule="auto"/>
              <w:jc w:val="center"/>
            </w:pPr>
            <w:r>
              <w:rPr>
                <w:b w:val="0"/>
                <w:color w:val="000000"/>
                <w:sz w:val="19"/>
              </w:rPr>
              <w:t>6 November 2026</w:t>
            </w:r>
          </w:p>
        </w:tc>
      </w:tr>
      <w:tr>
        <w:trPr>
          <w:cantSplit/>
        </w:trPr>
        <w:tc>
          <w:tcPr>
            <w:tcW w:type="dxa" w:w="6768"/>
            <w:vAlign w:val="center"/>
            <w:tcMar>
              <w:top w:w="100" w:type="dxa"/>
              <w:bottom w:w="100" w:type="dxa"/>
              <w:left w:w="100" w:type="dxa"/>
              <w:right w:w="100" w:type="dxa"/>
            </w:tcMar>
            <w:shd w:fill="FFFFFF"/>
          </w:tcPr>
          <w:p>
            <w:pPr>
              <w:spacing w:after="0" w:line="245" w:lineRule="auto"/>
            </w:pPr>
            <w:r>
              <w:rPr>
                <w:b w:val="0"/>
                <w:color w:val="000000"/>
                <w:sz w:val="19"/>
              </w:rPr>
              <w:t>POC recommendation complete</w:t>
            </w:r>
          </w:p>
        </w:tc>
        <w:tc>
          <w:tcPr>
            <w:tcW w:type="dxa" w:w="3312"/>
            <w:vAlign w:val="center"/>
            <w:tcMar>
              <w:top w:w="100" w:type="dxa"/>
              <w:bottom w:w="100" w:type="dxa"/>
              <w:left w:w="100" w:type="dxa"/>
              <w:right w:w="100" w:type="dxa"/>
            </w:tcMar>
            <w:shd w:fill="FFFFFF"/>
          </w:tcPr>
          <w:p>
            <w:pPr>
              <w:spacing w:after="0" w:line="245" w:lineRule="auto"/>
              <w:jc w:val="center"/>
            </w:pPr>
            <w:r>
              <w:rPr>
                <w:b w:val="0"/>
                <w:color w:val="000000"/>
                <w:sz w:val="19"/>
              </w:rPr>
              <w:t>13 November 2026</w:t>
            </w:r>
          </w:p>
        </w:tc>
      </w:tr>
      <w:tr>
        <w:trPr>
          <w:cantSplit/>
        </w:trPr>
        <w:tc>
          <w:tcPr>
            <w:tcW w:type="dxa" w:w="6768"/>
            <w:vAlign w:val="center"/>
            <w:tcMar>
              <w:top w:w="100" w:type="dxa"/>
              <w:bottom w:w="100" w:type="dxa"/>
              <w:left w:w="100" w:type="dxa"/>
              <w:right w:w="100" w:type="dxa"/>
            </w:tcMar>
            <w:shd w:fill="F2F6FA"/>
          </w:tcPr>
          <w:p>
            <w:pPr>
              <w:spacing w:after="0" w:line="245" w:lineRule="auto"/>
            </w:pPr>
            <w:r>
              <w:rPr>
                <w:b w:val="0"/>
                <w:color w:val="000000"/>
                <w:sz w:val="19"/>
              </w:rPr>
              <w:t>Management contingency date</w:t>
            </w:r>
          </w:p>
        </w:tc>
        <w:tc>
          <w:tcPr>
            <w:tcW w:type="dxa" w:w="3312"/>
            <w:vAlign w:val="center"/>
            <w:tcMar>
              <w:top w:w="100" w:type="dxa"/>
              <w:bottom w:w="100" w:type="dxa"/>
              <w:left w:w="100" w:type="dxa"/>
              <w:right w:w="100" w:type="dxa"/>
            </w:tcMar>
            <w:shd w:fill="F2F6FA"/>
          </w:tcPr>
          <w:p>
            <w:pPr>
              <w:spacing w:after="0" w:line="245" w:lineRule="auto"/>
              <w:jc w:val="center"/>
            </w:pPr>
            <w:r>
              <w:rPr>
                <w:b w:val="0"/>
                <w:color w:val="000000"/>
                <w:sz w:val="19"/>
              </w:rPr>
              <w:t>4 December 2026</w:t>
            </w:r>
          </w:p>
        </w:tc>
      </w:tr>
    </w:tbl>
    <w:p>
      <w:pPr>
        <w:pStyle w:val="Heading1"/>
      </w:pPr>
      <w:r>
        <w:t>POC Acceptance Criteria</w:t>
      </w:r>
    </w:p>
    <w:p>
      <w:pPr>
        <w:pStyle w:val="ListBullet"/>
        <w:spacing w:after="60"/>
      </w:pPr>
      <w:r>
        <w:t>DataWalk runs on its dedicated Azure CPU cluster and does not share workers, storage, secrets, database, ingress or upgrade lifecycle with Hyperscience.</w:t>
      </w:r>
    </w:p>
    <w:p>
      <w:pPr>
        <w:pStyle w:val="ListBullet"/>
        <w:spacing w:after="60"/>
      </w:pPr>
      <w:r>
        <w:t>Hyperscience runs on its dedicated Azure GPU infrastructure, and the selected workload can see and use the approved NVIDIA A10 capacity.</w:t>
      </w:r>
    </w:p>
    <w:p>
      <w:pPr>
        <w:pStyle w:val="ListBullet"/>
        <w:spacing w:after="60"/>
      </w:pPr>
      <w:r>
        <w:t>Administrators reach both environments privately from the approved jump host through ExpressRoute and the enterprise security inspection path.</w:t>
      </w:r>
    </w:p>
    <w:p>
      <w:pPr>
        <w:pStyle w:val="ListBullet"/>
        <w:spacing w:after="60"/>
      </w:pPr>
      <w:r>
        <w:t>Users reach private HTTPS application endpoints without public application IP addresses.</w:t>
      </w:r>
    </w:p>
    <w:p>
      <w:pPr>
        <w:pStyle w:val="ListBullet"/>
        <w:spacing w:after="60"/>
      </w:pPr>
      <w:r>
        <w:t>Hyperscience processes the representative document set and meets the accuracy target agreed before testing.</w:t>
      </w:r>
    </w:p>
    <w:p>
      <w:pPr>
        <w:pStyle w:val="ListBullet"/>
        <w:spacing w:after="60"/>
      </w:pPr>
      <w:r>
        <w:t>The controlled handoff delivers expected Hyperscience output to DataWalk without unexplained missing documents or duplicate records.</w:t>
      </w:r>
    </w:p>
    <w:p>
      <w:pPr>
        <w:pStyle w:val="ListBullet"/>
        <w:spacing w:after="60"/>
      </w:pPr>
      <w:r>
        <w:t>DataWalk ingestion and representative queries produce the expected results within the approved performance tolerance.</w:t>
      </w:r>
    </w:p>
    <w:p>
      <w:pPr>
        <w:pStyle w:val="ListBullet"/>
        <w:spacing w:after="60"/>
      </w:pPr>
      <w:r>
        <w:t>Application-consistent backup and restore tests complete within the agreed recovery target.</w:t>
      </w:r>
    </w:p>
    <w:p>
      <w:pPr>
        <w:pStyle w:val="ListBullet"/>
        <w:spacing w:after="60"/>
      </w:pPr>
      <w:r>
        <w:t>Required logs reach Azure Monitor and Log Analytics, and the named responder receives a test alert.</w:t>
      </w:r>
    </w:p>
    <w:p>
      <w:pPr>
        <w:pStyle w:val="ListBullet"/>
        <w:spacing w:after="60"/>
      </w:pPr>
      <w:r>
        <w:t>No unresolved critical or high security finding remains without an approved POC disposition.</w:t>
      </w:r>
    </w:p>
    <w:p>
      <w:pPr>
        <w:pStyle w:val="ListBullet"/>
        <w:spacing w:after="60"/>
      </w:pPr>
      <w:r>
        <w:t>Actual consumption stays within the approved POC budget, and the final report separates measured POC cost from the production forecast.</w:t>
      </w:r>
    </w:p>
    <w:p>
      <w:pPr>
        <w:pStyle w:val="Heading1"/>
      </w:pPr>
      <w:r>
        <w:t>Responsibilities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7632"/>
      </w:tblGrid>
      <w:tr>
        <w:trPr>
          <w:cantSplit/>
          <w:tblHeader/>
        </w:trPr>
        <w:tc>
          <w:tcPr>
            <w:tcW w:type="dxa" w:w="2448"/>
            <w:vAlign w:val="center"/>
            <w:tcMar>
              <w:top w:w="100" w:type="dxa"/>
              <w:bottom w:w="100" w:type="dxa"/>
              <w:left w:w="100" w:type="dxa"/>
              <w:right w:w="100" w:type="dxa"/>
            </w:tcMar>
            <w:shd w:fill="203864"/>
          </w:tcPr>
          <w:p>
            <w:pPr>
              <w:spacing w:after="0" w:line="245" w:lineRule="auto"/>
            </w:pPr>
            <w:r>
              <w:rPr>
                <w:b/>
                <w:color w:val="FFFFFF"/>
                <w:sz w:val="19"/>
              </w:rPr>
              <w:t>Role</w:t>
            </w:r>
          </w:p>
        </w:tc>
        <w:tc>
          <w:tcPr>
            <w:tcW w:type="dxa" w:w="7632"/>
            <w:vAlign w:val="center"/>
            <w:tcMar>
              <w:top w:w="100" w:type="dxa"/>
              <w:bottom w:w="100" w:type="dxa"/>
              <w:left w:w="100" w:type="dxa"/>
              <w:right w:w="100" w:type="dxa"/>
            </w:tcMar>
            <w:shd w:fill="203864"/>
          </w:tcPr>
          <w:p>
            <w:pPr>
              <w:spacing w:after="0" w:line="245" w:lineRule="auto"/>
            </w:pPr>
            <w:r>
              <w:rPr>
                <w:b/>
                <w:color w:val="FFFFFF"/>
                <w:sz w:val="19"/>
              </w:rPr>
              <w:t>Primary responsibility</w:t>
            </w:r>
          </w:p>
        </w:tc>
      </w:tr>
      <w:tr>
        <w:trPr>
          <w:cantSplit/>
        </w:trPr>
        <w:tc>
          <w:tcPr>
            <w:tcW w:type="dxa" w:w="2448"/>
            <w:vAlign w:val="center"/>
            <w:tcMar>
              <w:top w:w="100" w:type="dxa"/>
              <w:bottom w:w="100" w:type="dxa"/>
              <w:left w:w="100" w:type="dxa"/>
              <w:right w:w="100" w:type="dxa"/>
            </w:tcMar>
            <w:shd w:fill="FFFFFF"/>
          </w:tcPr>
          <w:p>
            <w:pPr>
              <w:spacing w:after="0" w:line="245" w:lineRule="auto"/>
            </w:pPr>
            <w:r>
              <w:rPr>
                <w:b w:val="0"/>
                <w:color w:val="000000"/>
                <w:sz w:val="19"/>
              </w:rPr>
              <w:t>Project manager</w:t>
            </w:r>
          </w:p>
        </w:tc>
        <w:tc>
          <w:tcPr>
            <w:tcW w:type="dxa" w:w="7632"/>
            <w:vAlign w:val="center"/>
            <w:tcMar>
              <w:top w:w="100" w:type="dxa"/>
              <w:bottom w:w="100" w:type="dxa"/>
              <w:left w:w="100" w:type="dxa"/>
              <w:right w:w="100" w:type="dxa"/>
            </w:tcMar>
            <w:shd w:fill="FFFFFF"/>
          </w:tcPr>
          <w:p>
            <w:pPr>
              <w:spacing w:after="0" w:line="245" w:lineRule="auto"/>
            </w:pPr>
            <w:r>
              <w:rPr>
                <w:b w:val="0"/>
                <w:color w:val="000000"/>
                <w:sz w:val="19"/>
              </w:rPr>
              <w:t>Maintain schedule, dependencies, decisions, risks, vendor sessions and acceptance evidence.</w:t>
            </w:r>
          </w:p>
        </w:tc>
      </w:tr>
      <w:tr>
        <w:trPr>
          <w:cantSplit/>
        </w:trPr>
        <w:tc>
          <w:tcPr>
            <w:tcW w:type="dxa" w:w="2448"/>
            <w:vAlign w:val="center"/>
            <w:tcMar>
              <w:top w:w="100" w:type="dxa"/>
              <w:bottom w:w="100" w:type="dxa"/>
              <w:left w:w="100" w:type="dxa"/>
              <w:right w:w="100" w:type="dxa"/>
            </w:tcMar>
            <w:shd w:fill="F2F6FA"/>
          </w:tcPr>
          <w:p>
            <w:pPr>
              <w:spacing w:after="0" w:line="245" w:lineRule="auto"/>
            </w:pPr>
            <w:r>
              <w:rPr>
                <w:b w:val="0"/>
                <w:color w:val="000000"/>
                <w:sz w:val="19"/>
              </w:rPr>
              <w:t>Azure engineering</w:t>
            </w:r>
          </w:p>
        </w:tc>
        <w:tc>
          <w:tcPr>
            <w:tcW w:type="dxa" w:w="7632"/>
            <w:vAlign w:val="center"/>
            <w:tcMar>
              <w:top w:w="100" w:type="dxa"/>
              <w:bottom w:w="100" w:type="dxa"/>
              <w:left w:w="100" w:type="dxa"/>
              <w:right w:w="100" w:type="dxa"/>
            </w:tcMar>
            <w:shd w:fill="F2F6FA"/>
          </w:tcPr>
          <w:p>
            <w:pPr>
              <w:spacing w:after="0" w:line="245" w:lineRule="auto"/>
            </w:pPr>
            <w:r>
              <w:rPr>
                <w:b w:val="0"/>
                <w:color w:val="000000"/>
                <w:sz w:val="19"/>
              </w:rPr>
              <w:t>Design and deploy the Azure foundation, compute, storage, monitoring and Terraform.</w:t>
            </w:r>
          </w:p>
        </w:tc>
      </w:tr>
      <w:tr>
        <w:trPr>
          <w:cantSplit/>
        </w:trPr>
        <w:tc>
          <w:tcPr>
            <w:tcW w:type="dxa" w:w="2448"/>
            <w:vAlign w:val="center"/>
            <w:tcMar>
              <w:top w:w="100" w:type="dxa"/>
              <w:bottom w:w="100" w:type="dxa"/>
              <w:left w:w="100" w:type="dxa"/>
              <w:right w:w="100" w:type="dxa"/>
            </w:tcMar>
            <w:shd w:fill="FFFFFF"/>
          </w:tcPr>
          <w:p>
            <w:pPr>
              <w:spacing w:after="0" w:line="245" w:lineRule="auto"/>
            </w:pPr>
            <w:r>
              <w:rPr>
                <w:b w:val="0"/>
                <w:color w:val="000000"/>
                <w:sz w:val="19"/>
              </w:rPr>
              <w:t>Network and security</w:t>
            </w:r>
          </w:p>
        </w:tc>
        <w:tc>
          <w:tcPr>
            <w:tcW w:type="dxa" w:w="7632"/>
            <w:vAlign w:val="center"/>
            <w:tcMar>
              <w:top w:w="100" w:type="dxa"/>
              <w:bottom w:w="100" w:type="dxa"/>
              <w:left w:w="100" w:type="dxa"/>
              <w:right w:w="100" w:type="dxa"/>
            </w:tcMar>
            <w:shd w:fill="FFFFFF"/>
          </w:tcPr>
          <w:p>
            <w:pPr>
              <w:spacing w:after="0" w:line="245" w:lineRule="auto"/>
            </w:pPr>
            <w:r>
              <w:rPr>
                <w:b w:val="0"/>
                <w:color w:val="000000"/>
                <w:sz w:val="19"/>
              </w:rPr>
              <w:t>Approve routing, firewall rules, DNS, access controls, logging and security findings.</w:t>
            </w:r>
          </w:p>
        </w:tc>
      </w:tr>
      <w:tr>
        <w:trPr>
          <w:cantSplit/>
        </w:trPr>
        <w:tc>
          <w:tcPr>
            <w:tcW w:type="dxa" w:w="2448"/>
            <w:vAlign w:val="center"/>
            <w:tcMar>
              <w:top w:w="100" w:type="dxa"/>
              <w:bottom w:w="100" w:type="dxa"/>
              <w:left w:w="100" w:type="dxa"/>
              <w:right w:w="100" w:type="dxa"/>
            </w:tcMar>
            <w:shd w:fill="F2F6FA"/>
          </w:tcPr>
          <w:p>
            <w:pPr>
              <w:spacing w:after="0" w:line="245" w:lineRule="auto"/>
            </w:pPr>
            <w:r>
              <w:rPr>
                <w:b w:val="0"/>
                <w:color w:val="000000"/>
                <w:sz w:val="19"/>
              </w:rPr>
              <w:t>Kubernetes engineer</w:t>
            </w:r>
          </w:p>
        </w:tc>
        <w:tc>
          <w:tcPr>
            <w:tcW w:type="dxa" w:w="7632"/>
            <w:vAlign w:val="center"/>
            <w:tcMar>
              <w:top w:w="100" w:type="dxa"/>
              <w:bottom w:w="100" w:type="dxa"/>
              <w:left w:w="100" w:type="dxa"/>
              <w:right w:w="100" w:type="dxa"/>
            </w:tcMar>
            <w:shd w:fill="F2F6FA"/>
          </w:tcPr>
          <w:p>
            <w:pPr>
              <w:spacing w:after="0" w:line="245" w:lineRule="auto"/>
            </w:pPr>
            <w:r>
              <w:rPr>
                <w:b w:val="0"/>
                <w:color w:val="000000"/>
                <w:sz w:val="19"/>
              </w:rPr>
              <w:t>Build, secure and operate the separate DataWalk and Hyperscience clusters.</w:t>
            </w:r>
          </w:p>
        </w:tc>
      </w:tr>
      <w:tr>
        <w:trPr>
          <w:cantSplit/>
        </w:trPr>
        <w:tc>
          <w:tcPr>
            <w:tcW w:type="dxa" w:w="2448"/>
            <w:vAlign w:val="center"/>
            <w:tcMar>
              <w:top w:w="100" w:type="dxa"/>
              <w:bottom w:w="100" w:type="dxa"/>
              <w:left w:w="100" w:type="dxa"/>
              <w:right w:w="100" w:type="dxa"/>
            </w:tcMar>
            <w:shd w:fill="FFFFFF"/>
          </w:tcPr>
          <w:p>
            <w:pPr>
              <w:spacing w:after="0" w:line="245" w:lineRule="auto"/>
            </w:pPr>
            <w:r>
              <w:rPr>
                <w:b w:val="0"/>
                <w:color w:val="000000"/>
                <w:sz w:val="19"/>
              </w:rPr>
              <w:t>DataWalk team</w:t>
            </w:r>
          </w:p>
        </w:tc>
        <w:tc>
          <w:tcPr>
            <w:tcW w:type="dxa" w:w="7632"/>
            <w:vAlign w:val="center"/>
            <w:tcMar>
              <w:top w:w="100" w:type="dxa"/>
              <w:bottom w:w="100" w:type="dxa"/>
              <w:left w:w="100" w:type="dxa"/>
              <w:right w:w="100" w:type="dxa"/>
            </w:tcMar>
            <w:shd w:fill="FFFFFF"/>
          </w:tcPr>
          <w:p>
            <w:pPr>
              <w:spacing w:after="0" w:line="245" w:lineRule="auto"/>
            </w:pPr>
            <w:r>
              <w:rPr>
                <w:b w:val="0"/>
                <w:color w:val="000000"/>
                <w:sz w:val="19"/>
              </w:rPr>
              <w:t>Approve sizing and platform support; install and validate DataWalk.</w:t>
            </w:r>
          </w:p>
        </w:tc>
      </w:tr>
      <w:tr>
        <w:trPr>
          <w:cantSplit/>
        </w:trPr>
        <w:tc>
          <w:tcPr>
            <w:tcW w:type="dxa" w:w="2448"/>
            <w:vAlign w:val="center"/>
            <w:tcMar>
              <w:top w:w="100" w:type="dxa"/>
              <w:bottom w:w="100" w:type="dxa"/>
              <w:left w:w="100" w:type="dxa"/>
              <w:right w:w="100" w:type="dxa"/>
            </w:tcMar>
            <w:shd w:fill="F2F6FA"/>
          </w:tcPr>
          <w:p>
            <w:pPr>
              <w:spacing w:after="0" w:line="245" w:lineRule="auto"/>
            </w:pPr>
            <w:r>
              <w:rPr>
                <w:b w:val="0"/>
                <w:color w:val="000000"/>
                <w:sz w:val="19"/>
              </w:rPr>
              <w:t>Hyperscience team</w:t>
            </w:r>
          </w:p>
        </w:tc>
        <w:tc>
          <w:tcPr>
            <w:tcW w:type="dxa" w:w="7632"/>
            <w:vAlign w:val="center"/>
            <w:tcMar>
              <w:top w:w="100" w:type="dxa"/>
              <w:bottom w:w="100" w:type="dxa"/>
              <w:left w:w="100" w:type="dxa"/>
              <w:right w:w="100" w:type="dxa"/>
            </w:tcMar>
            <w:shd w:fill="F2F6FA"/>
          </w:tcPr>
          <w:p>
            <w:pPr>
              <w:spacing w:after="0" w:line="245" w:lineRule="auto"/>
            </w:pPr>
            <w:r>
              <w:rPr>
                <w:b w:val="0"/>
                <w:color w:val="000000"/>
                <w:sz w:val="19"/>
              </w:rPr>
              <w:t>Approve GPU, driver, CUDA and platform support; install and validate Hyperscience.</w:t>
            </w:r>
          </w:p>
        </w:tc>
      </w:tr>
      <w:tr>
        <w:trPr>
          <w:cantSplit/>
        </w:trPr>
        <w:tc>
          <w:tcPr>
            <w:tcW w:type="dxa" w:w="2448"/>
            <w:vAlign w:val="center"/>
            <w:tcMar>
              <w:top w:w="100" w:type="dxa"/>
              <w:bottom w:w="100" w:type="dxa"/>
              <w:left w:w="100" w:type="dxa"/>
              <w:right w:w="100" w:type="dxa"/>
            </w:tcMar>
            <w:shd w:fill="FFFFFF"/>
          </w:tcPr>
          <w:p>
            <w:pPr>
              <w:spacing w:after="0" w:line="245" w:lineRule="auto"/>
            </w:pPr>
            <w:r>
              <w:rPr>
                <w:b w:val="0"/>
                <w:color w:val="000000"/>
                <w:sz w:val="19"/>
              </w:rPr>
              <w:t>Application owners</w:t>
            </w:r>
          </w:p>
        </w:tc>
        <w:tc>
          <w:tcPr>
            <w:tcW w:type="dxa" w:w="7632"/>
            <w:vAlign w:val="center"/>
            <w:tcMar>
              <w:top w:w="100" w:type="dxa"/>
              <w:bottom w:w="100" w:type="dxa"/>
              <w:left w:w="100" w:type="dxa"/>
              <w:right w:w="100" w:type="dxa"/>
            </w:tcMar>
            <w:shd w:fill="FFFFFF"/>
          </w:tcPr>
          <w:p>
            <w:pPr>
              <w:spacing w:after="0" w:line="245" w:lineRule="auto"/>
            </w:pPr>
            <w:r>
              <w:rPr>
                <w:b w:val="0"/>
                <w:color w:val="000000"/>
                <w:sz w:val="19"/>
              </w:rPr>
              <w:t>Provide test data, baselines, integration behavior and user acceptance.</w:t>
            </w:r>
          </w:p>
        </w:tc>
      </w:tr>
      <w:tr>
        <w:trPr>
          <w:cantSplit/>
        </w:trPr>
        <w:tc>
          <w:tcPr>
            <w:tcW w:type="dxa" w:w="2448"/>
            <w:vAlign w:val="center"/>
            <w:tcMar>
              <w:top w:w="100" w:type="dxa"/>
              <w:bottom w:w="100" w:type="dxa"/>
              <w:left w:w="100" w:type="dxa"/>
              <w:right w:w="100" w:type="dxa"/>
            </w:tcMar>
            <w:shd w:fill="F2F6FA"/>
          </w:tcPr>
          <w:p>
            <w:pPr>
              <w:spacing w:after="0" w:line="245" w:lineRule="auto"/>
            </w:pPr>
            <w:r>
              <w:rPr>
                <w:b w:val="0"/>
                <w:color w:val="000000"/>
                <w:sz w:val="19"/>
              </w:rPr>
              <w:t>Sponsor and budget owner</w:t>
            </w:r>
          </w:p>
        </w:tc>
        <w:tc>
          <w:tcPr>
            <w:tcW w:type="dxa" w:w="7632"/>
            <w:vAlign w:val="center"/>
            <w:tcMar>
              <w:top w:w="100" w:type="dxa"/>
              <w:bottom w:w="100" w:type="dxa"/>
              <w:left w:w="100" w:type="dxa"/>
              <w:right w:w="100" w:type="dxa"/>
            </w:tcMar>
            <w:shd w:fill="F2F6FA"/>
          </w:tcPr>
          <w:p>
            <w:pPr>
              <w:spacing w:after="0" w:line="245" w:lineRule="auto"/>
            </w:pPr>
            <w:r>
              <w:rPr>
                <w:b w:val="0"/>
                <w:color w:val="000000"/>
                <w:sz w:val="19"/>
              </w:rPr>
              <w:t>Approve scope, funding, exceptions and the final POC recommendation.</w:t>
            </w:r>
          </w:p>
        </w:tc>
      </w:tr>
    </w:tbl>
    <w:p>
      <w:pPr>
        <w:pStyle w:val="Heading1"/>
      </w:pPr>
      <w:r>
        <w:t>Schedule Risks and Decision Gates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1800"/>
        <w:gridCol w:w="5184"/>
      </w:tblGrid>
      <w:tr>
        <w:trPr>
          <w:cantSplit/>
          <w:tblHeader/>
        </w:trPr>
        <w:tc>
          <w:tcPr>
            <w:tcW w:type="dxa" w:w="3096"/>
            <w:vAlign w:val="center"/>
            <w:tcMar>
              <w:top w:w="100" w:type="dxa"/>
              <w:bottom w:w="100" w:type="dxa"/>
              <w:left w:w="100" w:type="dxa"/>
              <w:right w:w="100" w:type="dxa"/>
            </w:tcMar>
            <w:shd w:fill="203864"/>
          </w:tcPr>
          <w:p>
            <w:pPr>
              <w:spacing w:after="0" w:line="245" w:lineRule="auto"/>
            </w:pPr>
            <w:r>
              <w:rPr>
                <w:b/>
                <w:color w:val="FFFFFF"/>
                <w:sz w:val="18"/>
              </w:rPr>
              <w:t>Risk or gate</w:t>
            </w:r>
          </w:p>
        </w:tc>
        <w:tc>
          <w:tcPr>
            <w:tcW w:type="dxa" w:w="1800"/>
            <w:vAlign w:val="center"/>
            <w:tcMar>
              <w:top w:w="100" w:type="dxa"/>
              <w:bottom w:w="100" w:type="dxa"/>
              <w:left w:w="100" w:type="dxa"/>
              <w:right w:w="100" w:type="dxa"/>
            </w:tcMar>
            <w:shd w:fill="203864"/>
          </w:tcPr>
          <w:p>
            <w:pPr>
              <w:spacing w:after="0" w:line="245" w:lineRule="auto"/>
              <w:jc w:val="center"/>
            </w:pPr>
            <w:r>
              <w:rPr>
                <w:b/>
                <w:color w:val="FFFFFF"/>
                <w:sz w:val="18"/>
              </w:rPr>
              <w:t>Potential impact</w:t>
            </w:r>
          </w:p>
        </w:tc>
        <w:tc>
          <w:tcPr>
            <w:tcW w:type="dxa" w:w="5184"/>
            <w:vAlign w:val="center"/>
            <w:tcMar>
              <w:top w:w="100" w:type="dxa"/>
              <w:bottom w:w="100" w:type="dxa"/>
              <w:left w:w="100" w:type="dxa"/>
              <w:right w:w="100" w:type="dxa"/>
            </w:tcMar>
            <w:shd w:fill="203864"/>
          </w:tcPr>
          <w:p>
            <w:pPr>
              <w:spacing w:after="0" w:line="245" w:lineRule="auto"/>
            </w:pPr>
            <w:r>
              <w:rPr>
                <w:b/>
                <w:color w:val="FFFFFF"/>
                <w:sz w:val="18"/>
              </w:rPr>
              <w:t>Required response</w:t>
            </w:r>
          </w:p>
        </w:tc>
      </w:tr>
      <w:tr>
        <w:trPr>
          <w:cantSplit/>
        </w:trPr>
        <w:tc>
          <w:tcPr>
            <w:tcW w:type="dxa" w:w="3096"/>
            <w:vAlign w:val="center"/>
            <w:tcMar>
              <w:top w:w="100" w:type="dxa"/>
              <w:bottom w:w="100" w:type="dxa"/>
              <w:left w:w="100" w:type="dxa"/>
              <w:right w:w="100" w:type="dxa"/>
            </w:tcMar>
            <w:shd w:fill="FFFFFF"/>
          </w:tcPr>
          <w:p>
            <w:pPr>
              <w:spacing w:after="0" w:line="245" w:lineRule="auto"/>
            </w:pPr>
            <w:r>
              <w:rPr>
                <w:b w:val="0"/>
                <w:color w:val="000000"/>
                <w:sz w:val="18"/>
              </w:rPr>
              <w:t>A10 SKU unavailable or quota denied</w:t>
            </w:r>
          </w:p>
        </w:tc>
        <w:tc>
          <w:tcPr>
            <w:tcW w:type="dxa" w:w="1800"/>
            <w:vAlign w:val="center"/>
            <w:tcMar>
              <w:top w:w="100" w:type="dxa"/>
              <w:bottom w:w="100" w:type="dxa"/>
              <w:left w:w="100" w:type="dxa"/>
              <w:right w:w="100" w:type="dxa"/>
            </w:tcMar>
            <w:shd w:fill="FFFFFF"/>
          </w:tcPr>
          <w:p>
            <w:pPr>
              <w:spacing w:after="0" w:line="245" w:lineRule="auto"/>
              <w:jc w:val="center"/>
            </w:pPr>
            <w:r>
              <w:rPr>
                <w:b w:val="0"/>
                <w:color w:val="000000"/>
                <w:sz w:val="18"/>
              </w:rPr>
              <w:t>Two to six weeks</w:t>
            </w:r>
          </w:p>
        </w:tc>
        <w:tc>
          <w:tcPr>
            <w:tcW w:type="dxa" w:w="5184"/>
            <w:vAlign w:val="center"/>
            <w:tcMar>
              <w:top w:w="100" w:type="dxa"/>
              <w:bottom w:w="100" w:type="dxa"/>
              <w:left w:w="100" w:type="dxa"/>
              <w:right w:w="100" w:type="dxa"/>
            </w:tcMar>
            <w:shd w:fill="FFFFFF"/>
          </w:tcPr>
          <w:p>
            <w:pPr>
              <w:spacing w:after="0" w:line="245" w:lineRule="auto"/>
            </w:pPr>
            <w:r>
              <w:rPr>
                <w:b w:val="0"/>
                <w:color w:val="000000"/>
                <w:sz w:val="18"/>
              </w:rPr>
              <w:t>Confirm capacity and submit quota requests during Week 1. Do not substitute another GPU without Hyperscience approval.</w:t>
            </w:r>
          </w:p>
        </w:tc>
      </w:tr>
      <w:tr>
        <w:trPr>
          <w:cantSplit/>
        </w:trPr>
        <w:tc>
          <w:tcPr>
            <w:tcW w:type="dxa" w:w="3096"/>
            <w:vAlign w:val="center"/>
            <w:tcMar>
              <w:top w:w="100" w:type="dxa"/>
              <w:bottom w:w="100" w:type="dxa"/>
              <w:left w:w="100" w:type="dxa"/>
              <w:right w:w="100" w:type="dxa"/>
            </w:tcMar>
            <w:shd w:fill="F2F6FA"/>
          </w:tcPr>
          <w:p>
            <w:pPr>
              <w:spacing w:after="0" w:line="245" w:lineRule="auto"/>
            </w:pPr>
            <w:r>
              <w:rPr>
                <w:b w:val="0"/>
                <w:color w:val="000000"/>
                <w:sz w:val="18"/>
              </w:rPr>
              <w:t>New ExpressRoute connection required</w:t>
            </w:r>
          </w:p>
        </w:tc>
        <w:tc>
          <w:tcPr>
            <w:tcW w:type="dxa" w:w="1800"/>
            <w:vAlign w:val="center"/>
            <w:tcMar>
              <w:top w:w="100" w:type="dxa"/>
              <w:bottom w:w="100" w:type="dxa"/>
              <w:left w:w="100" w:type="dxa"/>
              <w:right w:w="100" w:type="dxa"/>
            </w:tcMar>
            <w:shd w:fill="F2F6FA"/>
          </w:tcPr>
          <w:p>
            <w:pPr>
              <w:spacing w:after="0" w:line="245" w:lineRule="auto"/>
              <w:jc w:val="center"/>
            </w:pPr>
            <w:r>
              <w:rPr>
                <w:b w:val="0"/>
                <w:color w:val="000000"/>
                <w:sz w:val="18"/>
              </w:rPr>
              <w:t>Four to eight weeks or more</w:t>
            </w:r>
          </w:p>
        </w:tc>
        <w:tc>
          <w:tcPr>
            <w:tcW w:type="dxa" w:w="5184"/>
            <w:vAlign w:val="center"/>
            <w:tcMar>
              <w:top w:w="100" w:type="dxa"/>
              <w:bottom w:w="100" w:type="dxa"/>
              <w:left w:w="100" w:type="dxa"/>
              <w:right w:w="100" w:type="dxa"/>
            </w:tcMar>
            <w:shd w:fill="F2F6FA"/>
          </w:tcPr>
          <w:p>
            <w:pPr>
              <w:spacing w:after="0" w:line="245" w:lineRule="auto"/>
            </w:pPr>
            <w:r>
              <w:rPr>
                <w:b w:val="0"/>
                <w:color w:val="000000"/>
                <w:sz w:val="18"/>
              </w:rPr>
              <w:t>Use the existing enterprise connection when available. Rebaseline the schedule if a new circuit is required.</w:t>
            </w:r>
          </w:p>
        </w:tc>
      </w:tr>
      <w:tr>
        <w:trPr>
          <w:cantSplit/>
        </w:trPr>
        <w:tc>
          <w:tcPr>
            <w:tcW w:type="dxa" w:w="3096"/>
            <w:vAlign w:val="center"/>
            <w:tcMar>
              <w:top w:w="100" w:type="dxa"/>
              <w:bottom w:w="100" w:type="dxa"/>
              <w:left w:w="100" w:type="dxa"/>
              <w:right w:w="100" w:type="dxa"/>
            </w:tcMar>
            <w:shd w:fill="FFFFFF"/>
          </w:tcPr>
          <w:p>
            <w:pPr>
              <w:spacing w:after="0" w:line="245" w:lineRule="auto"/>
            </w:pPr>
            <w:r>
              <w:rPr>
                <w:b w:val="0"/>
                <w:color w:val="000000"/>
                <w:sz w:val="18"/>
              </w:rPr>
              <w:t>Vendor does not approve the selected OS, Kubernetes release or Azure SKU</w:t>
            </w:r>
          </w:p>
        </w:tc>
        <w:tc>
          <w:tcPr>
            <w:tcW w:type="dxa" w:w="1800"/>
            <w:vAlign w:val="center"/>
            <w:tcMar>
              <w:top w:w="100" w:type="dxa"/>
              <w:bottom w:w="100" w:type="dxa"/>
              <w:left w:w="100" w:type="dxa"/>
              <w:right w:w="100" w:type="dxa"/>
            </w:tcMar>
            <w:shd w:fill="FFFFFF"/>
          </w:tcPr>
          <w:p>
            <w:pPr>
              <w:spacing w:after="0" w:line="245" w:lineRule="auto"/>
              <w:jc w:val="center"/>
            </w:pPr>
            <w:r>
              <w:rPr>
                <w:b w:val="0"/>
                <w:color w:val="000000"/>
                <w:sz w:val="18"/>
              </w:rPr>
              <w:t>One to three weeks</w:t>
            </w:r>
          </w:p>
        </w:tc>
        <w:tc>
          <w:tcPr>
            <w:tcW w:type="dxa" w:w="5184"/>
            <w:vAlign w:val="center"/>
            <w:tcMar>
              <w:top w:w="100" w:type="dxa"/>
              <w:bottom w:w="100" w:type="dxa"/>
              <w:left w:w="100" w:type="dxa"/>
              <w:right w:w="100" w:type="dxa"/>
            </w:tcMar>
            <w:shd w:fill="FFFFFF"/>
          </w:tcPr>
          <w:p>
            <w:pPr>
              <w:spacing w:after="0" w:line="245" w:lineRule="auto"/>
            </w:pPr>
            <w:r>
              <w:rPr>
                <w:b w:val="0"/>
                <w:color w:val="000000"/>
                <w:sz w:val="18"/>
              </w:rPr>
              <w:t>Obtain written decisions before infrastructure deployment and price the supported alternative.</w:t>
            </w:r>
          </w:p>
        </w:tc>
      </w:tr>
      <w:tr>
        <w:trPr>
          <w:cantSplit/>
        </w:trPr>
        <w:tc>
          <w:tcPr>
            <w:tcW w:type="dxa" w:w="3096"/>
            <w:vAlign w:val="center"/>
            <w:tcMar>
              <w:top w:w="100" w:type="dxa"/>
              <w:bottom w:w="100" w:type="dxa"/>
              <w:left w:w="100" w:type="dxa"/>
              <w:right w:w="100" w:type="dxa"/>
            </w:tcMar>
            <w:shd w:fill="F2F6FA"/>
          </w:tcPr>
          <w:p>
            <w:pPr>
              <w:spacing w:after="0" w:line="245" w:lineRule="auto"/>
            </w:pPr>
            <w:r>
              <w:rPr>
                <w:b w:val="0"/>
                <w:color w:val="000000"/>
                <w:sz w:val="18"/>
              </w:rPr>
              <w:t>Security authorization requires additional controls</w:t>
            </w:r>
          </w:p>
        </w:tc>
        <w:tc>
          <w:tcPr>
            <w:tcW w:type="dxa" w:w="1800"/>
            <w:vAlign w:val="center"/>
            <w:tcMar>
              <w:top w:w="100" w:type="dxa"/>
              <w:bottom w:w="100" w:type="dxa"/>
              <w:left w:w="100" w:type="dxa"/>
              <w:right w:w="100" w:type="dxa"/>
            </w:tcMar>
            <w:shd w:fill="F2F6FA"/>
          </w:tcPr>
          <w:p>
            <w:pPr>
              <w:spacing w:after="0" w:line="245" w:lineRule="auto"/>
              <w:jc w:val="center"/>
            </w:pPr>
            <w:r>
              <w:rPr>
                <w:b w:val="0"/>
                <w:color w:val="000000"/>
                <w:sz w:val="18"/>
              </w:rPr>
              <w:t>Two to four weeks</w:t>
            </w:r>
          </w:p>
        </w:tc>
        <w:tc>
          <w:tcPr>
            <w:tcW w:type="dxa" w:w="5184"/>
            <w:vAlign w:val="center"/>
            <w:tcMar>
              <w:top w:w="100" w:type="dxa"/>
              <w:bottom w:w="100" w:type="dxa"/>
              <w:left w:w="100" w:type="dxa"/>
              <w:right w:w="100" w:type="dxa"/>
            </w:tcMar>
            <w:shd w:fill="F2F6FA"/>
          </w:tcPr>
          <w:p>
            <w:pPr>
              <w:spacing w:after="0" w:line="245" w:lineRule="auto"/>
            </w:pPr>
            <w:r>
              <w:rPr>
                <w:b w:val="0"/>
                <w:color w:val="000000"/>
                <w:sz w:val="18"/>
              </w:rPr>
              <w:t>Start the security review in Week 1 and track each control owner and evidence item.</w:t>
            </w:r>
          </w:p>
        </w:tc>
      </w:tr>
      <w:tr>
        <w:trPr>
          <w:cantSplit/>
        </w:trPr>
        <w:tc>
          <w:tcPr>
            <w:tcW w:type="dxa" w:w="3096"/>
            <w:vAlign w:val="center"/>
            <w:tcMar>
              <w:top w:w="100" w:type="dxa"/>
              <w:bottom w:w="100" w:type="dxa"/>
              <w:left w:w="100" w:type="dxa"/>
              <w:right w:w="100" w:type="dxa"/>
            </w:tcMar>
            <w:shd w:fill="FFFFFF"/>
          </w:tcPr>
          <w:p>
            <w:pPr>
              <w:spacing w:after="0" w:line="245" w:lineRule="auto"/>
            </w:pPr>
            <w:r>
              <w:rPr>
                <w:b w:val="0"/>
                <w:color w:val="000000"/>
                <w:sz w:val="18"/>
              </w:rPr>
              <w:t>Vendor engineering resources are unavailable</w:t>
            </w:r>
          </w:p>
        </w:tc>
        <w:tc>
          <w:tcPr>
            <w:tcW w:type="dxa" w:w="1800"/>
            <w:vAlign w:val="center"/>
            <w:tcMar>
              <w:top w:w="100" w:type="dxa"/>
              <w:bottom w:w="100" w:type="dxa"/>
              <w:left w:w="100" w:type="dxa"/>
              <w:right w:w="100" w:type="dxa"/>
            </w:tcMar>
            <w:shd w:fill="FFFFFF"/>
          </w:tcPr>
          <w:p>
            <w:pPr>
              <w:spacing w:after="0" w:line="245" w:lineRule="auto"/>
              <w:jc w:val="center"/>
            </w:pPr>
            <w:r>
              <w:rPr>
                <w:b w:val="0"/>
                <w:color w:val="000000"/>
                <w:sz w:val="18"/>
              </w:rPr>
              <w:t>One to three weeks</w:t>
            </w:r>
          </w:p>
        </w:tc>
        <w:tc>
          <w:tcPr>
            <w:tcW w:type="dxa" w:w="5184"/>
            <w:vAlign w:val="center"/>
            <w:tcMar>
              <w:top w:w="100" w:type="dxa"/>
              <w:bottom w:w="100" w:type="dxa"/>
              <w:left w:w="100" w:type="dxa"/>
              <w:right w:w="100" w:type="dxa"/>
            </w:tcMar>
            <w:shd w:fill="FFFFFF"/>
          </w:tcPr>
          <w:p>
            <w:pPr>
              <w:spacing w:after="0" w:line="245" w:lineRule="auto"/>
            </w:pPr>
            <w:r>
              <w:rPr>
                <w:b w:val="0"/>
                <w:color w:val="000000"/>
                <w:sz w:val="18"/>
              </w:rPr>
              <w:t>Reserve installation and troubleshooting windows before Week 4.</w:t>
            </w:r>
          </w:p>
        </w:tc>
      </w:tr>
    </w:tbl>
    <w:p>
      <w:pPr>
        <w:spacing w:before="120"/>
      </w:pPr>
      <w:r>
        <w:t>Schedule decision: retain 13 November 2026 as the target only when the Week 1 gates pass. Use 4 December 2026 as the management commitment date when ordinary remediation or scheduling contingency is needed. If a new ExpressRoute circuit or unavailable government-region GPU capacity is encountered, replan the effort as a 12- to 16-week project.</w:t>
      </w:r>
    </w:p>
    <w:p>
      <w:pPr>
        <w:pStyle w:val="Heading1"/>
      </w:pPr>
      <w:r>
        <w:t>Closeout Deliverables</w:t>
      </w:r>
    </w:p>
    <w:p>
      <w:r>
        <w:t>The closeout package will include the approved scope; detailed and as-built Azure designs; Terraform and deployment evidence; vendor decisions; test results; security dispositions; measured cost; production estimate; and final recommendation. Remove temporary OCI POC resources only after the evidence is preserved and decommissioning is authorized.</w:t>
      </w:r>
    </w:p>
    <w:p>
      <w:pPr>
        <w:pStyle w:val="Heading1"/>
      </w:pPr>
      <w:r>
        <w:t>References</w:t>
      </w:r>
    </w:p>
    <w:p>
      <w:pPr>
        <w:spacing w:after="40"/>
      </w:pPr>
      <w:hyperlink r:id="rId9">
        <w:r>
          <w:rPr>
            <w:color w:val="1D4E79"/>
            <w:sz w:val="18"/>
          </w:rPr>
          <w:t>Azure landing zones</w:t>
        </w:r>
      </w:hyperlink>
    </w:p>
    <w:p>
      <w:pPr>
        <w:spacing w:after="40"/>
      </w:pPr>
      <w:hyperlink r:id="rId10">
        <w:r>
          <w:rPr>
            <w:color w:val="1D4E79"/>
            <w:sz w:val="18"/>
          </w:rPr>
          <w:t>Azure Well Architected Framework</w:t>
        </w:r>
      </w:hyperlink>
    </w:p>
    <w:p>
      <w:pPr>
        <w:spacing w:after="40"/>
      </w:pPr>
      <w:hyperlink r:id="rId11">
        <w:r>
          <w:rPr>
            <w:color w:val="1D4E79"/>
            <w:sz w:val="18"/>
          </w:rPr>
          <w:t>NVadsA10 v5 virtual machine specifications</w:t>
        </w:r>
      </w:hyperlink>
    </w:p>
    <w:p>
      <w:pPr>
        <w:spacing w:after="40"/>
      </w:pPr>
      <w:hyperlink r:id="rId12">
        <w:r>
          <w:rPr>
            <w:color w:val="1D4E79"/>
            <w:sz w:val="18"/>
          </w:rPr>
          <w:t>Azure ExpressRoute overview</w:t>
        </w:r>
      </w:hyperlink>
    </w:p>
    <w:p>
      <w:pPr>
        <w:spacing w:after="40"/>
      </w:pPr>
      <w:hyperlink r:id="rId13">
        <w:r>
          <w:rPr>
            <w:color w:val="1D4E79"/>
            <w:sz w:val="18"/>
          </w:rPr>
          <w:t>OCI FastConnect overview</w:t>
        </w:r>
      </w:hyperlink>
    </w:p>
    <w:p>
      <w:pPr>
        <w:spacing w:after="40"/>
      </w:pPr>
      <w:hyperlink r:id="rId14">
        <w:r>
          <w:rPr>
            <w:color w:val="1D4E79"/>
            <w:sz w:val="18"/>
          </w:rPr>
          <w:t>Azure networking services overview</w:t>
        </w:r>
      </w:hyperlink>
    </w:p>
    <w:sectPr w:rsidR="00FC693F" w:rsidRPr="0006063C" w:rsidSect="00034616">
      <w:footerReference w:type="default" r:id="rId15"/>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6"/>
      </w:rPr>
      <w:t>DataWalk and Hyperscience OCI to Azure POC Migration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ptos" w:hAnsi="Aptos"/>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ptos" w:hAnsi="Aptos"/>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Aptos" w:hAnsi="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w:hAnsi="Aptos"/>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ptos" w:hAnsi="Aptos"/>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ptos" w:hAnsi="Aptos"/>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ptos" w:hAnsi="Aptos"/>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ptos" w:hAnsi="Aptos"/>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ptos" w:hAnsi="Aptos"/>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ptos" w:hAnsi="Aptos"/>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pPr>
    <w:rPr>
      <w:rFonts w:asciiTheme="majorHAnsi" w:eastAsiaTheme="majorEastAsia" w:hAnsiTheme="majorHAnsi" w:cstheme="majorBidi" w:ascii="Aptos" w:hAnsi="Aptos"/>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before="0"/>
    </w:pPr>
    <w:rPr>
      <w:rFonts w:asciiTheme="majorHAnsi" w:eastAsiaTheme="majorEastAsia" w:hAnsiTheme="majorHAnsi" w:cstheme="majorBidi" w:ascii="Aptos" w:hAnsi="Apto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ptos" w:hAnsi="Aptos"/>
      <w:color w:val="000000"/>
    </w:rPr>
  </w:style>
  <w:style w:type="paragraph" w:styleId="BodyText">
    <w:name w:val="Body Text"/>
    <w:basedOn w:val="Normal"/>
    <w:link w:val="BodyTextChar"/>
    <w:uiPriority w:val="99"/>
    <w:unhideWhenUsed/>
    <w:rsid w:val="00AA1D8D"/>
    <w:pPr>
      <w:spacing w:after="120"/>
    </w:pPr>
    <w:rPr>
      <w:rFonts w:ascii="Aptos" w:hAnsi="Aptos"/>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Aptos" w:hAnsi="Aptos"/>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Aptos" w:hAnsi="Aptos"/>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Aptos" w:hAnsi="Aptos"/>
      <w:color w:val="000000"/>
    </w:rPr>
  </w:style>
  <w:style w:type="paragraph" w:styleId="List2">
    <w:name w:val="List 2"/>
    <w:basedOn w:val="Normal"/>
    <w:uiPriority w:val="99"/>
    <w:unhideWhenUsed/>
    <w:rsid w:val="00326F90"/>
    <w:pPr>
      <w:ind w:left="720" w:hanging="360"/>
      <w:contextualSpacing/>
    </w:pPr>
    <w:rPr>
      <w:rFonts w:ascii="Aptos" w:hAnsi="Aptos"/>
      <w:color w:val="000000"/>
    </w:rPr>
  </w:style>
  <w:style w:type="paragraph" w:styleId="List3">
    <w:name w:val="List 3"/>
    <w:basedOn w:val="Normal"/>
    <w:uiPriority w:val="99"/>
    <w:unhideWhenUsed/>
    <w:rsid w:val="00326F90"/>
    <w:pPr>
      <w:ind w:left="1080" w:hanging="360"/>
      <w:contextualSpacing/>
    </w:pPr>
    <w:rPr>
      <w:rFonts w:ascii="Aptos" w:hAnsi="Aptos"/>
      <w:color w:val="000000"/>
    </w:rPr>
  </w:style>
  <w:style w:type="paragraph" w:styleId="ListBullet">
    <w:name w:val="List Bullet"/>
    <w:basedOn w:val="Normal"/>
    <w:uiPriority w:val="99"/>
    <w:unhideWhenUsed/>
    <w:rsid w:val="00326F90"/>
    <w:pPr>
      <w:numPr>
        <w:numId w:val="1"/>
      </w:numPr>
      <w:contextualSpacing/>
    </w:pPr>
    <w:rPr>
      <w:rFonts w:ascii="Aptos" w:hAnsi="Aptos"/>
      <w:color w:val="000000"/>
    </w:rPr>
  </w:style>
  <w:style w:type="paragraph" w:styleId="ListBullet2">
    <w:name w:val="List Bullet 2"/>
    <w:basedOn w:val="Normal"/>
    <w:uiPriority w:val="99"/>
    <w:unhideWhenUsed/>
    <w:rsid w:val="00326F90"/>
    <w:pPr>
      <w:numPr>
        <w:numId w:val="2"/>
      </w:numPr>
      <w:contextualSpacing/>
    </w:pPr>
    <w:rPr>
      <w:rFonts w:ascii="Aptos" w:hAnsi="Aptos"/>
      <w:color w:val="000000"/>
    </w:rPr>
  </w:style>
  <w:style w:type="paragraph" w:styleId="ListBullet3">
    <w:name w:val="List Bullet 3"/>
    <w:basedOn w:val="Normal"/>
    <w:uiPriority w:val="99"/>
    <w:unhideWhenUsed/>
    <w:rsid w:val="00326F90"/>
    <w:pPr>
      <w:numPr>
        <w:numId w:val="3"/>
      </w:numPr>
      <w:contextualSpacing/>
    </w:pPr>
    <w:rPr>
      <w:rFonts w:ascii="Aptos" w:hAnsi="Aptos"/>
      <w:color w:val="000000"/>
    </w:rPr>
  </w:style>
  <w:style w:type="paragraph" w:styleId="ListNumber">
    <w:name w:val="List Number"/>
    <w:basedOn w:val="Normal"/>
    <w:uiPriority w:val="99"/>
    <w:unhideWhenUsed/>
    <w:rsid w:val="00326F90"/>
    <w:pPr>
      <w:numPr>
        <w:numId w:val="5"/>
      </w:numPr>
      <w:contextualSpacing/>
    </w:pPr>
    <w:rPr>
      <w:rFonts w:ascii="Aptos" w:hAnsi="Aptos"/>
      <w:color w:val="000000"/>
    </w:rPr>
  </w:style>
  <w:style w:type="paragraph" w:styleId="ListNumber2">
    <w:name w:val="List Number 2"/>
    <w:basedOn w:val="Normal"/>
    <w:uiPriority w:val="99"/>
    <w:unhideWhenUsed/>
    <w:rsid w:val="0029639D"/>
    <w:pPr>
      <w:numPr>
        <w:numId w:val="6"/>
      </w:numPr>
      <w:contextualSpacing/>
    </w:pPr>
    <w:rPr>
      <w:rFonts w:ascii="Aptos" w:hAnsi="Aptos"/>
      <w:color w:val="000000"/>
    </w:rPr>
  </w:style>
  <w:style w:type="paragraph" w:styleId="ListNumber3">
    <w:name w:val="List Number 3"/>
    <w:basedOn w:val="Normal"/>
    <w:uiPriority w:val="99"/>
    <w:unhideWhenUsed/>
    <w:rsid w:val="0029639D"/>
    <w:pPr>
      <w:numPr>
        <w:numId w:val="7"/>
      </w:numPr>
      <w:contextualSpacing/>
    </w:pPr>
    <w:rPr>
      <w:rFonts w:ascii="Aptos" w:hAnsi="Aptos"/>
      <w:color w:val="000000"/>
    </w:rPr>
  </w:style>
  <w:style w:type="paragraph" w:styleId="ListContinue">
    <w:name w:val="List Continue"/>
    <w:basedOn w:val="Normal"/>
    <w:uiPriority w:val="99"/>
    <w:unhideWhenUsed/>
    <w:rsid w:val="0029639D"/>
    <w:pPr>
      <w:spacing w:after="120"/>
      <w:ind w:left="360"/>
      <w:contextualSpacing/>
    </w:pPr>
    <w:rPr>
      <w:rFonts w:ascii="Aptos" w:hAnsi="Aptos"/>
      <w:color w:val="000000"/>
    </w:rPr>
  </w:style>
  <w:style w:type="paragraph" w:styleId="ListContinue2">
    <w:name w:val="List Continue 2"/>
    <w:basedOn w:val="Normal"/>
    <w:uiPriority w:val="99"/>
    <w:unhideWhenUsed/>
    <w:rsid w:val="0029639D"/>
    <w:pPr>
      <w:spacing w:after="120"/>
      <w:ind w:left="720"/>
      <w:contextualSpacing/>
    </w:pPr>
    <w:rPr>
      <w:rFonts w:ascii="Aptos" w:hAnsi="Aptos"/>
      <w:color w:val="000000"/>
    </w:rPr>
  </w:style>
  <w:style w:type="paragraph" w:styleId="ListContinue3">
    <w:name w:val="List Continue 3"/>
    <w:basedOn w:val="Normal"/>
    <w:uiPriority w:val="99"/>
    <w:unhideWhenUsed/>
    <w:rsid w:val="0029639D"/>
    <w:pPr>
      <w:spacing w:after="120"/>
      <w:ind w:left="1080"/>
      <w:contextualSpacing/>
    </w:pPr>
    <w:rPr>
      <w:rFonts w:ascii="Aptos" w:hAnsi="Aptos"/>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ptos" w:hAnsi="Aptos"/>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ptos" w:hAnsi="Aptos"/>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Aptos" w:hAnsi="Aptos"/>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ptos" w:hAnsi="Aptos"/>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earn.microsoft.com/en-us/azure/cloud-adoption-framework/ready/landing-zone/" TargetMode="External"/><Relationship Id="rId10" Type="http://schemas.openxmlformats.org/officeDocument/2006/relationships/hyperlink" Target="https://learn.microsoft.com/en-us/azure/well-architected/pillars" TargetMode="External"/><Relationship Id="rId11" Type="http://schemas.openxmlformats.org/officeDocument/2006/relationships/hyperlink" Target="https://learn.microsoft.com/en-us/azure/virtual-machines/sizes/gpu-accelerated/nvadsa10v5-series" TargetMode="External"/><Relationship Id="rId12" Type="http://schemas.openxmlformats.org/officeDocument/2006/relationships/hyperlink" Target="https://learn.microsoft.com/en-us/azure/expressroute/expressroute-introduction" TargetMode="External"/><Relationship Id="rId13" Type="http://schemas.openxmlformats.org/officeDocument/2006/relationships/hyperlink" Target="https://docs.oracle.com/en-us/iaas/Content/Network/Concepts/fastconnectoverview.htm" TargetMode="External"/><Relationship Id="rId14" Type="http://schemas.openxmlformats.org/officeDocument/2006/relationships/hyperlink" Target="https://learn.microsoft.com/en-us/azure/networking/fundamentals/networking-overview" TargetMode="External"/><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OCI to Azure POC Migration Plan and Timeline for DataWalk and Hyperscience</dc:title>
  <dc:subject>Proposal and eight week schedule for relocating the POC to Azure Government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