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DataWalk OCI POC</w:t>
        <w:br/>
        <w:t>Infrastructure and installation runbook</w:t>
      </w:r>
    </w:p>
    <w:p>
      <w:r>
        <w:t>Build one private Dev-equivalent environment on dedicated E6 CPU workers, deploy the container application, and restore the approved demo database for validation. Hyperscience remains a separate VM and Podman deployment.</w:t>
      </w:r>
    </w:p>
    <w:p>
      <w:pPr>
        <w:pStyle w:val="Heading2"/>
      </w:pPr>
      <w:r>
        <w:t>Required starting position</w:t>
      </w:r>
    </w:p>
    <w:p>
      <w:r>
        <w:t>Use Kubernetes with Decoupled Storage for the target container deployment. The E6 VMs provide compute; creating them does not create a Kubernetes cluster. John and the Kubernetes SME must select and document the platform before provisioning.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shd w:fill="F2F2F2"/>
          </w:tcPr>
          <w:p>
            <w:pPr>
              <w:spacing w:after="100" w:before="80"/>
            </w:pPr>
            <w:r>
              <w:rPr>
                <w:b/>
                <w:sz w:val="20"/>
              </w:rPr>
              <w:t>Decision</w:t>
            </w:r>
          </w:p>
        </w:tc>
        <w:tc>
          <w:tcPr>
            <w:tcW w:type="dxa" w:w="7488"/>
            <w:vAlign w:val="center"/>
            <w:shd w:fill="F2F2F2"/>
          </w:tcPr>
          <w:p>
            <w:pPr>
              <w:spacing w:after="100" w:before="80"/>
            </w:pPr>
            <w:r>
              <w:rPr>
                <w:b/>
                <w:sz w:val="20"/>
              </w:rPr>
              <w:t>Record before build</w:t>
            </w:r>
          </w:p>
        </w:tc>
      </w:tr>
      <w:tr>
        <w:trPr>
          <w:cantSplit/>
        </w:trPr>
        <w:tc>
          <w:tcPr>
            <w:tcW w:type="dxa" w:w="2592"/>
            <w:vAlign w:val="center"/>
          </w:tcPr>
          <w:p>
            <w:pPr>
              <w:spacing w:after="100" w:before="80"/>
            </w:pPr>
            <w:r>
              <w:rPr>
                <w:b w:val="0"/>
                <w:sz w:val="20"/>
              </w:rPr>
              <w:t>Release and migration</w:t>
            </w:r>
          </w:p>
        </w:tc>
        <w:tc>
          <w:tcPr>
            <w:tcW w:type="dxa" w:w="7488"/>
            <w:vAlign w:val="center"/>
          </w:tcPr>
          <w:p>
            <w:pPr>
              <w:spacing w:after="100" w:before="80"/>
            </w:pPr>
            <w:r>
              <w:rPr>
                <w:b w:val="0"/>
                <w:sz w:val="20"/>
              </w:rPr>
              <w:t>DataWalk target version, current source version/storage mode, supported upgrade path and release-specific migration procedure.</w:t>
            </w:r>
          </w:p>
        </w:tc>
      </w:tr>
      <w:tr>
        <w:trPr>
          <w:cantSplit/>
        </w:trPr>
        <w:tc>
          <w:tcPr>
            <w:tcW w:type="dxa" w:w="2592"/>
            <w:vAlign w:val="center"/>
          </w:tcPr>
          <w:p>
            <w:pPr>
              <w:spacing w:after="100" w:before="80"/>
            </w:pPr>
            <w:r>
              <w:rPr>
                <w:b w:val="0"/>
                <w:sz w:val="20"/>
              </w:rPr>
              <w:t>Cluster platform and OS</w:t>
            </w:r>
          </w:p>
        </w:tc>
        <w:tc>
          <w:tcPr>
            <w:tcW w:type="dxa" w:w="7488"/>
            <w:vAlign w:val="center"/>
          </w:tcPr>
          <w:p>
            <w:pPr>
              <w:spacing w:after="100" w:before="80"/>
            </w:pPr>
            <w:r>
              <w:rPr>
                <w:b w:val="0"/>
                <w:sz w:val="20"/>
              </w:rPr>
              <w:t>Self-managed Kubernetes on RHEL 8.10 is the planning path for the requested E6 VM cluster, subject to vendor approval. Managed OKE is an alternative only after its node image and topology are approved.</w:t>
            </w:r>
          </w:p>
        </w:tc>
      </w:tr>
      <w:tr>
        <w:trPr>
          <w:cantSplit/>
        </w:trPr>
        <w:tc>
          <w:tcPr>
            <w:tcW w:type="dxa" w:w="2592"/>
            <w:vAlign w:val="center"/>
          </w:tcPr>
          <w:p>
            <w:pPr>
              <w:spacing w:after="100" w:before="80"/>
            </w:pPr>
            <w:r>
              <w:rPr>
                <w:b w:val="0"/>
                <w:sz w:val="20"/>
              </w:rPr>
              <w:t>Capacity and control plane</w:t>
            </w:r>
          </w:p>
        </w:tc>
        <w:tc>
          <w:tcPr>
            <w:tcW w:type="dxa" w:w="7488"/>
            <w:vAlign w:val="center"/>
          </w:tcPr>
          <w:p>
            <w:pPr>
              <w:spacing w:after="100" w:before="80"/>
            </w:pPr>
            <w:r>
              <w:rPr>
                <w:b w:val="0"/>
                <w:sz w:val="20"/>
              </w:rPr>
              <w:t>Worker count, exact OCPU/RAM sizing, control-plane placement/count, node OS, Kubernetes minor, runtime and CNI.</w:t>
            </w:r>
          </w:p>
        </w:tc>
      </w:tr>
      <w:tr>
        <w:trPr>
          <w:cantSplit/>
        </w:trPr>
        <w:tc>
          <w:tcPr>
            <w:tcW w:type="dxa" w:w="2592"/>
            <w:vAlign w:val="center"/>
          </w:tcPr>
          <w:p>
            <w:pPr>
              <w:spacing w:after="100" w:before="80"/>
            </w:pPr>
            <w:r>
              <w:rPr>
                <w:b w:val="0"/>
                <w:sz w:val="20"/>
              </w:rPr>
              <w:t>Decoupled Storage</w:t>
            </w:r>
          </w:p>
        </w:tc>
        <w:tc>
          <w:tcPr>
            <w:tcW w:type="dxa" w:w="7488"/>
            <w:vAlign w:val="center"/>
          </w:tcPr>
          <w:p>
            <w:pPr>
              <w:spacing w:after="100" w:before="80"/>
            </w:pPr>
            <w:r>
              <w:rPr>
                <w:b w:val="0"/>
                <w:sz w:val="20"/>
              </w:rPr>
              <w:t>Approved storage interface, endpoint, access method, application volumes, migration order, backup and restore method.</w:t>
            </w:r>
          </w:p>
        </w:tc>
      </w:tr>
      <w:tr>
        <w:trPr>
          <w:cantSplit/>
        </w:trPr>
        <w:tc>
          <w:tcPr>
            <w:tcW w:type="dxa" w:w="2592"/>
            <w:vAlign w:val="center"/>
          </w:tcPr>
          <w:p>
            <w:pPr>
              <w:spacing w:after="100" w:before="80"/>
            </w:pPr>
            <w:r>
              <w:rPr>
                <w:b w:val="0"/>
                <w:sz w:val="20"/>
              </w:rPr>
              <w:t>Access and scope</w:t>
            </w:r>
          </w:p>
        </w:tc>
        <w:tc>
          <w:tcPr>
            <w:tcW w:type="dxa" w:w="7488"/>
            <w:vAlign w:val="center"/>
          </w:tcPr>
          <w:p>
            <w:pPr>
              <w:spacing w:after="100" w:before="80"/>
            </w:pPr>
            <w:r>
              <w:rPr>
                <w:b w:val="0"/>
                <w:sz w:val="20"/>
              </w:rPr>
              <w:t>Named operators, private endpoint, approved CIDRs/ports, demo data owner, success criteria, budget and expiration date.</w:t>
            </w:r>
          </w:p>
        </w:tc>
      </w:tr>
    </w:tbl>
    <w:p>
      <w:pPr>
        <w:spacing w:after="0"/>
      </w:pPr>
    </w:p>
    <w:p>
      <w:pPr>
        <w:pStyle w:val="Heading2"/>
      </w:pPr>
      <w:r>
        <w:t>Vendor requirement baseline</w:t>
      </w:r>
    </w:p>
    <w:p>
      <w:r>
        <w:t>DataWalk states that 5.1 is the final release supporting non-container deployment and Coupled Storage. Version 5.2 onward requires containers and Decoupled Storage. Non-container support ends in November 2027. Its stated minimum OS is RHEL 8.10 or Rocky 8; it also calls for Kubernetes-trained administrators. [1]</w:t>
      </w:r>
    </w:p>
    <w:p>
      <w:r>
        <w:t>This runbook covers the initial Dev-equivalent POC. Add a separate Test environment only through the agreed next phase; no production build, live Hyperscience integration or production cutover is included. Target technical completion remains November 24 ahead of the November 25 funding boundary, subject to the baselined schedule. Record actual execution evidence; this procedure has not been executed.</w:t>
      </w:r>
    </w:p>
    <w:p>
      <w:r>
        <w:br w:type="page"/>
      </w:r>
    </w:p>
    <w:p>
      <w:pPr>
        <w:pStyle w:val="Heading1"/>
      </w:pPr>
      <w:r>
        <w:t>1 Confirm ownership and size the cluster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4896"/>
      </w:tblGrid>
      <w:tr>
        <w:trPr>
          <w:cantSplit/>
          <w:tblHeader/>
        </w:trPr>
        <w:tc>
          <w:tcPr>
            <w:tcW w:type="dxa" w:w="5184"/>
            <w:vAlign w:val="center"/>
            <w:shd w:fill="F2F2F2"/>
          </w:tcPr>
          <w:p>
            <w:pPr>
              <w:spacing w:after="100" w:before="80"/>
            </w:pPr>
            <w:r>
              <w:rPr>
                <w:b/>
                <w:sz w:val="20"/>
              </w:rPr>
              <w:t>Work</w:t>
            </w:r>
          </w:p>
        </w:tc>
        <w:tc>
          <w:tcPr>
            <w:tcW w:type="dxa" w:w="4896"/>
            <w:vAlign w:val="center"/>
            <w:shd w:fill="F2F2F2"/>
          </w:tcPr>
          <w:p>
            <w:pPr>
              <w:spacing w:after="100" w:before="80"/>
            </w:pPr>
            <w:r>
              <w:rPr>
                <w:b/>
                <w:sz w:val="20"/>
              </w:rPr>
              <w:t>Owner or reviewer</w:t>
            </w:r>
          </w:p>
        </w:tc>
      </w:tr>
      <w:tr>
        <w:trPr>
          <w:cantSplit/>
        </w:trPr>
        <w:tc>
          <w:tcPr>
            <w:tcW w:type="dxa" w:w="5184"/>
            <w:vAlign w:val="center"/>
          </w:tcPr>
          <w:p>
            <w:pPr>
              <w:spacing w:after="100" w:before="80"/>
            </w:pPr>
            <w:r>
              <w:rPr>
                <w:b w:val="0"/>
                <w:sz w:val="20"/>
              </w:rPr>
              <w:t>OCI foundation, IAM, limits, costs and handoff</w:t>
            </w:r>
          </w:p>
        </w:tc>
        <w:tc>
          <w:tcPr>
            <w:tcW w:type="dxa" w:w="4896"/>
            <w:vAlign w:val="center"/>
          </w:tcPr>
          <w:p>
            <w:pPr>
              <w:spacing w:after="100" w:before="80"/>
            </w:pPr>
            <w:r>
              <w:rPr>
                <w:b w:val="0"/>
                <w:sz w:val="20"/>
              </w:rPr>
              <w:t>John and infrastructure team</w:t>
            </w:r>
          </w:p>
        </w:tc>
      </w:tr>
      <w:tr>
        <w:trPr>
          <w:cantSplit/>
        </w:trPr>
        <w:tc>
          <w:tcPr>
            <w:tcW w:type="dxa" w:w="5184"/>
            <w:vAlign w:val="center"/>
          </w:tcPr>
          <w:p>
            <w:pPr>
              <w:spacing w:after="100" w:before="80"/>
            </w:pPr>
            <w:r>
              <w:rPr>
                <w:b w:val="0"/>
                <w:sz w:val="20"/>
              </w:rPr>
              <w:t>Routing, CIDRs, DNS, inspection and Harbor egress</w:t>
            </w:r>
          </w:p>
        </w:tc>
        <w:tc>
          <w:tcPr>
            <w:tcW w:type="dxa" w:w="4896"/>
            <w:vAlign w:val="center"/>
          </w:tcPr>
          <w:p>
            <w:pPr>
              <w:spacing w:after="100" w:before="80"/>
            </w:pPr>
            <w:r>
              <w:rPr>
                <w:b w:val="0"/>
                <w:sz w:val="20"/>
              </w:rPr>
              <w:t>Tony and network team</w:t>
            </w:r>
          </w:p>
        </w:tc>
      </w:tr>
      <w:tr>
        <w:trPr>
          <w:cantSplit/>
        </w:trPr>
        <w:tc>
          <w:tcPr>
            <w:tcW w:type="dxa" w:w="5184"/>
            <w:vAlign w:val="center"/>
          </w:tcPr>
          <w:p>
            <w:pPr>
              <w:spacing w:after="100" w:before="80"/>
            </w:pPr>
            <w:r>
              <w:rPr>
                <w:b w:val="0"/>
                <w:sz w:val="20"/>
              </w:rPr>
              <w:t>Security forms, admin accounts and YubiKeys</w:t>
            </w:r>
          </w:p>
        </w:tc>
        <w:tc>
          <w:tcPr>
            <w:tcW w:type="dxa" w:w="4896"/>
            <w:vAlign w:val="center"/>
          </w:tcPr>
          <w:p>
            <w:pPr>
              <w:spacing w:after="100" w:before="80"/>
            </w:pPr>
            <w:r>
              <w:rPr>
                <w:b w:val="0"/>
                <w:sz w:val="20"/>
              </w:rPr>
              <w:t>Keith with participating administrators</w:t>
            </w:r>
          </w:p>
        </w:tc>
      </w:tr>
      <w:tr>
        <w:trPr>
          <w:cantSplit/>
        </w:trPr>
        <w:tc>
          <w:tcPr>
            <w:tcW w:type="dxa" w:w="5184"/>
            <w:vAlign w:val="center"/>
          </w:tcPr>
          <w:p>
            <w:pPr>
              <w:spacing w:after="100" w:before="80"/>
            </w:pPr>
            <w:r>
              <w:rPr>
                <w:b w:val="0"/>
                <w:sz w:val="20"/>
              </w:rPr>
              <w:t>Kubernetes design and platform readiness</w:t>
            </w:r>
          </w:p>
        </w:tc>
        <w:tc>
          <w:tcPr>
            <w:tcW w:type="dxa" w:w="4896"/>
            <w:vAlign w:val="center"/>
          </w:tcPr>
          <w:p>
            <w:pPr>
              <w:spacing w:after="100" w:before="80"/>
            </w:pPr>
            <w:r>
              <w:rPr>
                <w:b w:val="0"/>
                <w:sz w:val="20"/>
              </w:rPr>
              <w:t>Assigned platform operator, with Oracle Chris/Mike advising</w:t>
            </w:r>
          </w:p>
        </w:tc>
      </w:tr>
      <w:tr>
        <w:trPr>
          <w:cantSplit/>
        </w:trPr>
        <w:tc>
          <w:tcPr>
            <w:tcW w:type="dxa" w:w="5184"/>
            <w:vAlign w:val="center"/>
          </w:tcPr>
          <w:p>
            <w:pPr>
              <w:spacing w:after="100" w:before="80"/>
            </w:pPr>
            <w:r>
              <w:rPr>
                <w:b w:val="0"/>
                <w:sz w:val="20"/>
              </w:rPr>
              <w:t>Application chart, storage and migration procedure</w:t>
            </w:r>
          </w:p>
        </w:tc>
        <w:tc>
          <w:tcPr>
            <w:tcW w:type="dxa" w:w="4896"/>
            <w:vAlign w:val="center"/>
          </w:tcPr>
          <w:p>
            <w:pPr>
              <w:spacing w:after="100" w:before="80"/>
            </w:pPr>
            <w:r>
              <w:rPr>
                <w:b w:val="0"/>
                <w:sz w:val="20"/>
              </w:rPr>
              <w:t>DataWalk Michael/Renato and authorized MSS operators</w:t>
            </w:r>
          </w:p>
        </w:tc>
      </w:tr>
      <w:tr>
        <w:trPr>
          <w:cantSplit/>
        </w:trPr>
        <w:tc>
          <w:tcPr>
            <w:tcW w:type="dxa" w:w="5184"/>
            <w:vAlign w:val="center"/>
          </w:tcPr>
          <w:p>
            <w:pPr>
              <w:spacing w:after="100" w:before="80"/>
            </w:pPr>
            <w:r>
              <w:rPr>
                <w:b w:val="0"/>
                <w:sz w:val="20"/>
              </w:rPr>
              <w:t>Approved package and demo export transfers</w:t>
            </w:r>
          </w:p>
        </w:tc>
        <w:tc>
          <w:tcPr>
            <w:tcW w:type="dxa" w:w="4896"/>
            <w:vAlign w:val="center"/>
          </w:tcPr>
          <w:p>
            <w:pPr>
              <w:spacing w:after="100" w:before="80"/>
            </w:pPr>
            <w:r>
              <w:rPr>
                <w:b w:val="0"/>
                <w:sz w:val="20"/>
              </w:rPr>
              <w:t>Charles with source owner and Adam/Vinny as assigned</w:t>
            </w:r>
          </w:p>
        </w:tc>
      </w:tr>
      <w:tr>
        <w:trPr>
          <w:cantSplit/>
        </w:trPr>
        <w:tc>
          <w:tcPr>
            <w:tcW w:type="dxa" w:w="5184"/>
            <w:vAlign w:val="center"/>
          </w:tcPr>
          <w:p>
            <w:pPr>
              <w:spacing w:after="100" w:before="80"/>
            </w:pPr>
            <w:r>
              <w:rPr>
                <w:b w:val="0"/>
                <w:sz w:val="20"/>
              </w:rPr>
              <w:t>Scope, schedule, acceptance and status</w:t>
            </w:r>
          </w:p>
        </w:tc>
        <w:tc>
          <w:tcPr>
            <w:tcW w:type="dxa" w:w="4896"/>
            <w:vAlign w:val="center"/>
          </w:tcPr>
          <w:p>
            <w:pPr>
              <w:spacing w:after="100" w:before="80"/>
            </w:pPr>
            <w:r>
              <w:rPr>
                <w:b w:val="0"/>
                <w:sz w:val="20"/>
              </w:rPr>
              <w:t>Mo / Mark with MSS and infrastructure leads</w:t>
            </w:r>
          </w:p>
        </w:tc>
      </w:tr>
    </w:tbl>
    <w:p>
      <w:pPr>
        <w:spacing w:after="0"/>
      </w:pPr>
    </w:p>
    <w:p>
      <w:pPr>
        <w:pStyle w:val="Heading2"/>
      </w:pPr>
      <w:r>
        <w:t>Step 1 Confirm the build worksheet</w:t>
      </w:r>
    </w:p>
    <w:p>
      <w:r>
        <w:t>Record tenancy/region, compartment OCID, change ID, VCN/subnet CIDRs, DRG route table, jump-box sources, private DNS name, certificate owner, storage endpoints and secret references. Verify the named admin roster and tickets, YubiKey delivery, Windows jump-box login and required sudo/kubectl permissions. Chase is not the DataWalk installation owner.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00"/>
        <w:gridCol w:w="4176"/>
      </w:tblGrid>
      <w:tr>
        <w:trPr>
          <w:cantSplit/>
          <w:tblHeader/>
        </w:trPr>
        <w:tc>
          <w:tcPr>
            <w:tcW w:type="dxa" w:w="2304"/>
            <w:vAlign w:val="center"/>
            <w:shd w:fill="F2F2F2"/>
          </w:tcPr>
          <w:p>
            <w:pPr>
              <w:spacing w:after="100" w:before="80"/>
            </w:pPr>
            <w:r>
              <w:rPr>
                <w:b/>
                <w:sz w:val="20"/>
              </w:rPr>
              <w:t>Component</w:t>
            </w:r>
          </w:p>
        </w:tc>
        <w:tc>
          <w:tcPr>
            <w:tcW w:type="dxa" w:w="3600"/>
            <w:vAlign w:val="center"/>
            <w:shd w:fill="F2F2F2"/>
          </w:tcPr>
          <w:p>
            <w:pPr>
              <w:spacing w:after="100" w:before="80"/>
            </w:pPr>
            <w:r>
              <w:rPr>
                <w:b/>
                <w:sz w:val="20"/>
              </w:rPr>
              <w:t>Provisional POC allowance</w:t>
            </w:r>
          </w:p>
        </w:tc>
        <w:tc>
          <w:tcPr>
            <w:tcW w:type="dxa" w:w="4176"/>
            <w:vAlign w:val="center"/>
            <w:shd w:fill="F2F2F2"/>
          </w:tcPr>
          <w:p>
            <w:pPr>
              <w:spacing w:after="100" w:before="80"/>
            </w:pPr>
            <w:r>
              <w:rPr>
                <w:b/>
                <w:sz w:val="20"/>
              </w:rPr>
              <w:t>Approval needed</w:t>
            </w:r>
          </w:p>
        </w:tc>
      </w:tr>
      <w:tr>
        <w:trPr>
          <w:cantSplit/>
        </w:trPr>
        <w:tc>
          <w:tcPr>
            <w:tcW w:type="dxa" w:w="2304"/>
            <w:vAlign w:val="center"/>
          </w:tcPr>
          <w:p>
            <w:pPr>
              <w:spacing w:after="100" w:before="80"/>
            </w:pPr>
            <w:r>
              <w:rPr>
                <w:b w:val="0"/>
                <w:sz w:val="20"/>
              </w:rPr>
              <w:t>Workers</w:t>
            </w:r>
          </w:p>
        </w:tc>
        <w:tc>
          <w:tcPr>
            <w:tcW w:type="dxa" w:w="3600"/>
            <w:vAlign w:val="center"/>
          </w:tcPr>
          <w:p>
            <w:pPr>
              <w:spacing w:after="100" w:before="80"/>
            </w:pPr>
            <w:r>
              <w:rPr>
                <w:b w:val="0"/>
                <w:sz w:val="20"/>
              </w:rPr>
              <w:t>3 × VM.Standard.E6.Flex</w:t>
            </w:r>
          </w:p>
        </w:tc>
        <w:tc>
          <w:tcPr>
            <w:tcW w:type="dxa" w:w="4176"/>
            <w:vAlign w:val="center"/>
          </w:tcPr>
          <w:p>
            <w:pPr>
              <w:spacing w:after="100" w:before="80"/>
            </w:pPr>
            <w:r>
              <w:rPr>
                <w:b w:val="0"/>
                <w:sz w:val="20"/>
              </w:rPr>
              <w:t>Discovery estimate: 3, potentially 5 as data grows; confirm scheduling headroom.</w:t>
            </w:r>
          </w:p>
        </w:tc>
      </w:tr>
      <w:tr>
        <w:trPr>
          <w:cantSplit/>
        </w:trPr>
        <w:tc>
          <w:tcPr>
            <w:tcW w:type="dxa" w:w="2304"/>
            <w:vAlign w:val="center"/>
          </w:tcPr>
          <w:p>
            <w:pPr>
              <w:spacing w:after="100" w:before="80"/>
            </w:pPr>
            <w:r>
              <w:rPr>
                <w:b w:val="0"/>
                <w:sz w:val="20"/>
              </w:rPr>
              <w:t>Worker CPU / RAM</w:t>
            </w:r>
          </w:p>
        </w:tc>
        <w:tc>
          <w:tcPr>
            <w:tcW w:type="dxa" w:w="3600"/>
            <w:vAlign w:val="center"/>
          </w:tcPr>
          <w:p>
            <w:pPr>
              <w:spacing w:after="100" w:before="80"/>
            </w:pPr>
            <w:r>
              <w:rPr>
                <w:b w:val="0"/>
                <w:sz w:val="20"/>
              </w:rPr>
              <w:t>8 OCPUs = 16 vCPUs; 128 GB RAM</w:t>
            </w:r>
          </w:p>
        </w:tc>
        <w:tc>
          <w:tcPr>
            <w:tcW w:type="dxa" w:w="4176"/>
            <w:vAlign w:val="center"/>
          </w:tcPr>
          <w:p>
            <w:pPr>
              <w:spacing w:after="100" w:before="80"/>
            </w:pPr>
            <w:r>
              <w:rPr>
                <w:b w:val="0"/>
                <w:sz w:val="20"/>
              </w:rPr>
              <w:t>Resolve 96 vs 128 GB and vendor CPU unit. E6 uses AMD x86; obtain acceptance. [4]</w:t>
            </w:r>
          </w:p>
        </w:tc>
      </w:tr>
      <w:tr>
        <w:trPr>
          <w:cantSplit/>
        </w:trPr>
        <w:tc>
          <w:tcPr>
            <w:tcW w:type="dxa" w:w="2304"/>
            <w:vAlign w:val="center"/>
          </w:tcPr>
          <w:p>
            <w:pPr>
              <w:spacing w:after="100" w:before="80"/>
            </w:pPr>
            <w:r>
              <w:rPr>
                <w:b w:val="0"/>
                <w:sz w:val="20"/>
              </w:rPr>
              <w:t>Boot and application storage</w:t>
            </w:r>
          </w:p>
        </w:tc>
        <w:tc>
          <w:tcPr>
            <w:tcW w:type="dxa" w:w="3600"/>
            <w:vAlign w:val="center"/>
          </w:tcPr>
          <w:p>
            <w:pPr>
              <w:spacing w:after="100" w:before="80"/>
            </w:pPr>
            <w:r>
              <w:rPr>
                <w:b w:val="0"/>
                <w:sz w:val="20"/>
              </w:rPr>
              <w:t>100 GB boot; about 1 TB block capacity per worker</w:t>
            </w:r>
          </w:p>
        </w:tc>
        <w:tc>
          <w:tcPr>
            <w:tcW w:type="dxa" w:w="4176"/>
            <w:vAlign w:val="center"/>
          </w:tcPr>
          <w:p>
            <w:pPr>
              <w:spacing w:after="100" w:before="80"/>
            </w:pPr>
            <w:r>
              <w:rPr>
                <w:b w:val="0"/>
                <w:sz w:val="20"/>
              </w:rPr>
              <w:t>Separate OS/image space from PVCs. Confirm size, performance and allocation.</w:t>
            </w:r>
          </w:p>
        </w:tc>
      </w:tr>
      <w:tr>
        <w:trPr>
          <w:cantSplit/>
        </w:trPr>
        <w:tc>
          <w:tcPr>
            <w:tcW w:type="dxa" w:w="2304"/>
            <w:vAlign w:val="center"/>
          </w:tcPr>
          <w:p>
            <w:pPr>
              <w:spacing w:after="100" w:before="80"/>
            </w:pPr>
            <w:r>
              <w:rPr>
                <w:b w:val="0"/>
                <w:sz w:val="20"/>
              </w:rPr>
              <w:t>Object storage</w:t>
            </w:r>
          </w:p>
        </w:tc>
        <w:tc>
          <w:tcPr>
            <w:tcW w:type="dxa" w:w="3600"/>
            <w:vAlign w:val="center"/>
          </w:tcPr>
          <w:p>
            <w:pPr>
              <w:spacing w:after="100" w:before="80"/>
            </w:pPr>
            <w:r>
              <w:rPr>
                <w:b w:val="0"/>
                <w:sz w:val="20"/>
              </w:rPr>
              <w:t>About 1 TB planning allowance</w:t>
            </w:r>
          </w:p>
        </w:tc>
        <w:tc>
          <w:tcPr>
            <w:tcW w:type="dxa" w:w="4176"/>
            <w:vAlign w:val="center"/>
          </w:tcPr>
          <w:p>
            <w:pPr>
              <w:spacing w:after="100" w:before="80"/>
            </w:pPr>
            <w:r>
              <w:rPr>
                <w:b w:val="0"/>
                <w:sz w:val="20"/>
              </w:rPr>
              <w:t>Separate DS application use from demo export staging; validate actual use.</w:t>
            </w:r>
          </w:p>
        </w:tc>
      </w:tr>
      <w:tr>
        <w:trPr>
          <w:cantSplit/>
        </w:trPr>
        <w:tc>
          <w:tcPr>
            <w:tcW w:type="dxa" w:w="2304"/>
            <w:vAlign w:val="center"/>
          </w:tcPr>
          <w:p>
            <w:pPr>
              <w:spacing w:after="100" w:before="80"/>
            </w:pPr>
            <w:r>
              <w:rPr>
                <w:b w:val="0"/>
                <w:sz w:val="20"/>
              </w:rPr>
              <w:t>Control plane</w:t>
            </w:r>
          </w:p>
        </w:tc>
        <w:tc>
          <w:tcPr>
            <w:tcW w:type="dxa" w:w="3600"/>
            <w:vAlign w:val="center"/>
          </w:tcPr>
          <w:p>
            <w:pPr>
              <w:spacing w:after="100" w:before="80"/>
            </w:pPr>
            <w:r>
              <w:rPr>
                <w:b w:val="0"/>
                <w:sz w:val="20"/>
              </w:rPr>
              <w:t>Additional capacity if self-managed</w:t>
            </w:r>
          </w:p>
        </w:tc>
        <w:tc>
          <w:tcPr>
            <w:tcW w:type="dxa" w:w="4176"/>
            <w:vAlign w:val="center"/>
          </w:tcPr>
          <w:p>
            <w:pPr>
              <w:spacing w:after="100" w:before="80"/>
            </w:pPr>
            <w:r>
              <w:rPr>
                <w:b w:val="0"/>
                <w:sz w:val="20"/>
              </w:rPr>
              <w:t>SME specifies count, HA choice, roles and backups. Three workers alone do not define it.</w:t>
            </w:r>
          </w:p>
        </w:tc>
      </w:tr>
    </w:tbl>
    <w:p>
      <w:pPr>
        <w:spacing w:after="0"/>
      </w:pPr>
    </w:p>
    <w:p>
      <w:r>
        <w:t>Do not create a GPU worker for DataWalk. Record total node count and cost after adding control-plane/system capacity. The public notice does not validate this project sizing, OCI E6 compatibility or a specific Kubernetes minor. Obtain release-specific vendor confirmation before bootstrap.</w:t>
      </w:r>
    </w:p>
    <w:p>
      <w:r>
        <w:br w:type="page"/>
      </w:r>
    </w:p>
    <w:p>
      <w:pPr>
        <w:pStyle w:val="Heading1"/>
      </w:pPr>
      <w:r>
        <w:t>2 Establish private connectivity and security</w:t>
      </w:r>
    </w:p>
    <w:p>
      <w:pPr>
        <w:pStyle w:val="Heading2"/>
      </w:pPr>
      <w:r>
        <w:t>Step 2 Prepare the landing zone</w:t>
      </w:r>
    </w:p>
    <w:p>
      <w:r>
        <w:t>John confirms the non-production workload compartment, scoped admin/developer/operator access, required tags, budget alerts, quotas and service permissions. Keep Terraform state, kubeconfig and secrets restricted. Tony verifies the FastConnect/DRG path, return routing and SCCA inspection, then records approved DNS, time, PKI and repository destinations.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760"/>
      </w:tblGrid>
      <w:tr>
        <w:trPr>
          <w:cantSplit/>
          <w:tblHeader/>
        </w:trPr>
        <w:tc>
          <w:tcPr>
            <w:tcW w:type="dxa" w:w="4320"/>
            <w:vAlign w:val="center"/>
            <w:shd w:fill="F2F2F2"/>
          </w:tcPr>
          <w:p>
            <w:pPr>
              <w:spacing w:after="100" w:before="80"/>
            </w:pPr>
            <w:r>
              <w:rPr>
                <w:b/>
                <w:sz w:val="20"/>
              </w:rPr>
              <w:t>Source and destination</w:t>
            </w:r>
          </w:p>
        </w:tc>
        <w:tc>
          <w:tcPr>
            <w:tcW w:type="dxa" w:w="5760"/>
            <w:vAlign w:val="center"/>
            <w:shd w:fill="F2F2F2"/>
          </w:tcPr>
          <w:p>
            <w:pPr>
              <w:spacing w:after="100" w:before="80"/>
            </w:pPr>
            <w:r>
              <w:rPr>
                <w:b/>
                <w:sz w:val="20"/>
              </w:rPr>
              <w:t>Required purpose</w:t>
            </w:r>
          </w:p>
        </w:tc>
      </w:tr>
      <w:tr>
        <w:trPr>
          <w:cantSplit/>
        </w:trPr>
        <w:tc>
          <w:tcPr>
            <w:tcW w:type="dxa" w:w="4320"/>
            <w:vAlign w:val="center"/>
          </w:tcPr>
          <w:p>
            <w:pPr>
              <w:spacing w:after="100" w:before="80"/>
            </w:pPr>
            <w:r>
              <w:rPr>
                <w:b w:val="0"/>
                <w:sz w:val="20"/>
              </w:rPr>
              <w:t>Windows jump box → E6 hosts</w:t>
            </w:r>
          </w:p>
        </w:tc>
        <w:tc>
          <w:tcPr>
            <w:tcW w:type="dxa" w:w="5760"/>
            <w:vAlign w:val="center"/>
          </w:tcPr>
          <w:p>
            <w:pPr>
              <w:spacing w:after="100" w:before="80"/>
            </w:pPr>
            <w:r>
              <w:rPr>
                <w:b w:val="0"/>
                <w:sz w:val="20"/>
              </w:rPr>
              <w:t>SSH 22 from approved sources for named administrators.</w:t>
            </w:r>
          </w:p>
        </w:tc>
      </w:tr>
      <w:tr>
        <w:trPr>
          <w:cantSplit/>
        </w:trPr>
        <w:tc>
          <w:tcPr>
            <w:tcW w:type="dxa" w:w="4320"/>
            <w:vAlign w:val="center"/>
          </w:tcPr>
          <w:p>
            <w:pPr>
              <w:spacing w:after="100" w:before="80"/>
            </w:pPr>
            <w:r>
              <w:rPr>
                <w:b w:val="0"/>
                <w:sz w:val="20"/>
              </w:rPr>
              <w:t>Authorized admin → private Kubernetes API</w:t>
            </w:r>
          </w:p>
        </w:tc>
        <w:tc>
          <w:tcPr>
            <w:tcW w:type="dxa" w:w="5760"/>
            <w:vAlign w:val="center"/>
          </w:tcPr>
          <w:p>
            <w:pPr>
              <w:spacing w:after="100" w:before="80"/>
            </w:pPr>
            <w:r>
              <w:rPr>
                <w:b w:val="0"/>
                <w:sz w:val="20"/>
              </w:rPr>
              <w:t>Cluster administration using the selected platform API port and RBAC.</w:t>
            </w:r>
          </w:p>
        </w:tc>
      </w:tr>
      <w:tr>
        <w:trPr>
          <w:cantSplit/>
        </w:trPr>
        <w:tc>
          <w:tcPr>
            <w:tcW w:type="dxa" w:w="4320"/>
            <w:vAlign w:val="center"/>
          </w:tcPr>
          <w:p>
            <w:pPr>
              <w:spacing w:after="100" w:before="80"/>
            </w:pPr>
            <w:r>
              <w:rPr>
                <w:b w:val="0"/>
                <w:sz w:val="20"/>
              </w:rPr>
              <w:t>Workers / control plane / pods</w:t>
            </w:r>
          </w:p>
        </w:tc>
        <w:tc>
          <w:tcPr>
            <w:tcW w:type="dxa" w:w="5760"/>
            <w:vAlign w:val="center"/>
          </w:tcPr>
          <w:p>
            <w:pPr>
              <w:spacing w:after="100" w:before="80"/>
            </w:pPr>
            <w:r>
              <w:rPr>
                <w:b w:val="0"/>
                <w:sz w:val="20"/>
              </w:rPr>
              <w:t>SME-approved Kubernetes, CNI, DNS, CSI and health traffic.</w:t>
            </w:r>
          </w:p>
        </w:tc>
      </w:tr>
      <w:tr>
        <w:trPr>
          <w:cantSplit/>
        </w:trPr>
        <w:tc>
          <w:tcPr>
            <w:tcW w:type="dxa" w:w="4320"/>
            <w:vAlign w:val="center"/>
          </w:tcPr>
          <w:p>
            <w:pPr>
              <w:spacing w:after="100" w:before="80"/>
            </w:pPr>
            <w:r>
              <w:rPr>
                <w:b w:val="0"/>
                <w:sz w:val="20"/>
              </w:rPr>
              <w:t>Test users → private application endpoint</w:t>
            </w:r>
          </w:p>
        </w:tc>
        <w:tc>
          <w:tcPr>
            <w:tcW w:type="dxa" w:w="5760"/>
            <w:vAlign w:val="center"/>
          </w:tcPr>
          <w:p>
            <w:pPr>
              <w:spacing w:after="100" w:before="80"/>
            </w:pPr>
            <w:r>
              <w:rPr>
                <w:b w:val="0"/>
                <w:sz w:val="20"/>
              </w:rPr>
              <w:t>HTTPS 443; private load balancer/ingress backend traffic as designed.</w:t>
            </w:r>
          </w:p>
        </w:tc>
      </w:tr>
      <w:tr>
        <w:trPr>
          <w:cantSplit/>
        </w:trPr>
        <w:tc>
          <w:tcPr>
            <w:tcW w:type="dxa" w:w="4320"/>
            <w:vAlign w:val="center"/>
          </w:tcPr>
          <w:p>
            <w:pPr>
              <w:spacing w:after="100" w:before="80"/>
            </w:pPr>
            <w:r>
              <w:rPr>
                <w:b w:val="0"/>
                <w:sz w:val="20"/>
              </w:rPr>
              <w:t>Workloads → approved storage</w:t>
            </w:r>
          </w:p>
        </w:tc>
        <w:tc>
          <w:tcPr>
            <w:tcW w:type="dxa" w:w="5760"/>
            <w:vAlign w:val="center"/>
          </w:tcPr>
          <w:p>
            <w:pPr>
              <w:spacing w:after="100" w:before="80"/>
            </w:pPr>
            <w:r>
              <w:rPr>
                <w:b w:val="0"/>
                <w:sz w:val="20"/>
              </w:rPr>
              <w:t>Vendor-required DS and application volume paths; approved credentials and CA trust.</w:t>
            </w:r>
          </w:p>
        </w:tc>
      </w:tr>
      <w:tr>
        <w:trPr>
          <w:cantSplit/>
        </w:trPr>
        <w:tc>
          <w:tcPr>
            <w:tcW w:type="dxa" w:w="4320"/>
            <w:vAlign w:val="center"/>
          </w:tcPr>
          <w:p>
            <w:pPr>
              <w:spacing w:after="100" w:before="80"/>
            </w:pPr>
            <w:r>
              <w:rPr>
                <w:b w:val="0"/>
                <w:sz w:val="20"/>
              </w:rPr>
              <w:t>Nodes → approved OCI services</w:t>
            </w:r>
          </w:p>
        </w:tc>
        <w:tc>
          <w:tcPr>
            <w:tcW w:type="dxa" w:w="5760"/>
            <w:vAlign w:val="center"/>
          </w:tcPr>
          <w:p>
            <w:pPr>
              <w:spacing w:after="100" w:before="80"/>
            </w:pPr>
            <w:r>
              <w:rPr>
                <w:b w:val="0"/>
                <w:sz w:val="20"/>
              </w:rPr>
              <w:t>Registry, storage and telemetry via approved service connectivity.</w:t>
            </w:r>
          </w:p>
        </w:tc>
      </w:tr>
      <w:tr>
        <w:trPr>
          <w:cantSplit/>
        </w:trPr>
        <w:tc>
          <w:tcPr>
            <w:tcW w:type="dxa" w:w="4320"/>
            <w:vAlign w:val="center"/>
          </w:tcPr>
          <w:p>
            <w:pPr>
              <w:spacing w:after="100" w:before="80"/>
            </w:pPr>
            <w:r>
              <w:rPr>
                <w:b w:val="0"/>
                <w:sz w:val="20"/>
              </w:rPr>
              <w:t>Approved staging host → DataWalk Harbor</w:t>
            </w:r>
          </w:p>
        </w:tc>
        <w:tc>
          <w:tcPr>
            <w:tcW w:type="dxa" w:w="5760"/>
            <w:vAlign w:val="center"/>
          </w:tcPr>
          <w:p>
            <w:pPr>
              <w:spacing w:after="100" w:before="80"/>
            </w:pPr>
            <w:r>
              <w:rPr>
                <w:b w:val="0"/>
                <w:sz w:val="20"/>
              </w:rPr>
              <w:t>Controlled image/chart acquisition; vendor allows the real observed egress IP.</w:t>
            </w:r>
          </w:p>
        </w:tc>
      </w:tr>
    </w:tbl>
    <w:p>
      <w:pPr>
        <w:spacing w:after="0"/>
      </w:pPr>
    </w:p>
    <w:p>
      <w:r>
        <w:t>Reserve non-overlapping worker, API, pod and service ranges and account for growth. Do not size IP space from worker count alone: VCN-native pods consume VCN addresses, while overlay networking uses a different address plan. For OKE, use Oracle’s platform-specific subnet/security matrix. [5]</w:t>
      </w:r>
    </w:p>
    <w:p>
      <w:r>
        <w:t>Keep nodes and endpoints private. Approve each flow, including any ICMP path-MTU rule; avoid unrestricted administrative or application ingress. Do not open public Internet egress merely to pull packages. Vendor downloads use approved staging, scanning and internal distribution.</w:t>
      </w:r>
    </w:p>
    <w:p>
      <w:pPr>
        <w:pStyle w:val="Heading2"/>
      </w:pPr>
      <w:r>
        <w:t>Pass condition</w:t>
      </w:r>
    </w:p>
    <w:p>
      <w:r>
        <w:t>The jump box can reach the intended hosts/API, test-user routing reaches the planned private endpoint network, and storage/service routes and return paths are verified. Record the firewall/NSG matrix and test results. A DRG attachment by itself does not demonstrate connectivity or inspection.</w:t>
      </w:r>
    </w:p>
    <w:p>
      <w:r>
        <w:br w:type="page"/>
      </w:r>
    </w:p>
    <w:p>
      <w:pPr>
        <w:pStyle w:val="Heading1"/>
      </w:pPr>
      <w:r>
        <w:t>3 Provision the E6 foundation with Resource Manager</w:t>
      </w:r>
    </w:p>
    <w:p>
      <w:pPr>
        <w:pStyle w:val="Heading2"/>
      </w:pPr>
      <w:r>
        <w:t>Step 3 Review what the current stack creates</w:t>
      </w:r>
    </w:p>
    <w:p>
      <w:r>
        <w:t>Repository directory: terraform/oci-vm-foundation. The reviewed main.tf creates a new VCN, one private subnet, Service Gateway, optional existing-DRG attachment/routes, NSG rules, VMs and optional attached block volumes. It does not create Kubernetes, registry repositories, buckets, application ingress, IAM/budgets or backups. Attached disks are not formatted or mounted. [6]</w:t>
      </w:r>
    </w:p>
    <w:p>
      <w:r>
        <w:t>Use this stack only for the approved self-managed VM foundation. It does not reuse existing landing-zone subnets. If reuse is required, use a reviewed configuration that supports it. Its direct DRG routes do not automatically enforce SCCA inspection. For managed OKE, provision workers through the approved OKE workflow rather than assuming these VMs become managed nodes.</w:t>
      </w:r>
    </w:p>
    <w:p>
      <w:pPr>
        <w:pStyle w:val="Heading2"/>
      </w:pPr>
      <w:r>
        <w:t>Step 4 Create and plan the stack</w:t>
      </w:r>
    </w:p>
    <w:p>
      <w:r>
        <w:t>In OCI Resource Manager, create a stack from oci-appdev/dwhs, using the reviewed source revision and working directory terraform/oci-vm-foundation. Name it dw-poc-dev-foundation. Use the approved automation compartment for state and the DataWalk compartment as the resource target.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624"/>
      </w:tblGrid>
      <w:tr>
        <w:trPr>
          <w:cantSplit/>
          <w:tblHeader/>
        </w:trPr>
        <w:tc>
          <w:tcPr>
            <w:tcW w:type="dxa" w:w="3456"/>
            <w:vAlign w:val="center"/>
            <w:shd w:fill="F2F2F2"/>
          </w:tcPr>
          <w:p>
            <w:pPr>
              <w:spacing w:after="100" w:before="80"/>
            </w:pPr>
            <w:r>
              <w:rPr>
                <w:b/>
                <w:sz w:val="20"/>
              </w:rPr>
              <w:t>Input</w:t>
            </w:r>
          </w:p>
        </w:tc>
        <w:tc>
          <w:tcPr>
            <w:tcW w:type="dxa" w:w="6624"/>
            <w:vAlign w:val="center"/>
            <w:shd w:fill="F2F2F2"/>
          </w:tcPr>
          <w:p>
            <w:pPr>
              <w:spacing w:after="100" w:before="80"/>
            </w:pPr>
            <w:r>
              <w:rPr>
                <w:b/>
                <w:sz w:val="20"/>
              </w:rPr>
              <w:t>Value or required choice</w:t>
            </w:r>
          </w:p>
        </w:tc>
      </w:tr>
      <w:tr>
        <w:trPr>
          <w:cantSplit/>
        </w:trPr>
        <w:tc>
          <w:tcPr>
            <w:tcW w:type="dxa" w:w="3456"/>
            <w:vAlign w:val="center"/>
          </w:tcPr>
          <w:p>
            <w:pPr>
              <w:spacing w:after="100" w:before="80"/>
            </w:pPr>
            <w:r>
              <w:rPr>
                <w:b w:val="0"/>
                <w:sz w:val="20"/>
              </w:rPr>
              <w:t>region / availability_domain</w:t>
            </w:r>
          </w:p>
        </w:tc>
        <w:tc>
          <w:tcPr>
            <w:tcW w:type="dxa" w:w="6624"/>
            <w:vAlign w:val="center"/>
          </w:tcPr>
          <w:p>
            <w:pPr>
              <w:spacing w:after="100" w:before="80"/>
            </w:pPr>
            <w:r>
              <w:rPr>
                <w:b w:val="0"/>
                <w:sz w:val="20"/>
              </w:rPr>
              <w:t>Approved Government region and AD with verified E6 capacity.</w:t>
            </w:r>
          </w:p>
        </w:tc>
      </w:tr>
      <w:tr>
        <w:trPr>
          <w:cantSplit/>
        </w:trPr>
        <w:tc>
          <w:tcPr>
            <w:tcW w:type="dxa" w:w="3456"/>
            <w:vAlign w:val="center"/>
          </w:tcPr>
          <w:p>
            <w:pPr>
              <w:spacing w:after="100" w:before="80"/>
            </w:pPr>
            <w:r>
              <w:rPr>
                <w:b w:val="0"/>
                <w:sz w:val="20"/>
              </w:rPr>
              <w:t>compartment_ocid / image_ocid</w:t>
            </w:r>
          </w:p>
        </w:tc>
        <w:tc>
          <w:tcPr>
            <w:tcW w:type="dxa" w:w="6624"/>
            <w:vAlign w:val="center"/>
          </w:tcPr>
          <w:p>
            <w:pPr>
              <w:spacing w:after="100" w:before="80"/>
            </w:pPr>
            <w:r>
              <w:rPr>
                <w:b w:val="0"/>
                <w:sz w:val="20"/>
              </w:rPr>
              <w:t>Target compartment; approved regional RHEL 8.10 compute image compatible with E6.</w:t>
            </w:r>
          </w:p>
        </w:tc>
      </w:tr>
      <w:tr>
        <w:trPr>
          <w:cantSplit/>
        </w:trPr>
        <w:tc>
          <w:tcPr>
            <w:tcW w:type="dxa" w:w="3456"/>
            <w:vAlign w:val="center"/>
          </w:tcPr>
          <w:p>
            <w:pPr>
              <w:spacing w:after="100" w:before="80"/>
            </w:pPr>
            <w:r>
              <w:rPr>
                <w:b w:val="0"/>
                <w:sz w:val="20"/>
              </w:rPr>
              <w:t>shape / instance_count</w:t>
            </w:r>
          </w:p>
        </w:tc>
        <w:tc>
          <w:tcPr>
            <w:tcW w:type="dxa" w:w="6624"/>
            <w:vAlign w:val="center"/>
          </w:tcPr>
          <w:p>
            <w:pPr>
              <w:spacing w:after="100" w:before="80"/>
            </w:pPr>
            <w:r>
              <w:rPr>
                <w:b w:val="0"/>
                <w:sz w:val="20"/>
              </w:rPr>
              <w:t>VM.Standard.E6.Flex; 3 workers provisionally. Account for separate control-plane resources.</w:t>
            </w:r>
          </w:p>
        </w:tc>
      </w:tr>
      <w:tr>
        <w:trPr>
          <w:cantSplit/>
        </w:trPr>
        <w:tc>
          <w:tcPr>
            <w:tcW w:type="dxa" w:w="3456"/>
            <w:vAlign w:val="center"/>
          </w:tcPr>
          <w:p>
            <w:pPr>
              <w:spacing w:after="100" w:before="80"/>
            </w:pPr>
            <w:r>
              <w:rPr>
                <w:b w:val="0"/>
                <w:sz w:val="20"/>
              </w:rPr>
              <w:t>flex_ocpus / flex_memory_gb</w:t>
            </w:r>
          </w:p>
        </w:tc>
        <w:tc>
          <w:tcPr>
            <w:tcW w:type="dxa" w:w="6624"/>
            <w:vAlign w:val="center"/>
          </w:tcPr>
          <w:p>
            <w:pPr>
              <w:spacing w:after="100" w:before="80"/>
            </w:pPr>
            <w:r>
              <w:rPr>
                <w:b w:val="0"/>
                <w:sz w:val="20"/>
              </w:rPr>
              <w:t>8 / 128 provisionally; do not confuse OCPU with vCPU.</w:t>
            </w:r>
          </w:p>
        </w:tc>
      </w:tr>
      <w:tr>
        <w:trPr>
          <w:cantSplit/>
        </w:trPr>
        <w:tc>
          <w:tcPr>
            <w:tcW w:type="dxa" w:w="3456"/>
            <w:vAlign w:val="center"/>
          </w:tcPr>
          <w:p>
            <w:pPr>
              <w:spacing w:after="100" w:before="80"/>
            </w:pPr>
            <w:r>
              <w:rPr>
                <w:b w:val="0"/>
                <w:sz w:val="20"/>
              </w:rPr>
              <w:t>boot_volume_gb / data_volume_gb</w:t>
            </w:r>
          </w:p>
        </w:tc>
        <w:tc>
          <w:tcPr>
            <w:tcW w:type="dxa" w:w="6624"/>
            <w:vAlign w:val="center"/>
          </w:tcPr>
          <w:p>
            <w:pPr>
              <w:spacing w:after="100" w:before="80"/>
            </w:pPr>
            <w:r>
              <w:rPr>
                <w:b w:val="0"/>
                <w:sz w:val="20"/>
              </w:rPr>
              <w:t>100 / approved allocation. Use 0 for a foundation data disk if application capacity will instead be CSI-provisioned.</w:t>
            </w:r>
          </w:p>
        </w:tc>
      </w:tr>
      <w:tr>
        <w:trPr>
          <w:cantSplit/>
        </w:trPr>
        <w:tc>
          <w:tcPr>
            <w:tcW w:type="dxa" w:w="3456"/>
            <w:vAlign w:val="center"/>
          </w:tcPr>
          <w:p>
            <w:pPr>
              <w:spacing w:after="100" w:before="80"/>
            </w:pPr>
            <w:r>
              <w:rPr>
                <w:b w:val="0"/>
                <w:sz w:val="20"/>
              </w:rPr>
              <w:t>data_volume_vpus</w:t>
            </w:r>
          </w:p>
        </w:tc>
        <w:tc>
          <w:tcPr>
            <w:tcW w:type="dxa" w:w="6624"/>
            <w:vAlign w:val="center"/>
          </w:tcPr>
          <w:p>
            <w:pPr>
              <w:spacing w:after="100" w:before="80"/>
            </w:pPr>
            <w:r>
              <w:rPr>
                <w:b w:val="0"/>
                <w:sz w:val="20"/>
              </w:rPr>
              <w:t>Approved performance tier after reviewing throughput and IOPS requirements.</w:t>
            </w:r>
          </w:p>
        </w:tc>
      </w:tr>
      <w:tr>
        <w:trPr>
          <w:cantSplit/>
        </w:trPr>
        <w:tc>
          <w:tcPr>
            <w:tcW w:type="dxa" w:w="3456"/>
            <w:vAlign w:val="center"/>
          </w:tcPr>
          <w:p>
            <w:pPr>
              <w:spacing w:after="100" w:before="80"/>
            </w:pPr>
            <w:r>
              <w:rPr>
                <w:b w:val="0"/>
                <w:sz w:val="20"/>
              </w:rPr>
              <w:t>vcn_cidr / subnet_cidr / admin_cidr</w:t>
            </w:r>
          </w:p>
        </w:tc>
        <w:tc>
          <w:tcPr>
            <w:tcW w:type="dxa" w:w="6624"/>
            <w:vAlign w:val="center"/>
          </w:tcPr>
          <w:p>
            <w:pPr>
              <w:spacing w:after="100" w:before="80"/>
            </w:pPr>
            <w:r>
              <w:rPr>
                <w:b w:val="0"/>
                <w:sz w:val="20"/>
              </w:rPr>
              <w:t>Approved ranges; SSH source preferably the jump-host /32.</w:t>
            </w:r>
          </w:p>
        </w:tc>
      </w:tr>
      <w:tr>
        <w:trPr>
          <w:cantSplit/>
        </w:trPr>
        <w:tc>
          <w:tcPr>
            <w:tcW w:type="dxa" w:w="3456"/>
            <w:vAlign w:val="center"/>
          </w:tcPr>
          <w:p>
            <w:pPr>
              <w:spacing w:after="100" w:before="80"/>
            </w:pPr>
            <w:r>
              <w:rPr>
                <w:b w:val="0"/>
                <w:sz w:val="20"/>
              </w:rPr>
              <w:t>drg_ocid / drg_route_table_ocid</w:t>
            </w:r>
          </w:p>
        </w:tc>
        <w:tc>
          <w:tcPr>
            <w:tcW w:type="dxa" w:w="6624"/>
            <w:vAlign w:val="center"/>
          </w:tcPr>
          <w:p>
            <w:pPr>
              <w:spacing w:after="100" w:before="80"/>
            </w:pPr>
            <w:r>
              <w:rPr>
                <w:b w:val="0"/>
                <w:sz w:val="20"/>
              </w:rPr>
              <w:t>Approved existing DRG and attachment route table.</w:t>
            </w:r>
          </w:p>
        </w:tc>
      </w:tr>
      <w:tr>
        <w:trPr>
          <w:cantSplit/>
        </w:trPr>
        <w:tc>
          <w:tcPr>
            <w:tcW w:type="dxa" w:w="3456"/>
            <w:vAlign w:val="center"/>
          </w:tcPr>
          <w:p>
            <w:pPr>
              <w:spacing w:after="100" w:before="80"/>
            </w:pPr>
            <w:r>
              <w:rPr>
                <w:b w:val="0"/>
                <w:sz w:val="20"/>
              </w:rPr>
              <w:t>onprem_cidrs / extra_rules</w:t>
            </w:r>
          </w:p>
        </w:tc>
        <w:tc>
          <w:tcPr>
            <w:tcW w:type="dxa" w:w="6624"/>
            <w:vAlign w:val="center"/>
          </w:tcPr>
          <w:p>
            <w:pPr>
              <w:spacing w:after="100" w:before="80"/>
            </w:pPr>
            <w:r>
              <w:rPr>
                <w:b w:val="0"/>
                <w:sz w:val="20"/>
              </w:rPr>
              <w:t>Explicit enterprise routes and approved single-port rules; ssh_public_key contains only a public key.</w:t>
            </w:r>
          </w:p>
        </w:tc>
      </w:tr>
    </w:tbl>
    <w:p>
      <w:pPr>
        <w:spacing w:after="0"/>
      </w:pPr>
    </w:p>
    <w:p>
      <w:r>
        <w:t>Plan first. Check node counts, cost, private VNICs, routes/inspection, encryption, tags and volumes. The extra_rules input accepts one port per entry, not ranges; extend the configuration under review if the approved cluster matrix needs more. Do not double-count foundation disks and CSI application volumes.</w:t>
      </w:r>
    </w:p>
    <w:p>
      <w:r>
        <w:br w:type="page"/>
      </w:r>
    </w:p>
    <w:p>
      <w:pPr>
        <w:pStyle w:val="Heading1"/>
      </w:pPr>
      <w:r>
        <w:t>4 Prepare hosts and create Kubernetes</w:t>
      </w:r>
    </w:p>
    <w:p>
      <w:pPr>
        <w:pStyle w:val="Heading2"/>
      </w:pPr>
      <w:r>
        <w:t>Step 5 Apply and validate the hosts</w:t>
      </w:r>
    </w:p>
    <w:p>
      <w:r>
        <w:t>Apply the reviewed plan in the agreed change window. Retain source revision, ORM job ID, state and outputs. Confirm private IPs, instance and volume OCIDs, shape/RAM, network rules and security telemetry. Reconcile a failed job with state/work requests before retrying.</w:t>
      </w:r>
    </w:p>
    <w:p>
      <w:pPr>
        <w:spacing w:after="140"/>
      </w:pPr>
      <w:r>
        <w:rPr>
          <w:rFonts w:ascii="Liberation Mono" w:hAnsi="Liberation Mono"/>
          <w:sz w:val="18"/>
        </w:rPr>
        <w:t>cat /etc/redhat-release</w:t>
        <w:br/>
        <w:t>uname -m</w:t>
        <w:br/>
        <w:t>lscpu</w:t>
        <w:br/>
        <w:t>free -h</w:t>
        <w:br/>
        <w:t>lsblk -o NAME,SIZE,FSTYPE,MOUNTPOINT</w:t>
        <w:br/>
        <w:t>df -hT</w:t>
        <w:br/>
        <w:t>sudo -v</w:t>
      </w:r>
    </w:p>
    <w:p>
      <w:r>
        <w:t>Use the authorized host procedure to attach/mount the intended filesystems by UUID. Confirm the device and existing contents before any formatting. Check approved OS updates, time sync, name resolution, CA trust, agents and image capacity. Apply the selected Kubernetes distribution’s swap, kernel, runtime and cgroup prerequisites; do not copy Hyperscience Podman settings.</w:t>
      </w:r>
    </w:p>
    <w:p>
      <w:pPr>
        <w:pStyle w:val="Heading2"/>
      </w:pPr>
      <w:r>
        <w:t>Step 6 Execute the approved cluster build work order</w:t>
      </w:r>
    </w:p>
    <w:p>
      <w:r>
        <w:t>Before bootstrap, the SME records the distribution/minor, runtime, control-plane topology, CNI/CIDRs, CSI/storage classes, private API, RBAC, certificate process and package/image sources. The work order must contain the actual release-specific bootstrap/join commands and recovery procedure. Execute that reviewed work order on the designated hosts.</w:t>
      </w:r>
    </w:p>
    <w:p>
      <w:r>
        <w:t>For RHEL workers, use the approved self-managed design. If OKE is chosen instead, obtain DataWalk approval for the supported worker image and E6 shape in the target region. An ordinary RHEL VM is not an OKE managed worker. Oracle’s current OKE image rules depend on Kubernetes version. [7]</w:t>
      </w:r>
    </w:p>
    <w:p>
      <w:pPr>
        <w:pStyle w:val="Heading2"/>
      </w:pPr>
      <w:r>
        <w:t>Cluster acceptance commands</w:t>
      </w:r>
    </w:p>
    <w:p>
      <w:pPr>
        <w:spacing w:after="140"/>
      </w:pPr>
      <w:r>
        <w:rPr>
          <w:rFonts w:ascii="Liberation Mono" w:hAnsi="Liberation Mono"/>
          <w:sz w:val="18"/>
        </w:rPr>
        <w:t>kubectl config current-context</w:t>
        <w:br/>
        <w:t>kubectl get nodes -o wide</w:t>
        <w:br/>
        <w:t>kubectl get pods -A</w:t>
        <w:br/>
        <w:t>kubectl get storageclass</w:t>
        <w:br/>
        <w:t>kubectl get csidrivers</w:t>
        <w:br/>
        <w:t>kubectl auth can-i create deployments -n dw-poc-dev</w:t>
      </w:r>
    </w:p>
    <w:p>
      <w:r>
        <w:t>Confirm the intended cluster context first. All required nodes and system services must be healthy; verify private API access, cluster DNS, cross-node networking and RBAC with the intended operator. Test PVC creation, write/read, remount and deletion on disposable test data. Remove test resources when approved. CLI output alone does not establish application or DS readiness. [8]</w:t>
      </w:r>
    </w:p>
    <w:p>
      <w:r>
        <w:br w:type="page"/>
      </w:r>
    </w:p>
    <w:p>
      <w:pPr>
        <w:pStyle w:val="Heading1"/>
      </w:pPr>
      <w:r>
        <w:t>5 Stage images and prepare Decoupled Storage</w:t>
      </w:r>
    </w:p>
    <w:p>
      <w:pPr>
        <w:pStyle w:val="Heading2"/>
      </w:pPr>
      <w:r>
        <w:t>Step 7 Prepare the registry and application storage</w:t>
      </w:r>
    </w:p>
    <w:p>
      <w:r>
        <w:t>John creates private registry repositories and separate DS/staging buckets only after the access design is confirmed. Provide endpoint, namespace, bucket/repository names, CA requirements and secret references to MSS. OCI portal administration is not assumed for the application team.</w:t>
      </w:r>
    </w:p>
    <w:p>
      <w:r>
        <w:t>Tony supplies DataWalk the actual approved outbound source IP/range observed by Harbor. DataWalk provisions the download account. Authorized staff acquire the exact chart and images, scan them, verify vendor digests/checksums, mirror them internally and record the inventory. Preserve the supported image names/tags/digests and update chart registry references only as documented by DataWalk.</w:t>
      </w:r>
    </w:p>
    <w:p>
      <w:r>
        <w:t>Test authenticated image pulls from every eligible worker, including private DNS and certificate trust. Prove a newly scheduled pod can pull the pinned image without vendor Internet access. Avoid relying on images cached on a single worker.</w:t>
      </w:r>
    </w:p>
    <w:p>
      <w:pPr>
        <w:pStyle w:val="Heading2"/>
      </w:pPr>
      <w:r>
        <w:t>Decoupled Storage validation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rPr>
        <w:tc>
          <w:tcPr>
            <w:tcW w:type="dxa" w:w="3600"/>
            <w:vAlign w:val="center"/>
            <w:shd w:fill="F2F2F2"/>
          </w:tcPr>
          <w:p>
            <w:pPr>
              <w:spacing w:after="100" w:before="80"/>
            </w:pPr>
            <w:r>
              <w:rPr>
                <w:b/>
                <w:sz w:val="20"/>
              </w:rPr>
              <w:t>Required decision or test</w:t>
            </w:r>
          </w:p>
        </w:tc>
        <w:tc>
          <w:tcPr>
            <w:tcW w:type="dxa" w:w="6480"/>
            <w:vAlign w:val="center"/>
            <w:shd w:fill="F2F2F2"/>
          </w:tcPr>
          <w:p>
            <w:pPr>
              <w:spacing w:after="100" w:before="80"/>
            </w:pPr>
            <w:r>
              <w:rPr>
                <w:b/>
                <w:sz w:val="20"/>
              </w:rPr>
              <w:t>Record</w:t>
            </w:r>
          </w:p>
        </w:tc>
      </w:tr>
      <w:tr>
        <w:trPr>
          <w:cantSplit/>
        </w:trPr>
        <w:tc>
          <w:tcPr>
            <w:tcW w:type="dxa" w:w="3600"/>
            <w:vAlign w:val="center"/>
          </w:tcPr>
          <w:p>
            <w:pPr>
              <w:spacing w:after="100" w:before="80"/>
            </w:pPr>
            <w:r>
              <w:rPr>
                <w:b w:val="0"/>
                <w:sz w:val="20"/>
              </w:rPr>
              <w:t>Interface and feature compatibility</w:t>
            </w:r>
          </w:p>
        </w:tc>
        <w:tc>
          <w:tcPr>
            <w:tcW w:type="dxa" w:w="6480"/>
            <w:vAlign w:val="center"/>
          </w:tcPr>
          <w:p>
            <w:pPr>
              <w:spacing w:after="100" w:before="80"/>
            </w:pPr>
            <w:r>
              <w:rPr>
                <w:b w:val="0"/>
                <w:sz w:val="20"/>
              </w:rPr>
              <w:t>Vendor approval for the chosen OCI endpoint and exact operations. S3 API compatibility alone does not prove DataWalk DS compatibility.</w:t>
            </w:r>
          </w:p>
        </w:tc>
      </w:tr>
      <w:tr>
        <w:trPr>
          <w:cantSplit/>
        </w:trPr>
        <w:tc>
          <w:tcPr>
            <w:tcW w:type="dxa" w:w="3600"/>
            <w:vAlign w:val="center"/>
          </w:tcPr>
          <w:p>
            <w:pPr>
              <w:spacing w:after="100" w:before="80"/>
            </w:pPr>
            <w:r>
              <w:rPr>
                <w:b w:val="0"/>
                <w:sz w:val="20"/>
              </w:rPr>
              <w:t>Identity and data protection</w:t>
            </w:r>
          </w:p>
        </w:tc>
        <w:tc>
          <w:tcPr>
            <w:tcW w:type="dxa" w:w="6480"/>
            <w:vAlign w:val="center"/>
          </w:tcPr>
          <w:p>
            <w:pPr>
              <w:spacing w:after="100" w:before="80"/>
            </w:pPr>
            <w:r>
              <w:rPr>
                <w:b w:val="0"/>
                <w:sz w:val="20"/>
              </w:rPr>
              <w:t>Application credential/identity method, least privilege, TLS, encryption and secret rotation owner.</w:t>
            </w:r>
          </w:p>
        </w:tc>
      </w:tr>
      <w:tr>
        <w:trPr>
          <w:cantSplit/>
        </w:trPr>
        <w:tc>
          <w:tcPr>
            <w:tcW w:type="dxa" w:w="3600"/>
            <w:vAlign w:val="center"/>
          </w:tcPr>
          <w:p>
            <w:pPr>
              <w:spacing w:after="100" w:before="80"/>
            </w:pPr>
            <w:r>
              <w:rPr>
                <w:b w:val="0"/>
                <w:sz w:val="20"/>
              </w:rPr>
              <w:t>Persistence and performance</w:t>
            </w:r>
          </w:p>
        </w:tc>
        <w:tc>
          <w:tcPr>
            <w:tcW w:type="dxa" w:w="6480"/>
            <w:vAlign w:val="center"/>
          </w:tcPr>
          <w:p>
            <w:pPr>
              <w:spacing w:after="100" w:before="80"/>
            </w:pPr>
            <w:r>
              <w:rPr>
                <w:b w:val="0"/>
                <w:sz w:val="20"/>
              </w:rPr>
              <w:t>PVC/storage class, access mode, topology, expansion/reclaim policy, volume size and measured IOPS/throughput/latency.</w:t>
            </w:r>
          </w:p>
        </w:tc>
      </w:tr>
      <w:tr>
        <w:trPr>
          <w:cantSplit/>
        </w:trPr>
        <w:tc>
          <w:tcPr>
            <w:tcW w:type="dxa" w:w="3600"/>
            <w:vAlign w:val="center"/>
          </w:tcPr>
          <w:p>
            <w:pPr>
              <w:spacing w:after="100" w:before="80"/>
            </w:pPr>
            <w:r>
              <w:rPr>
                <w:b w:val="0"/>
                <w:sz w:val="20"/>
              </w:rPr>
              <w:t>Recovery and retention</w:t>
            </w:r>
          </w:p>
        </w:tc>
        <w:tc>
          <w:tcPr>
            <w:tcW w:type="dxa" w:w="6480"/>
            <w:vAlign w:val="center"/>
          </w:tcPr>
          <w:p>
            <w:pPr>
              <w:spacing w:after="100" w:before="80"/>
            </w:pPr>
            <w:r>
              <w:rPr>
                <w:b w:val="0"/>
                <w:sz w:val="20"/>
              </w:rPr>
              <w:t>Coordinated database/DS backup and restore procedure. Keep active application data free of unintended lifecycle deletion; preserve restore inputs.</w:t>
            </w:r>
          </w:p>
        </w:tc>
      </w:tr>
    </w:tbl>
    <w:p>
      <w:pPr>
        <w:spacing w:after="0"/>
      </w:pPr>
    </w:p>
    <w:p>
      <w:r>
        <w:t>Keep registry images, application block/PVC storage, DS objects and migration exports distinct in the inventory. The approximately 1 TB allowances are planning figures. Earlier disk performance figures from discussion require written vendor confirmation; measure the real volume and VM limits before acceptance. OCI performance depends on volume size, tier and compute limits. [9]</w:t>
      </w:r>
    </w:p>
    <w:p>
      <w:r>
        <w:t>Pass: the application identity can perform the vendor-required DS transaction and workers can pull the mirrored images. Record evidence without credentials. A generic bucket listing does not satisfy this test.</w:t>
      </w:r>
    </w:p>
    <w:p>
      <w:r>
        <w:br w:type="page"/>
      </w:r>
    </w:p>
    <w:p>
      <w:pPr>
        <w:pStyle w:val="Heading1"/>
      </w:pPr>
      <w:r>
        <w:t>6 Install DataWalk and migrate demo data</w:t>
      </w:r>
    </w:p>
    <w:p>
      <w:pPr>
        <w:pStyle w:val="Heading2"/>
      </w:pPr>
      <w:r>
        <w:t>Step 8 Deploy the approved application chart</w:t>
      </w:r>
    </w:p>
    <w:p>
      <w:r>
        <w:t>Michael/Renato and the MSS operator confirm the release-specific chart instructions, license requirements and values schema. Record the chart version, image digests, namespace, private URL, TLS, registry secret reference, resource requests/limits, storage classes and DS settings. Vendor instructions determine database components and placement; do not add an unrelated external SQL database.</w:t>
      </w:r>
    </w:p>
    <w:p>
      <w:r>
        <w:t>Review the rendered manifests for private endpoints, image sources, volumes and secret handling. Run the vendor-provided installation command using its verified values. Do not substitute a generic Helm chart or invent chart keys. Capture the actual command with secret values redacted and the resulting deployment status.</w:t>
      </w:r>
    </w:p>
    <w:p>
      <w:pPr>
        <w:spacing w:after="140"/>
      </w:pPr>
      <w:r>
        <w:rPr>
          <w:rFonts w:ascii="Liberation Mono" w:hAnsi="Liberation Mono"/>
          <w:sz w:val="18"/>
        </w:rPr>
        <w:t>helm list -n dw-poc-dev</w:t>
        <w:br/>
        <w:t>kubectl get pods,svc,ingress,pvc -n dw-poc-dev</w:t>
        <w:br/>
        <w:t>kubectl get events -n dw-poc-dev --sort-by=.metadata.creationTimestamp</w:t>
      </w:r>
    </w:p>
    <w:p>
      <w:r>
        <w:t>Allow only the chart’s expected workload states; investigate readiness failures, image errors and unbound PVCs. Verify the private HTTPS URL, login, license and core application functions. Obtain application readiness before restoring the demo database.</w:t>
      </w:r>
    </w:p>
    <w:p>
      <w:pPr>
        <w:pStyle w:val="Heading2"/>
      </w:pPr>
      <w:r>
        <w:t>Step 9 Stage and restore the approved demo database</w:t>
      </w:r>
    </w:p>
    <w:p>
      <w:r>
        <w:t>The source owner and DataWalk team identify the correct sanitized demo case, its source version and Coupled/Decoupled Storage mode. The call’s roughly 50 GB estimate is provisional. Record the actual backup size, schema/model/record counts, sanitization approval and compatible restore path.</w:t>
      </w:r>
    </w:p>
    <w:p>
      <w:r>
        <w:t>Use the vendor migration procedure for the selected versions. If Coupled Storage conversion or an intermediate release is required, complete it in the prescribed order. Do not assume a backup from the appliance can be copied directly into container database files, or that moving a VMDK performs container migration. Preserve a validated source backup and an untouched on-premises environment.</w:t>
      </w:r>
    </w:p>
    <w:p>
      <w:r>
        <w:t>Charles coordinates the approved export transfer through the jump box into private OCI staging. Match source/destination checksums and record scan approval, timestamps and access controls. Stage exports in parallel with cluster preparation once access/storage are ready. Restore only after application readiness, then reconcile expected records, models and queries.</w:t>
      </w:r>
    </w:p>
    <w:p>
      <w:r>
        <w:t>Pass: source-to-target compatibility and restore integrity are signed off by MSS/DataWalk. The production environment is unaffected. Any temporary transfer copies follow the approved retention/cleanup decision.</w:t>
      </w:r>
    </w:p>
    <w:p>
      <w:r>
        <w:br w:type="page"/>
      </w:r>
    </w:p>
    <w:p>
      <w:pPr>
        <w:pStyle w:val="Heading1"/>
      </w:pPr>
      <w:r>
        <w:t>7 Test acceptance and hand over</w:t>
      </w:r>
    </w:p>
    <w:p>
      <w:pPr>
        <w:pStyle w:val="Heading2"/>
      </w:pPr>
      <w:r>
        <w:t>Step 10 Execute the agreed POC tests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shd w:fill="F2F2F2"/>
          </w:tcPr>
          <w:p>
            <w:pPr>
              <w:spacing w:after="100" w:before="80"/>
            </w:pPr>
            <w:r>
              <w:rPr>
                <w:b/>
                <w:sz w:val="20"/>
              </w:rPr>
              <w:t>Validation</w:t>
            </w:r>
          </w:p>
        </w:tc>
        <w:tc>
          <w:tcPr>
            <w:tcW w:type="dxa" w:w="7632"/>
            <w:vAlign w:val="center"/>
            <w:shd w:fill="F2F2F2"/>
          </w:tcPr>
          <w:p>
            <w:pPr>
              <w:spacing w:after="100" w:before="80"/>
            </w:pPr>
            <w:r>
              <w:rPr>
                <w:b/>
                <w:sz w:val="20"/>
              </w:rPr>
              <w:t>Evidence required</w:t>
            </w:r>
          </w:p>
        </w:tc>
      </w:tr>
      <w:tr>
        <w:trPr>
          <w:cantSplit/>
        </w:trPr>
        <w:tc>
          <w:tcPr>
            <w:tcW w:type="dxa" w:w="2448"/>
            <w:vAlign w:val="center"/>
          </w:tcPr>
          <w:p>
            <w:pPr>
              <w:spacing w:after="100" w:before="80"/>
            </w:pPr>
            <w:r>
              <w:rPr>
                <w:b w:val="0"/>
                <w:sz w:val="20"/>
              </w:rPr>
              <w:t>Smoke test</w:t>
            </w:r>
          </w:p>
        </w:tc>
        <w:tc>
          <w:tcPr>
            <w:tcW w:type="dxa" w:w="7632"/>
            <w:vAlign w:val="center"/>
          </w:tcPr>
          <w:p>
            <w:pPr>
              <w:spacing w:after="100" w:before="80"/>
            </w:pPr>
            <w:r>
              <w:rPr>
                <w:b w:val="0"/>
                <w:sz w:val="20"/>
              </w:rPr>
              <w:t>Private login, core queries, ingestion and expected demo workflows run without blocking errors.</w:t>
            </w:r>
          </w:p>
        </w:tc>
      </w:tr>
      <w:tr>
        <w:trPr>
          <w:cantSplit/>
        </w:trPr>
        <w:tc>
          <w:tcPr>
            <w:tcW w:type="dxa" w:w="2448"/>
            <w:vAlign w:val="center"/>
          </w:tcPr>
          <w:p>
            <w:pPr>
              <w:spacing w:after="100" w:before="80"/>
            </w:pPr>
            <w:r>
              <w:rPr>
                <w:b w:val="0"/>
                <w:sz w:val="20"/>
              </w:rPr>
              <w:t>Regression</w:t>
            </w:r>
          </w:p>
        </w:tc>
        <w:tc>
          <w:tcPr>
            <w:tcW w:type="dxa" w:w="7632"/>
            <w:vAlign w:val="center"/>
          </w:tcPr>
          <w:p>
            <w:pPr>
              <w:spacing w:after="100" w:before="80"/>
            </w:pPr>
            <w:r>
              <w:rPr>
                <w:b w:val="0"/>
                <w:sz w:val="20"/>
              </w:rPr>
              <w:t>MSS runs its standard Dev demo-data suite and records expected/actual results and defects.</w:t>
            </w:r>
          </w:p>
        </w:tc>
      </w:tr>
      <w:tr>
        <w:trPr>
          <w:cantSplit/>
        </w:trPr>
        <w:tc>
          <w:tcPr>
            <w:tcW w:type="dxa" w:w="2448"/>
            <w:vAlign w:val="center"/>
          </w:tcPr>
          <w:p>
            <w:pPr>
              <w:spacing w:after="100" w:before="80"/>
            </w:pPr>
            <w:r>
              <w:rPr>
                <w:b w:val="0"/>
                <w:sz w:val="20"/>
              </w:rPr>
              <w:t>Performance</w:t>
            </w:r>
          </w:p>
        </w:tc>
        <w:tc>
          <w:tcPr>
            <w:tcW w:type="dxa" w:w="7632"/>
            <w:vAlign w:val="center"/>
          </w:tcPr>
          <w:p>
            <w:pPr>
              <w:spacing w:after="100" w:before="80"/>
            </w:pPr>
            <w:r>
              <w:rPr>
                <w:b w:val="0"/>
                <w:sz w:val="20"/>
              </w:rPr>
              <w:t>Use agreed datasets/concurrency and on-premises comparison; retain elapsed time, CPU/RAM, IOPS, storage latency and errors.</w:t>
            </w:r>
          </w:p>
        </w:tc>
      </w:tr>
      <w:tr>
        <w:trPr>
          <w:cantSplit/>
        </w:trPr>
        <w:tc>
          <w:tcPr>
            <w:tcW w:type="dxa" w:w="2448"/>
            <w:vAlign w:val="center"/>
          </w:tcPr>
          <w:p>
            <w:pPr>
              <w:spacing w:after="100" w:before="80"/>
            </w:pPr>
            <w:r>
              <w:rPr>
                <w:b w:val="0"/>
                <w:sz w:val="20"/>
              </w:rPr>
              <w:t>Security and recovery</w:t>
            </w:r>
          </w:p>
        </w:tc>
        <w:tc>
          <w:tcPr>
            <w:tcW w:type="dxa" w:w="7632"/>
            <w:vAlign w:val="center"/>
          </w:tcPr>
          <w:p>
            <w:pPr>
              <w:spacing w:after="100" w:before="80"/>
            </w:pPr>
            <w:r>
              <w:rPr>
                <w:b w:val="0"/>
                <w:sz w:val="20"/>
              </w:rPr>
              <w:t>Verify allowed/denied paths, logs/alerts, restart persistence and vendor-supported coordinated DB/DS restore to an isolated target.</w:t>
            </w:r>
          </w:p>
        </w:tc>
      </w:tr>
      <w:tr>
        <w:trPr>
          <w:cantSplit/>
        </w:trPr>
        <w:tc>
          <w:tcPr>
            <w:tcW w:type="dxa" w:w="2448"/>
            <w:vAlign w:val="center"/>
          </w:tcPr>
          <w:p>
            <w:pPr>
              <w:spacing w:after="100" w:before="80"/>
            </w:pPr>
            <w:r>
              <w:rPr>
                <w:b w:val="0"/>
                <w:sz w:val="20"/>
              </w:rPr>
              <w:t>Repeatability</w:t>
            </w:r>
          </w:p>
        </w:tc>
        <w:tc>
          <w:tcPr>
            <w:tcW w:type="dxa" w:w="7632"/>
            <w:vAlign w:val="center"/>
          </w:tcPr>
          <w:p>
            <w:pPr>
              <w:spacing w:after="100" w:before="80"/>
            </w:pPr>
            <w:r>
              <w:rPr>
                <w:b w:val="0"/>
                <w:sz w:val="20"/>
              </w:rPr>
              <w:t>A second authorized operator follows the access/handoff procedure and confirms the recorded environment.</w:t>
            </w:r>
          </w:p>
        </w:tc>
      </w:tr>
    </w:tbl>
    <w:p>
      <w:pPr>
        <w:spacing w:after="0"/>
      </w:pPr>
    </w:p>
    <w:p>
      <w:r>
        <w:t>Keep the discovery session’s 15-day regression allowance until MSS approves a revised scope. A smoke test may finish sooner, but it is a separate milestone. Mo/Mark obtain the written success criteria and align them with John, Charles and MSS before recording POC acceptance. Do not describe partial testing as full UAT.</w:t>
      </w:r>
    </w:p>
    <w:p>
      <w:pPr>
        <w:pStyle w:val="Heading2"/>
      </w:pPr>
      <w:r>
        <w:t>Handoff and recovery</w:t>
      </w:r>
    </w:p>
    <w:p>
      <w:r>
        <w:t>Retain the architecture, version matrix, CIDR/port plan, source revision, ORM records, kubeconfig access process, image/chart inventory, storage mapping, secret references, backup/restore evidence, test results, open issues and operating owners. Capture actual spend and remaining credits, including other tenancy workloads, before extending runtime.</w:t>
      </w:r>
    </w:p>
    <w:p>
      <w:r>
        <w:t>When a build or restore fails, stop the affected step and preserve logs/state. Check routes/DNS, image credentials/digests, pod events, volume attachment/topology, DS permissions and capacity. Escalate application/storage issues to DataWalk and platform issues to the assigned SME. Do not reformat disks, delete PVCs or rerun a destructive restore as a diagnostic shortcut.</w:t>
      </w:r>
    </w:p>
    <w:p>
      <w:r>
        <w:t>Cleanup follows a reviewed destroy plan for POC-owned resources only. Preserve required backups/evidence, check reclaim policies, and verify orphaned volumes, endpoints, accounts and costs. Production rollout, ATO, long-term funding and on-premises retirement require separate decisions.</w:t>
      </w:r>
    </w:p>
    <w:p>
      <w:pPr>
        <w:pStyle w:val="Heading2"/>
      </w:pPr>
      <w:r>
        <w:t>Execution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736"/>
        <w:gridCol w:w="4320"/>
      </w:tblGrid>
      <w:tr>
        <w:trPr>
          <w:cantSplit/>
          <w:tblHeader/>
        </w:trPr>
        <w:tc>
          <w:tcPr>
            <w:tcW w:type="dxa" w:w="3024"/>
            <w:vAlign w:val="center"/>
            <w:shd w:fill="F2F2F2"/>
          </w:tcPr>
          <w:p>
            <w:pPr>
              <w:spacing w:after="100" w:before="80"/>
            </w:pPr>
            <w:r>
              <w:rPr>
                <w:b/>
                <w:sz w:val="20"/>
              </w:rPr>
              <w:t>Steps</w:t>
            </w:r>
          </w:p>
        </w:tc>
        <w:tc>
          <w:tcPr>
            <w:tcW w:type="dxa" w:w="2736"/>
            <w:vAlign w:val="center"/>
            <w:shd w:fill="F2F2F2"/>
          </w:tcPr>
          <w:p>
            <w:pPr>
              <w:spacing w:after="100" w:before="80"/>
            </w:pPr>
            <w:r>
              <w:rPr>
                <w:b/>
                <w:sz w:val="20"/>
              </w:rPr>
              <w:t>Operator and date</w:t>
            </w:r>
          </w:p>
        </w:tc>
        <w:tc>
          <w:tcPr>
            <w:tcW w:type="dxa" w:w="4320"/>
            <w:vAlign w:val="center"/>
            <w:shd w:fill="F2F2F2"/>
          </w:tcPr>
          <w:p>
            <w:pPr>
              <w:spacing w:after="100" w:before="80"/>
            </w:pPr>
            <w:r>
              <w:rPr>
                <w:b/>
                <w:sz w:val="20"/>
              </w:rPr>
              <w:t>Result and evidence reference</w:t>
            </w:r>
          </w:p>
        </w:tc>
      </w:tr>
      <w:tr>
        <w:trPr>
          <w:cantSplit/>
        </w:trPr>
        <w:tc>
          <w:tcPr>
            <w:tcW w:type="dxa" w:w="3024"/>
            <w:vAlign w:val="center"/>
          </w:tcPr>
          <w:p>
            <w:pPr>
              <w:spacing w:after="100" w:before="80"/>
            </w:pPr>
            <w:r>
              <w:rPr>
                <w:b w:val="0"/>
                <w:sz w:val="20"/>
              </w:rPr>
              <w:t>1–2 Design and connectivity</w:t>
            </w:r>
          </w:p>
        </w:tc>
        <w:tc>
          <w:tcPr>
            <w:tcW w:type="dxa" w:w="2736"/>
            <w:vAlign w:val="center"/>
          </w:tcPr>
          <w:p>
            <w:pPr>
              <w:spacing w:after="100" w:before="80"/>
            </w:pPr>
            <w:r>
              <w:rPr>
                <w:b w:val="0"/>
                <w:sz w:val="20"/>
              </w:rPr>
            </w:r>
          </w:p>
        </w:tc>
        <w:tc>
          <w:tcPr>
            <w:tcW w:type="dxa" w:w="4320"/>
            <w:vAlign w:val="center"/>
          </w:tcPr>
          <w:p>
            <w:pPr>
              <w:spacing w:after="100" w:before="80"/>
            </w:pPr>
            <w:r>
              <w:rPr>
                <w:b w:val="0"/>
                <w:sz w:val="20"/>
              </w:rPr>
            </w:r>
          </w:p>
        </w:tc>
      </w:tr>
      <w:tr>
        <w:trPr>
          <w:cantSplit/>
        </w:trPr>
        <w:tc>
          <w:tcPr>
            <w:tcW w:type="dxa" w:w="3024"/>
            <w:vAlign w:val="center"/>
          </w:tcPr>
          <w:p>
            <w:pPr>
              <w:spacing w:after="100" w:before="80"/>
            </w:pPr>
            <w:r>
              <w:rPr>
                <w:b w:val="0"/>
                <w:sz w:val="20"/>
              </w:rPr>
              <w:t>3–6 Hosts and Kubernetes</w:t>
            </w:r>
          </w:p>
        </w:tc>
        <w:tc>
          <w:tcPr>
            <w:tcW w:type="dxa" w:w="2736"/>
            <w:vAlign w:val="center"/>
          </w:tcPr>
          <w:p>
            <w:pPr>
              <w:spacing w:after="100" w:before="80"/>
            </w:pPr>
            <w:r>
              <w:rPr>
                <w:b w:val="0"/>
                <w:sz w:val="20"/>
              </w:rPr>
            </w:r>
          </w:p>
        </w:tc>
        <w:tc>
          <w:tcPr>
            <w:tcW w:type="dxa" w:w="4320"/>
            <w:vAlign w:val="center"/>
          </w:tcPr>
          <w:p>
            <w:pPr>
              <w:spacing w:after="100" w:before="80"/>
            </w:pPr>
            <w:r>
              <w:rPr>
                <w:b w:val="0"/>
                <w:sz w:val="20"/>
              </w:rPr>
            </w:r>
          </w:p>
        </w:tc>
      </w:tr>
      <w:tr>
        <w:trPr>
          <w:cantSplit/>
        </w:trPr>
        <w:tc>
          <w:tcPr>
            <w:tcW w:type="dxa" w:w="3024"/>
            <w:vAlign w:val="center"/>
          </w:tcPr>
          <w:p>
            <w:pPr>
              <w:spacing w:after="100" w:before="80"/>
            </w:pPr>
            <w:r>
              <w:rPr>
                <w:b w:val="0"/>
                <w:sz w:val="20"/>
              </w:rPr>
              <w:t>7–9 Storage and application</w:t>
            </w:r>
          </w:p>
        </w:tc>
        <w:tc>
          <w:tcPr>
            <w:tcW w:type="dxa" w:w="2736"/>
            <w:vAlign w:val="center"/>
          </w:tcPr>
          <w:p>
            <w:pPr>
              <w:spacing w:after="100" w:before="80"/>
            </w:pPr>
            <w:r>
              <w:rPr>
                <w:b w:val="0"/>
                <w:sz w:val="20"/>
              </w:rPr>
            </w:r>
          </w:p>
        </w:tc>
        <w:tc>
          <w:tcPr>
            <w:tcW w:type="dxa" w:w="4320"/>
            <w:vAlign w:val="center"/>
          </w:tcPr>
          <w:p>
            <w:pPr>
              <w:spacing w:after="100" w:before="80"/>
            </w:pPr>
            <w:r>
              <w:rPr>
                <w:b w:val="0"/>
                <w:sz w:val="20"/>
              </w:rPr>
            </w:r>
          </w:p>
        </w:tc>
      </w:tr>
      <w:tr>
        <w:trPr>
          <w:cantSplit/>
        </w:trPr>
        <w:tc>
          <w:tcPr>
            <w:tcW w:type="dxa" w:w="3024"/>
            <w:vAlign w:val="center"/>
          </w:tcPr>
          <w:p>
            <w:pPr>
              <w:spacing w:after="100" w:before="80"/>
            </w:pPr>
            <w:r>
              <w:rPr>
                <w:b w:val="0"/>
                <w:sz w:val="20"/>
              </w:rPr>
              <w:t>10 Tests and handoff</w:t>
            </w:r>
          </w:p>
        </w:tc>
        <w:tc>
          <w:tcPr>
            <w:tcW w:type="dxa" w:w="2736"/>
            <w:vAlign w:val="center"/>
          </w:tcPr>
          <w:p>
            <w:pPr>
              <w:spacing w:after="100" w:before="80"/>
            </w:pPr>
            <w:r>
              <w:rPr>
                <w:b w:val="0"/>
                <w:sz w:val="20"/>
              </w:rPr>
            </w:r>
          </w:p>
        </w:tc>
        <w:tc>
          <w:tcPr>
            <w:tcW w:type="dxa" w:w="4320"/>
            <w:vAlign w:val="center"/>
          </w:tcPr>
          <w:p>
            <w:pPr>
              <w:spacing w:after="100" w:before="80"/>
            </w:pPr>
            <w:r>
              <w:rPr>
                <w:b w:val="0"/>
                <w:sz w:val="20"/>
              </w:rPr>
            </w:r>
          </w:p>
        </w:tc>
      </w:tr>
    </w:tbl>
    <w:p>
      <w:pPr>
        <w:spacing w:after="0"/>
      </w:pPr>
    </w:p>
    <w:p>
      <w:r>
        <w:br w:type="page"/>
      </w:r>
    </w:p>
    <w:p>
      <w:pPr>
        <w:pStyle w:val="Heading1"/>
      </w:pPr>
      <w:r>
        <w:t>8 References and remaining vendor decisions</w:t>
      </w:r>
    </w:p>
    <w:p>
      <w:r>
        <w:t>Checked 16 October 2026. [1] establishes the container transition requirements. Project sizing and sequencing reflect the discovery calls and require release-specific approval. This runbook does not replace DataWalk’s supplied installation and migration procedures.</w:t>
      </w:r>
    </w:p>
    <w:p>
      <w:pPr>
        <w:spacing w:after="120"/>
      </w:pPr>
      <w:r>
        <w:rPr>
          <w:sz w:val="18"/>
        </w:rPr>
        <w:t>[1] DataWalk container transition notice</w:t>
        <w:br/>
        <w:t>https://datawalk.com/preparing-for-datawalk-on-containers/</w:t>
      </w:r>
    </w:p>
    <w:p>
      <w:pPr>
        <w:spacing w:after="120"/>
      </w:pPr>
      <w:r>
        <w:rPr>
          <w:sz w:val="18"/>
        </w:rPr>
        <w:t>[2] Customer advisory linked by DataWalk</w:t>
        <w:br/>
        <w:t>https://customers.datawalk-support.com/en/support/solutions/articles/6000277656-preparing-for-datawalk-on-containers</w:t>
      </w:r>
    </w:p>
    <w:p>
      <w:pPr>
        <w:spacing w:after="120"/>
      </w:pPr>
      <w:r>
        <w:rPr>
          <w:sz w:val="18"/>
        </w:rPr>
        <w:t>[3] Technical migration guide linked by DataWalk</w:t>
        <w:br/>
        <w:t>https://docs.datawalk.com/en:admin-guides:latest_release:install:k8s:migrate_from_vm_to_k8s:start</w:t>
      </w:r>
    </w:p>
    <w:p>
      <w:pPr>
        <w:spacing w:after="120"/>
      </w:pPr>
      <w:r>
        <w:rPr>
          <w:sz w:val="18"/>
        </w:rPr>
        <w:t>[4] Oracle Compute shapes and OCPU conversion</w:t>
        <w:br/>
        <w:t>https://docs.oracle.com/en-us/iaas/Content/Compute/References/computeshapes.htm</w:t>
      </w:r>
    </w:p>
    <w:p>
      <w:pPr>
        <w:spacing w:after="120"/>
      </w:pPr>
      <w:r>
        <w:rPr>
          <w:sz w:val="18"/>
        </w:rPr>
        <w:t>[5] Oracle OKE network configuration</w:t>
        <w:br/>
        <w:t>https://docs.oracle.com/en-us/iaas/Content/ContEng/Concepts/contengnetworkconfig.htm</w:t>
      </w:r>
    </w:p>
    <w:p>
      <w:pPr>
        <w:spacing w:after="120"/>
      </w:pPr>
      <w:r>
        <w:rPr>
          <w:sz w:val="18"/>
        </w:rPr>
        <w:t>[6] Reviewed VM foundation source</w:t>
        <w:br/>
        <w:t>https://github.com/oci-appdev/dwhs/blob/main/terraform/oci-vm-foundation/main.tf</w:t>
      </w:r>
    </w:p>
    <w:p>
      <w:pPr>
        <w:spacing w:after="120"/>
      </w:pPr>
      <w:r>
        <w:rPr>
          <w:sz w:val="18"/>
        </w:rPr>
        <w:t>[7] Oracle OKE worker images and shapes</w:t>
        <w:br/>
        <w:t>https://docs.oracle.com/en-us/iaas/Content/ContEng/Reference/contengimagesshapes.htm</w:t>
      </w:r>
    </w:p>
    <w:p>
      <w:pPr>
        <w:spacing w:after="120"/>
      </w:pPr>
      <w:r>
        <w:rPr>
          <w:sz w:val="18"/>
        </w:rPr>
        <w:t>[8] Kubernetes kubectl reference</w:t>
        <w:br/>
        <w:t>https://kubernetes.io/docs/reference/kubectl/quick-reference/</w:t>
      </w:r>
    </w:p>
    <w:p>
      <w:pPr>
        <w:spacing w:after="120"/>
      </w:pPr>
      <w:r>
        <w:rPr>
          <w:sz w:val="18"/>
        </w:rPr>
        <w:t>[9] Oracle block volume performance</w:t>
        <w:br/>
        <w:t>https://docs.oracle.com/en-us/iaas/Content/Block/Concepts/blockvolumeperformance.htm</w:t>
      </w:r>
    </w:p>
    <w:p>
      <w:pPr>
        <w:pStyle w:val="Heading2"/>
      </w:pPr>
      <w:r>
        <w:t>Before the installation session</w:t>
      </w:r>
    </w:p>
    <w:p>
      <w:r>
        <w:t>DataWalk supplies the current chart/values instructions, supported source-to-target migration sequence, DS compatibility requirements and license process. The platform SME supplies the approved bootstrap work order and exact Kubernetes/network matrix. John records approval of E6 sizing, OS/platform choice and the operating owner before execution.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Version 2.0  •  16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MSAS  |  DataWalk OCI POC  |  Dedicated E6 CPU cluster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