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Hyperscience OCI POC</w:t>
        <w:br/>
        <w:t>Infrastructure and installation runbook</w:t>
      </w:r>
    </w:p>
    <w:p>
      <w:r>
        <w:t>A practical build sequence for the non-production pilot. Standalone virtual machines with rootful Podman; no OKE or Kubernetes.</w:t>
      </w:r>
    </w:p>
    <w:p>
      <w:pPr>
        <w:pStyle w:val="Heading2"/>
      </w:pPr>
      <w:r>
        <w:t>Start here</w:t>
      </w:r>
    </w:p>
    <w:p>
      <w:r>
        <w:t>Complete the decisions below, then execute Steps 1–8 in order. Record the operator, date, evidence and result for each step. This is an unexecuted procedure, not evidence of a completed build.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tcPr>
          <w:p>
            <w:pPr>
              <w:spacing w:after="100" w:before="80"/>
            </w:pPr>
            <w:r>
              <w:rPr>
                <w:b/>
                <w:sz w:val="20"/>
              </w:rPr>
              <w:t>Decision before provisioning</w:t>
            </w:r>
          </w:p>
        </w:tc>
        <w:tc>
          <w:tcPr>
            <w:tcW w:type="dxa" w:w="7200"/>
          </w:tcPr>
          <w:p>
            <w:pPr>
              <w:spacing w:after="100" w:before="80"/>
            </w:pPr>
            <w:r>
              <w:rPr>
                <w:b/>
                <w:sz w:val="20"/>
              </w:rPr>
              <w:t>Required outcome</w:t>
            </w:r>
          </w:p>
        </w:tc>
      </w:tr>
      <w:tr>
        <w:trPr>
          <w:cantSplit/>
        </w:trPr>
        <w:tc>
          <w:tcPr>
            <w:tcW w:type="dxa" w:w="2880"/>
          </w:tcPr>
          <w:p>
            <w:pPr>
              <w:spacing w:after="100" w:before="80"/>
            </w:pPr>
            <w:r>
              <w:rPr>
                <w:b w:val="0"/>
                <w:sz w:val="20"/>
              </w:rPr>
              <w:t>Release and install method</w:t>
            </w:r>
          </w:p>
        </w:tc>
        <w:tc>
          <w:tcPr>
            <w:tcW w:type="dxa" w:w="7200"/>
          </w:tcPr>
          <w:p>
            <w:pPr>
              <w:spacing w:after="100" w:before="80"/>
            </w:pPr>
            <w:r>
              <w:rPr>
                <w:b w:val="0"/>
                <w:sz w:val="20"/>
              </w:rPr>
              <w:t>Chase confirms the exact release and bundle. The meeting proposed 43.2. Choose either the vendor-approved TVE path or the standard deployment path; do not mix their database/configuration steps.</w:t>
            </w:r>
          </w:p>
        </w:tc>
      </w:tr>
      <w:tr>
        <w:trPr>
          <w:cantSplit/>
        </w:trPr>
        <w:tc>
          <w:tcPr>
            <w:tcW w:type="dxa" w:w="2880"/>
          </w:tcPr>
          <w:p>
            <w:pPr>
              <w:spacing w:after="100" w:before="80"/>
            </w:pPr>
            <w:r>
              <w:rPr>
                <w:b w:val="0"/>
                <w:sz w:val="20"/>
              </w:rPr>
              <w:t>Trainer and GPU use</w:t>
            </w:r>
          </w:p>
        </w:tc>
        <w:tc>
          <w:tcPr>
            <w:tcW w:type="dxa" w:w="7200"/>
          </w:tcPr>
          <w:p>
            <w:pPr>
              <w:spacing w:after="100" w:before="80"/>
            </w:pPr>
            <w:r>
              <w:rPr>
                <w:b w:val="0"/>
                <w:sz w:val="20"/>
              </w:rPr>
              <w:t>Checks are in scope, so plan a separate trainer VM. Chase must confirm its sizing and whether training needs a GPU. Keep the A10.2 application VM; a second A10.2 is not automatically required.</w:t>
            </w:r>
          </w:p>
        </w:tc>
      </w:tr>
      <w:tr>
        <w:trPr>
          <w:cantSplit/>
        </w:trPr>
        <w:tc>
          <w:tcPr>
            <w:tcW w:type="dxa" w:w="2880"/>
          </w:tcPr>
          <w:p>
            <w:pPr>
              <w:spacing w:after="100" w:before="80"/>
            </w:pPr>
            <w:r>
              <w:rPr>
                <w:b w:val="0"/>
                <w:sz w:val="20"/>
              </w:rPr>
              <w:t>Database and file store</w:t>
            </w:r>
          </w:p>
        </w:tc>
        <w:tc>
          <w:tcPr>
            <w:tcW w:type="dxa" w:w="7200"/>
          </w:tcPr>
          <w:p>
            <w:pPr>
              <w:spacing w:after="100" w:before="80"/>
            </w:pPr>
            <w:r>
              <w:rPr>
                <w:b w:val="0"/>
                <w:sz w:val="20"/>
              </w:rPr>
              <w:t>TVE: bundled local PostgreSQL and local file store. Standard deployment: provision the supported application DB and persistent file store before installing.</w:t>
            </w:r>
          </w:p>
        </w:tc>
      </w:tr>
      <w:tr>
        <w:trPr>
          <w:cantSplit/>
        </w:trPr>
        <w:tc>
          <w:tcPr>
            <w:tcW w:type="dxa" w:w="2880"/>
          </w:tcPr>
          <w:p>
            <w:pPr>
              <w:spacing w:after="100" w:before="80"/>
            </w:pPr>
            <w:r>
              <w:rPr>
                <w:b w:val="0"/>
                <w:sz w:val="20"/>
              </w:rPr>
              <w:t>Endpoint and license</w:t>
            </w:r>
          </w:p>
        </w:tc>
        <w:tc>
          <w:tcPr>
            <w:tcW w:type="dxa" w:w="7200"/>
          </w:tcPr>
          <w:p>
            <w:pPr>
              <w:spacing w:after="100" w:before="80"/>
            </w:pPr>
            <w:r>
              <w:rPr>
                <w:b w:val="0"/>
                <w:sz w:val="20"/>
              </w:rPr>
              <w:t>John/Tony record the private browser URL and TLS arrangement. Chase supplies the matching instance license and bundle entitlement.</w:t>
            </w:r>
          </w:p>
        </w:tc>
      </w:tr>
      <w:tr>
        <w:trPr>
          <w:cantSplit/>
        </w:trPr>
        <w:tc>
          <w:tcPr>
            <w:tcW w:type="dxa" w:w="2880"/>
          </w:tcPr>
          <w:p>
            <w:pPr>
              <w:spacing w:after="100" w:before="80"/>
            </w:pPr>
            <w:r>
              <w:rPr>
                <w:b w:val="0"/>
                <w:sz w:val="20"/>
              </w:rPr>
              <w:t>Storage and security</w:t>
            </w:r>
          </w:p>
        </w:tc>
        <w:tc>
          <w:tcPr>
            <w:tcW w:type="dxa" w:w="7200"/>
          </w:tcPr>
          <w:p>
            <w:pPr>
              <w:spacing w:after="100" w:before="80"/>
            </w:pPr>
            <w:r>
              <w:rPr>
                <w:b w:val="0"/>
                <w:sz w:val="20"/>
              </w:rPr>
              <w:t>John approves disk allocation, routing, image, package sources and security controls. Resolve fapolicyd incompatibility with Cyber before proceeding.</w:t>
            </w:r>
          </w:p>
        </w:tc>
      </w:tr>
    </w:tbl>
    <w:p>
      <w:pPr>
        <w:pStyle w:val="Heading2"/>
      </w:pPr>
      <w:r>
        <w:t>Scope and timing</w:t>
      </w:r>
    </w:p>
    <w:p>
      <w:r>
        <w:t>This pilot validates installation, imported flows/layouts/models, document processing and the agreed GPU use case. It excludes production cutover, ATO approval and a live Hyperscience-to-DataWalk pipeline. The meeting’s installation estimate was about two days once prerequisites are ready; roughly two weeks was discussed for installation through completion. November 24 is the technical target and November 25 the funding boundary, subject to the baselined schedule.</w:t>
      </w:r>
    </w:p>
    <w:p>
      <w:r>
        <w:t>Source basis: the Docker/Podman documentation collection [1] and its prerequisite, GPU, installation and TVE articles [2–9]. The TVE guide targets the latest release; Chase must explicitly approve its use with the selected bundle.</w:t>
      </w:r>
    </w:p>
    <w:p>
      <w:r>
        <w:br w:type="page"/>
      </w:r>
    </w:p>
    <w:p>
      <w:pPr>
        <w:pStyle w:val="Heading1"/>
      </w:pPr>
      <w:r>
        <w:t>1. Prepare access and OCI infrastructure</w:t>
      </w:r>
    </w:p>
    <w:p>
      <w:pPr>
        <w:pStyle w:val="Heading2"/>
      </w:pPr>
      <w:r>
        <w:t>Owners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5472"/>
      </w:tblGrid>
      <w:tr>
        <w:trPr>
          <w:cantSplit/>
          <w:tblHeader/>
        </w:trPr>
        <w:tc>
          <w:tcPr>
            <w:tcW w:type="dxa" w:w="4608"/>
          </w:tcPr>
          <w:p>
            <w:pPr>
              <w:spacing w:after="100" w:before="80"/>
            </w:pPr>
            <w:r>
              <w:rPr>
                <w:b/>
                <w:sz w:val="20"/>
              </w:rPr>
              <w:t>Work</w:t>
            </w:r>
          </w:p>
        </w:tc>
        <w:tc>
          <w:tcPr>
            <w:tcW w:type="dxa" w:w="5472"/>
          </w:tcPr>
          <w:p>
            <w:pPr>
              <w:spacing w:after="100" w:before="80"/>
            </w:pPr>
            <w:r>
              <w:rPr>
                <w:b/>
                <w:sz w:val="20"/>
              </w:rPr>
              <w:t>Responsible team</w:t>
            </w:r>
          </w:p>
        </w:tc>
      </w:tr>
      <w:tr>
        <w:trPr>
          <w:cantSplit/>
        </w:trPr>
        <w:tc>
          <w:tcPr>
            <w:tcW w:type="dxa" w:w="4608"/>
          </w:tcPr>
          <w:p>
            <w:pPr>
              <w:spacing w:after="100" w:before="80"/>
            </w:pPr>
            <w:r>
              <w:rPr>
                <w:b w:val="0"/>
                <w:sz w:val="20"/>
              </w:rPr>
              <w:t>OCI resources, VM handoff and evidence</w:t>
            </w:r>
          </w:p>
        </w:tc>
        <w:tc>
          <w:tcPr>
            <w:tcW w:type="dxa" w:w="5472"/>
          </w:tcPr>
          <w:p>
            <w:pPr>
              <w:spacing w:after="100" w:before="80"/>
            </w:pPr>
            <w:r>
              <w:rPr>
                <w:b w:val="0"/>
                <w:sz w:val="20"/>
              </w:rPr>
              <w:t>John / infrastructure team</w:t>
            </w:r>
          </w:p>
        </w:tc>
      </w:tr>
      <w:tr>
        <w:trPr>
          <w:cantSplit/>
        </w:trPr>
        <w:tc>
          <w:tcPr>
            <w:tcW w:type="dxa" w:w="4608"/>
          </w:tcPr>
          <w:p>
            <w:pPr>
              <w:spacing w:after="100" w:before="80"/>
            </w:pPr>
            <w:r>
              <w:rPr>
                <w:b w:val="0"/>
                <w:sz w:val="20"/>
              </w:rPr>
              <w:t>Private routes, DNS, firewall and endpoint</w:t>
            </w:r>
          </w:p>
        </w:tc>
        <w:tc>
          <w:tcPr>
            <w:tcW w:type="dxa" w:w="5472"/>
          </w:tcPr>
          <w:p>
            <w:pPr>
              <w:spacing w:after="100" w:before="80"/>
            </w:pPr>
            <w:r>
              <w:rPr>
                <w:b w:val="0"/>
                <w:sz w:val="20"/>
              </w:rPr>
              <w:t>Tony / network team</w:t>
            </w:r>
          </w:p>
        </w:tc>
      </w:tr>
      <w:tr>
        <w:trPr>
          <w:cantSplit/>
        </w:trPr>
        <w:tc>
          <w:tcPr>
            <w:tcW w:type="dxa" w:w="4608"/>
          </w:tcPr>
          <w:p>
            <w:pPr>
              <w:spacing w:after="100" w:before="80"/>
            </w:pPr>
            <w:r>
              <w:rPr>
                <w:b w:val="0"/>
                <w:sz w:val="20"/>
              </w:rPr>
              <w:t>Admin forms, accounts and YubiKeys</w:t>
            </w:r>
          </w:p>
        </w:tc>
        <w:tc>
          <w:tcPr>
            <w:tcW w:type="dxa" w:w="5472"/>
          </w:tcPr>
          <w:p>
            <w:pPr>
              <w:spacing w:after="100" w:before="80"/>
            </w:pPr>
            <w:r>
              <w:rPr>
                <w:b w:val="0"/>
                <w:sz w:val="20"/>
              </w:rPr>
              <w:t>Keith / identity and security team</w:t>
            </w:r>
          </w:p>
        </w:tc>
      </w:tr>
      <w:tr>
        <w:trPr>
          <w:cantSplit/>
        </w:trPr>
        <w:tc>
          <w:tcPr>
            <w:tcW w:type="dxa" w:w="4608"/>
          </w:tcPr>
          <w:p>
            <w:pPr>
              <w:spacing w:after="100" w:before="80"/>
            </w:pPr>
            <w:r>
              <w:rPr>
                <w:b w:val="0"/>
                <w:sz w:val="20"/>
              </w:rPr>
              <w:t>Approved bundle and asset transfer</w:t>
            </w:r>
          </w:p>
        </w:tc>
        <w:tc>
          <w:tcPr>
            <w:tcW w:type="dxa" w:w="5472"/>
          </w:tcPr>
          <w:p>
            <w:pPr>
              <w:spacing w:after="100" w:before="80"/>
            </w:pPr>
            <w:r>
              <w:rPr>
                <w:b w:val="0"/>
                <w:sz w:val="20"/>
              </w:rPr>
              <w:t>Charles with authorized MSS operators</w:t>
            </w:r>
          </w:p>
        </w:tc>
      </w:tr>
      <w:tr>
        <w:trPr>
          <w:cantSplit/>
        </w:trPr>
        <w:tc>
          <w:tcPr>
            <w:tcW w:type="dxa" w:w="4608"/>
          </w:tcPr>
          <w:p>
            <w:pPr>
              <w:spacing w:after="100" w:before="80"/>
            </w:pPr>
            <w:r>
              <w:rPr>
                <w:b w:val="0"/>
                <w:sz w:val="20"/>
              </w:rPr>
              <w:t>Application installation and tests</w:t>
            </w:r>
          </w:p>
        </w:tc>
        <w:tc>
          <w:tcPr>
            <w:tcW w:type="dxa" w:w="5472"/>
          </w:tcPr>
          <w:p>
            <w:pPr>
              <w:spacing w:after="100" w:before="80"/>
            </w:pPr>
            <w:r>
              <w:rPr>
                <w:b w:val="0"/>
                <w:sz w:val="20"/>
              </w:rPr>
              <w:t>MSS Hyperscience team; Caitlin leads functional validation</w:t>
            </w:r>
          </w:p>
        </w:tc>
      </w:tr>
      <w:tr>
        <w:trPr>
          <w:cantSplit/>
        </w:trPr>
        <w:tc>
          <w:tcPr>
            <w:tcW w:type="dxa" w:w="4608"/>
          </w:tcPr>
          <w:p>
            <w:pPr>
              <w:spacing w:after="100" w:before="80"/>
            </w:pPr>
            <w:r>
              <w:rPr>
                <w:b w:val="0"/>
                <w:sz w:val="20"/>
              </w:rPr>
              <w:t>Vendor guidance, release, license and tokens</w:t>
            </w:r>
          </w:p>
        </w:tc>
        <w:tc>
          <w:tcPr>
            <w:tcW w:type="dxa" w:w="5472"/>
          </w:tcPr>
          <w:p>
            <w:pPr>
              <w:spacing w:after="100" w:before="80"/>
            </w:pPr>
            <w:r>
              <w:rPr>
                <w:b w:val="0"/>
                <w:sz w:val="20"/>
              </w:rPr>
              <w:t>Chase, by screen share; no assumed direct DOJ access</w:t>
            </w:r>
          </w:p>
        </w:tc>
      </w:tr>
      <w:tr>
        <w:trPr>
          <w:cantSplit/>
        </w:trPr>
        <w:tc>
          <w:tcPr>
            <w:tcW w:type="dxa" w:w="4608"/>
          </w:tcPr>
          <w:p>
            <w:pPr>
              <w:spacing w:after="100" w:before="80"/>
            </w:pPr>
            <w:r>
              <w:rPr>
                <w:b w:val="0"/>
                <w:sz w:val="20"/>
              </w:rPr>
              <w:t>Schedule, dependencies and acceptance</w:t>
            </w:r>
          </w:p>
        </w:tc>
        <w:tc>
          <w:tcPr>
            <w:tcW w:type="dxa" w:w="5472"/>
          </w:tcPr>
          <w:p>
            <w:pPr>
              <w:spacing w:after="100" w:before="80"/>
            </w:pPr>
            <w:r>
              <w:rPr>
                <w:b w:val="0"/>
                <w:sz w:val="20"/>
              </w:rPr>
              <w:t>Mo / Mark with application and infrastructure leads</w:t>
            </w:r>
          </w:p>
        </w:tc>
      </w:tr>
    </w:tbl>
    <w:p>
      <w:pPr>
        <w:pStyle w:val="Heading2"/>
      </w:pPr>
      <w:r>
        <w:t>Step 1 — Establish administrator access</w:t>
      </w:r>
    </w:p>
    <w:p>
      <w:r>
        <w:t>Keith verifies the participating admins, completed forms, ticket numbers and YubiKey delivery. Test the Windows jump box with a named admin account, then SSH from that box to the private VM. Confirm the operator can run sudo. Application testers do not require YubiKeys solely to use the web UI.</w:t>
      </w:r>
    </w:p>
    <w:p>
      <w:pPr>
        <w:pStyle w:val="Heading2"/>
      </w:pPr>
      <w:r>
        <w:t>Step 2 — Build and record the foundation</w:t>
      </w:r>
    </w:p>
    <w:p>
      <w:r>
        <w:t>John provisions the approved non-production compartment, IAM assignments, quotas, budget alerts, private subnet, NSGs and logging. Reuse the approved landing zone connectivity. If using terraform/oci-vm-foundation, review its new-VCN behavior first: it is not proof that IAM, inspection, budgets, application storage or DNS have been configured.</w:t>
      </w:r>
    </w:p>
    <w:p>
      <w:r>
        <w:t>Create the application VM with the approved RHEL 8.10 x86_64 image and VM.GPU.A10.2 shape. Keep its two A10 GPUs distinct. For semi-structured training, plan a separate Intel x86_64 trainer with at least 16 vCPUs and 64 GB RAM, subject to Chase confirming release/workload sizing and GPU needs. Do not colocate it. Record image, shape, OCIDs, private IPs, disks and owner. [2]</w:t>
      </w:r>
    </w:p>
    <w:p>
      <w:r>
        <w:t>Attach persistent block storage and mount by UUID. The earlier 100 GB boot + 600 GB data estimate is provisional. On each VM allocate at least 300 GB for bundle download/extraction and 100 GB for rootful Podman images, excluding OS space; add DB/media growth. For ORCA add 100 GB beyond this base. Verify actual capacity at each path, including graphRoot; a disk mounted elsewhere does not satisfy the requirement. [2,3]</w:t>
      </w:r>
    </w:p>
    <w:p>
      <w:r>
        <w:t>Pass: named access and sudo work, storage allocation is approved, and both VM roles have an owner. No production resources are created.</w:t>
      </w:r>
    </w:p>
    <w:p>
      <w:r>
        <w:br w:type="page"/>
      </w:r>
    </w:p>
    <w:p>
      <w:pPr>
        <w:pStyle w:val="Heading1"/>
      </w:pPr>
      <w:r>
        <w:t>2. Validate private network and OS readiness</w:t>
      </w:r>
    </w:p>
    <w:p>
      <w:pPr>
        <w:pStyle w:val="Heading2"/>
      </w:pPr>
      <w:r>
        <w:t>Step 3 — Verify each required path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6192"/>
      </w:tblGrid>
      <w:tr>
        <w:trPr>
          <w:cantSplit/>
          <w:tblHeader/>
        </w:trPr>
        <w:tc>
          <w:tcPr>
            <w:tcW w:type="dxa" w:w="3888"/>
          </w:tcPr>
          <w:p>
            <w:pPr>
              <w:spacing w:after="100" w:before="80"/>
            </w:pPr>
            <w:r>
              <w:rPr>
                <w:b/>
                <w:sz w:val="20"/>
              </w:rPr>
              <w:t>Source → destination</w:t>
            </w:r>
          </w:p>
        </w:tc>
        <w:tc>
          <w:tcPr>
            <w:tcW w:type="dxa" w:w="6192"/>
          </w:tcPr>
          <w:p>
            <w:pPr>
              <w:spacing w:after="100" w:before="80"/>
            </w:pPr>
            <w:r>
              <w:rPr>
                <w:b/>
                <w:sz w:val="20"/>
              </w:rPr>
              <w:t>Allow and verify</w:t>
            </w:r>
          </w:p>
        </w:tc>
      </w:tr>
      <w:tr>
        <w:trPr>
          <w:cantSplit/>
        </w:trPr>
        <w:tc>
          <w:tcPr>
            <w:tcW w:type="dxa" w:w="3888"/>
          </w:tcPr>
          <w:p>
            <w:pPr>
              <w:spacing w:after="100" w:before="80"/>
            </w:pPr>
            <w:r>
              <w:rPr>
                <w:b w:val="0"/>
                <w:sz w:val="20"/>
              </w:rPr>
              <w:t>Windows jump box → both VMs</w:t>
            </w:r>
          </w:p>
        </w:tc>
        <w:tc>
          <w:tcPr>
            <w:tcW w:type="dxa" w:w="6192"/>
          </w:tcPr>
          <w:p>
            <w:pPr>
              <w:spacing w:after="100" w:before="80"/>
            </w:pPr>
            <w:r>
              <w:rPr>
                <w:b w:val="0"/>
                <w:sz w:val="20"/>
              </w:rPr>
              <w:t>SSH 22 from the approved jump-box source only.</w:t>
            </w:r>
          </w:p>
        </w:tc>
      </w:tr>
      <w:tr>
        <w:trPr>
          <w:cantSplit/>
        </w:trPr>
        <w:tc>
          <w:tcPr>
            <w:tcW w:type="dxa" w:w="3888"/>
          </w:tcPr>
          <w:p>
            <w:pPr>
              <w:spacing w:after="100" w:before="80"/>
            </w:pPr>
            <w:r>
              <w:rPr>
                <w:b w:val="0"/>
                <w:sz w:val="20"/>
              </w:rPr>
              <w:t>Authorized testers → private application URL</w:t>
            </w:r>
          </w:p>
        </w:tc>
        <w:tc>
          <w:tcPr>
            <w:tcW w:type="dxa" w:w="6192"/>
          </w:tcPr>
          <w:p>
            <w:pPr>
              <w:spacing w:after="100" w:before="80"/>
            </w:pPr>
            <w:r>
              <w:rPr>
                <w:b w:val="0"/>
                <w:sz w:val="20"/>
              </w:rPr>
              <w:t>HTTPS 443 through enterprise connectivity, DRG and required inspection. No public VM IP.</w:t>
            </w:r>
          </w:p>
        </w:tc>
      </w:tr>
      <w:tr>
        <w:trPr>
          <w:cantSplit/>
        </w:trPr>
        <w:tc>
          <w:tcPr>
            <w:tcW w:type="dxa" w:w="3888"/>
          </w:tcPr>
          <w:p>
            <w:pPr>
              <w:spacing w:after="100" w:before="80"/>
            </w:pPr>
            <w:r>
              <w:rPr>
                <w:b w:val="0"/>
                <w:sz w:val="20"/>
              </w:rPr>
              <w:t>Trainer → application URL</w:t>
            </w:r>
          </w:p>
        </w:tc>
        <w:tc>
          <w:tcPr>
            <w:tcW w:type="dxa" w:w="6192"/>
          </w:tcPr>
          <w:p>
            <w:pPr>
              <w:spacing w:after="100" w:before="80"/>
            </w:pPr>
            <w:r>
              <w:rPr>
                <w:b w:val="0"/>
                <w:sz w:val="20"/>
              </w:rPr>
              <w:t>HTTPS/API access, private DNS resolution and trusted CA chain. No trainer UI port is needed. [4]</w:t>
            </w:r>
          </w:p>
        </w:tc>
      </w:tr>
      <w:tr>
        <w:trPr>
          <w:cantSplit/>
        </w:trPr>
        <w:tc>
          <w:tcPr>
            <w:tcW w:type="dxa" w:w="3888"/>
          </w:tcPr>
          <w:p>
            <w:pPr>
              <w:spacing w:after="100" w:before="80"/>
            </w:pPr>
            <w:r>
              <w:rPr>
                <w:b w:val="0"/>
                <w:sz w:val="20"/>
              </w:rPr>
              <w:t>Application → database / file store</w:t>
            </w:r>
          </w:p>
        </w:tc>
        <w:tc>
          <w:tcPr>
            <w:tcW w:type="dxa" w:w="6192"/>
          </w:tcPr>
          <w:p>
            <w:pPr>
              <w:spacing w:after="100" w:before="80"/>
            </w:pPr>
            <w:r>
              <w:rPr>
                <w:b w:val="0"/>
                <w:sz w:val="20"/>
              </w:rPr>
              <w:t>Only the selected backend paths and ports. Local TVE services remain local; no exposed PostgreSQL listener to users.</w:t>
            </w:r>
          </w:p>
        </w:tc>
      </w:tr>
      <w:tr>
        <w:trPr>
          <w:cantSplit/>
        </w:trPr>
        <w:tc>
          <w:tcPr>
            <w:tcW w:type="dxa" w:w="3888"/>
          </w:tcPr>
          <w:p>
            <w:pPr>
              <w:spacing w:after="100" w:before="80"/>
            </w:pPr>
            <w:r>
              <w:rPr>
                <w:b w:val="0"/>
                <w:sz w:val="20"/>
              </w:rPr>
              <w:t>Staging operator → approved transfer endpoint</w:t>
            </w:r>
          </w:p>
        </w:tc>
        <w:tc>
          <w:tcPr>
            <w:tcW w:type="dxa" w:w="6192"/>
          </w:tcPr>
          <w:p>
            <w:pPr>
              <w:spacing w:after="100" w:before="80"/>
            </w:pPr>
            <w:r>
              <w:rPr>
                <w:b w:val="0"/>
                <w:sz w:val="20"/>
              </w:rPr>
              <w:t>Permit the reviewed download/transfer path. Runtime Internet access is not implied.</w:t>
            </w:r>
          </w:p>
        </w:tc>
      </w:tr>
      <w:tr>
        <w:trPr>
          <w:cantSplit/>
        </w:trPr>
        <w:tc>
          <w:tcPr>
            <w:tcW w:type="dxa" w:w="3888"/>
          </w:tcPr>
          <w:p>
            <w:pPr>
              <w:spacing w:after="100" w:before="80"/>
            </w:pPr>
            <w:r>
              <w:rPr>
                <w:b w:val="0"/>
                <w:sz w:val="20"/>
              </w:rPr>
              <w:t>VMs → platform services</w:t>
            </w:r>
          </w:p>
        </w:tc>
        <w:tc>
          <w:tcPr>
            <w:tcW w:type="dxa" w:w="6192"/>
          </w:tcPr>
          <w:p>
            <w:pPr>
              <w:spacing w:after="100" w:before="80"/>
            </w:pPr>
            <w:r>
              <w:rPr>
                <w:b w:val="0"/>
                <w:sz w:val="20"/>
              </w:rPr>
              <w:t>Approved DNS, time, monitoring and OS repositories. Service Gateway access only where supported and routed; it does not replace external vendor access.</w:t>
            </w:r>
          </w:p>
        </w:tc>
      </w:tr>
    </w:tbl>
    <w:p>
      <w:r>
        <w:t>Tony validates both directions of the routed path and inspection policy. Record rules and results; do not add 0.0.0.0/0 ingress or bypass the approved firewall. If a private load balancer is selected, record its TLS termination and backend port. It is optional for a one-VM pilot, not a substitute for DNS and licensing decisions.</w:t>
      </w:r>
    </w:p>
    <w:p>
      <w:pPr>
        <w:pStyle w:val="Heading2"/>
      </w:pPr>
      <w:r>
        <w:t>OS preflight — run on application and trainer</w:t>
      </w:r>
    </w:p>
    <w:p>
      <w:pPr>
        <w:spacing w:after="140"/>
      </w:pPr>
      <w:r>
        <w:rPr>
          <w:rFonts w:ascii="Liberation Mono" w:hAnsi="Liberation Mono"/>
          <w:sz w:val="18"/>
        </w:rPr>
        <w:t>cat /etc/redhat-release</w:t>
        <w:br/>
        <w:t>uname -r</w:t>
        <w:br/>
        <w:t>uname -m</w:t>
        <w:br/>
        <w:t>lscpu</w:t>
        <w:br/>
        <w:t>lsblk -o NAME,SIZE,FSTYPE,MOUNTPOINT</w:t>
        <w:br/>
        <w:t>df -hT</w:t>
        <w:br/>
        <w:t>sudo -v</w:t>
        <w:br/>
        <w:t>sudo swapon --show</w:t>
        <w:br/>
        <w:t>sudo sestatus</w:t>
        <w:br/>
        <w:t>sudo systemctl is-active fapolicyd</w:t>
      </w:r>
    </w:p>
    <w:p>
      <w:r>
        <w:t>Record the results. Disable swap persistently using the approved RHEL procedure, and recheck after reboot. Hyperscience blocks startup with swap enabled. Retain SELinux; apply the vendor’s container file labels to the selected paths. Resolve fapolicyd through the security owner because Hyperscience does not support it with Podman. Do not disable security tooling ad hoc. [5]</w:t>
      </w:r>
    </w:p>
    <w:p>
      <w:r>
        <w:t>Pass: DNS, HTTPS and admin paths work; required disks are mounted; swap is disabled; release/image and security exceptions are approved.</w:t>
      </w:r>
    </w:p>
    <w:p>
      <w:r>
        <w:br w:type="page"/>
      </w:r>
    </w:p>
    <w:p>
      <w:pPr>
        <w:pStyle w:val="Heading1"/>
      </w:pPr>
      <w:r>
        <w:t>3. Install Podman and prepare the GPUs</w:t>
      </w:r>
    </w:p>
    <w:p>
      <w:pPr>
        <w:pStyle w:val="Heading2"/>
      </w:pPr>
      <w:r>
        <w:t>Step 4 — Rootful Podman on both VMs [6]</w:t>
      </w:r>
    </w:p>
    <w:p>
      <w:r>
        <w:t>Use approved RHEL repositories or internally staged packages. Install the GA-supported Podman version for the selected OS. These are operator commands, not commands for Chase to execute remotely.</w:t>
      </w:r>
    </w:p>
    <w:p>
      <w:pPr>
        <w:spacing w:after="140"/>
      </w:pPr>
      <w:r>
        <w:rPr>
          <w:rFonts w:ascii="Liberation Mono" w:hAnsi="Liberation Mono"/>
          <w:sz w:val="18"/>
        </w:rPr>
        <w:t>sudo yum module install -y container-tools</w:t>
        <w:br/>
        <w:t>sudo yum install -y podman-docker podman-remote</w:t>
        <w:br/>
        <w:t>sudo systemctl enable --now podman.socket</w:t>
        <w:br/>
        <w:t>sudo systemctl enable --now podman-restart.service</w:t>
        <w:br/>
        <w:t>sudo podman version</w:t>
        <w:br/>
        <w:t>sudo podman info</w:t>
        <w:br/>
        <w:t>sudo podman ps -a</w:t>
      </w:r>
    </w:p>
    <w:p>
      <w:r>
        <w:t>Confirm rootful storage uses the provisioned filesystem and that this new dedicated host has no conflicting containers. Use sudo consistently: rootless and rootful Podman use different container stores. Record service enablement and installed versions. The podman-docker package supplies compatibility commands; this design does not install Docker Engine.</w:t>
      </w:r>
    </w:p>
    <w:p>
      <w:pPr>
        <w:pStyle w:val="Heading2"/>
      </w:pPr>
      <w:r>
        <w:t>Step 5 — Application GPU readiness, if ORCA is in scope [7]</w:t>
      </w:r>
    </w:p>
    <w:p>
      <w:r>
        <w:t>Complete GPU preparation before extracting the bundle. Install the approved NVIDIA driver, matching running-kernel development dependencies, NVIDIA Container Toolkit and pciutils from approved sources. Follow the vendor-linked NVIDIA procedure and the reviewed offline package manifest; do not fetch latest packages directly on the isolated VM.</w:t>
      </w:r>
    </w:p>
    <w:p>
      <w:pPr>
        <w:spacing w:after="140"/>
      </w:pPr>
      <w:r>
        <w:rPr>
          <w:rFonts w:ascii="Liberation Mono" w:hAnsi="Liberation Mono"/>
          <w:sz w:val="18"/>
        </w:rPr>
        <w:t>lspci</w:t>
        <w:br/>
        <w:t>nvidia-smi</w:t>
        <w:br/>
        <w:t>sudo podman info</w:t>
      </w:r>
    </w:p>
    <w:p>
      <w:r>
        <w:t>For the proposed 43.2 ORCA use case, verify driver 580 or later, at least 24 GB VRAM per supported GPU, extra local storage and container shared memory of at least 10 GB. Confirm the exact release requirements with Chase. Both A10 devices must appear separately; they do not form a single 48 GB memory pool. [3]</w:t>
      </w:r>
    </w:p>
    <w:p>
      <w:r>
        <w:t>Apply the documented NVIDIA runtime/CDI configuration for the approved Podman/toolkit versions. Run a vendor-approved, internally staged GPU container test and retain its output. Host nvidia-smi alone does not prove container GPU access. After deployment, verify the application container’s shared-memory setting, not only the host /dev/shm size.</w:t>
      </w:r>
    </w:p>
    <w:p>
      <w:r>
        <w:t>Pass: rootful Podman is ready on both VMs; the application container GPU test passes when required. Trainer GPU enablement is a separate, Chase-approved procedure tied to its training workload; application ORCA setup does not enable trainer GPU training.</w:t>
      </w:r>
    </w:p>
    <w:p>
      <w:r>
        <w:br w:type="page"/>
      </w:r>
    </w:p>
    <w:p>
      <w:pPr>
        <w:pStyle w:val="Heading1"/>
      </w:pPr>
      <w:r>
        <w:t>4. Stage the bundle and choose one install path</w:t>
      </w:r>
    </w:p>
    <w:p>
      <w:pPr>
        <w:pStyle w:val="Heading2"/>
      </w:pPr>
      <w:r>
        <w:t>Step 6 — Transfer approved installation material</w:t>
      </w:r>
    </w:p>
    <w:p>
      <w:r>
        <w:t>Chase provides the exact bundle, entitlement, checksum and installation instructions for the pinned version. Charles coordinates download to approved staging, malware scanning, release approval and transfer through the Windows jump box to each private VM. Record the scan approval, filename, version, checksum and destination. Do not store entitlements, license keys, API tokens or .env secrets in Git.</w:t>
      </w:r>
    </w:p>
    <w:p>
      <w:r>
        <w:t>Create /opt/hs and the chosen persistent data directory. Download once through the approved channel. Match its SHA-256 to the vendor-provided checksum, then verify the same hash after every internal transfer. Extract the approved archive in /opt/hs and use its resulting directory for later commands. Resolve any mismatch before extraction. [8]</w:t>
      </w:r>
    </w:p>
    <w:p>
      <w:pPr>
        <w:spacing w:after="140"/>
      </w:pPr>
      <w:r>
        <w:rPr>
          <w:rFonts w:ascii="Liberation Mono" w:hAnsi="Liberation Mono"/>
          <w:sz w:val="18"/>
        </w:rPr>
        <w:t>sudo mkdir -p /opt/hs /mnt/hs</w:t>
        <w:br/>
        <w:t>sha256sum /approved/staging/APPROVED_BUNDLE.tgz</w:t>
      </w:r>
    </w:p>
    <w:p>
      <w:r>
        <w:t>APPROVED_BUNDLE is a placeholder. Replace it with the actual archive filename; do not paste placeholder paths into a build session.</w:t>
      </w:r>
    </w:p>
    <w:p>
      <w:pPr>
        <w:pStyle w:val="Heading2"/>
      </w:pPr>
      <w:r>
        <w:t>Step 7A — Vendor-approved TVE path only [8]</w:t>
      </w:r>
    </w:p>
    <w:p>
      <w:r>
        <w:t>Confirm the bundle includes configure_tve.sh and Chase approves this path for the selected release. Create the application media directory, set the documented ownership and SELinux labels, run the interactive TVE configuration, then review its generated settings securely. Confirm local PostgreSQL, FILE storage, HS_PATH and TVE deployment type. Run the following from the application bundle directory:</w:t>
      </w:r>
    </w:p>
    <w:p>
      <w:pPr>
        <w:spacing w:after="140"/>
      </w:pPr>
      <w:r>
        <w:rPr>
          <w:rFonts w:ascii="Liberation Mono" w:hAnsi="Liberation Mono"/>
          <w:sz w:val="18"/>
        </w:rPr>
        <w:t>sudo bash configure_tve.sh</w:t>
        <w:br/>
        <w:t>sudo bash run.sh db</w:t>
        <w:br/>
        <w:t>sudo bash run.sh init</w:t>
        <w:br/>
        <w:t>sudo bash run.sh</w:t>
      </w:r>
    </w:p>
    <w:p>
      <w:pPr>
        <w:pStyle w:val="Heading2"/>
      </w:pPr>
      <w:r>
        <w:t>Step 7B — Standard deployment path instead [4,9]</w:t>
      </w:r>
    </w:p>
    <w:p>
      <w:r>
        <w:t>First provision the supported external application database and persistent file store. Record connectivity, credentials and backup owner. Configure the bundle .env for those backends, initial admin, private endpoint/TLS and trusted origins if using a load balancer. Then run init followed by run.sh on the application VM. Do not use configure_tve.sh, the TVE local-DB shortcut or DEPLOYMENT_TYPE=TVE on this path.</w:t>
      </w:r>
    </w:p>
    <w:p>
      <w:r>
        <w:t>Protect the configuration with root-controlled access, following the bundle instructions. Remove unused blank settings. Configuration changes require reinitialization and an application restart; record the maintenance action. [10]</w:t>
      </w:r>
    </w:p>
    <w:p>
      <w:r>
        <w:br w:type="page"/>
      </w:r>
    </w:p>
    <w:p>
      <w:pPr>
        <w:pStyle w:val="Heading1"/>
      </w:pPr>
      <w:r>
        <w:t>5. License, ORCA and the separate trainer</w:t>
      </w:r>
    </w:p>
    <w:p>
      <w:pPr>
        <w:pStyle w:val="Heading2"/>
      </w:pPr>
      <w:r>
        <w:t>Application check and license</w:t>
      </w:r>
    </w:p>
    <w:p>
      <w:r>
        <w:t>MSS verifies startup, reaches the private URL from an approved workstation and signs in. Apply the license issued for this exact URL and instance type. Complete licensing before obtaining the trainer API token. John/Tony own URL changes; Chase revalidates licensing when the URL changes. Keep secrets out of screenshots and build evidence. [9]</w:t>
      </w:r>
    </w:p>
    <w:p>
      <w:pPr>
        <w:pStyle w:val="Heading2"/>
      </w:pPr>
      <w:r>
        <w:t>ORCA activation — application GPU VM only</w:t>
      </w:r>
    </w:p>
    <w:p>
      <w:r>
        <w:t>If the signed test scope includes ORCA, complete the vendor’s GPU initialization after the application is running:</w:t>
      </w:r>
    </w:p>
    <w:p>
      <w:pPr>
        <w:spacing w:after="140"/>
      </w:pPr>
      <w:r>
        <w:rPr>
          <w:rFonts w:ascii="Liberation Mono" w:hAnsi="Liberation Mono"/>
          <w:sz w:val="18"/>
        </w:rPr>
        <w:t>sudo bash run.sh ipm VISION_LANGUAGE_MODEL_GPU</w:t>
      </w:r>
    </w:p>
    <w:p>
      <w:r>
        <w:t>Use an approved sample to demonstrate ORCA execution and GPU utilization. Record model/version, outcome and GPU metrics. Application GPUs are supported for ORCA; if ORCA is excluded, omit this step and revisit the application GPU test objective with Chase. Trainer GPU training is a separate use case. [3,7]</w:t>
      </w:r>
    </w:p>
    <w:p>
      <w:pPr>
        <w:pStyle w:val="Heading2"/>
      </w:pPr>
      <w:r>
        <w:t>Step 8 — Install trainer on its own VM [9]</w:t>
      </w:r>
    </w:p>
    <w:p>
      <w:r>
        <w:t>On the trainer, use the same approved bundle version and the already verified Podman/OS prerequisites. Create local trainer_media under HS_PATH and apply the documented ownership and SELinux labels, including the version-specific trainer PostgreSQL directory. Keep trainer media and database private to this VM; do not share them with the application or another trainer.</w:t>
      </w:r>
    </w:p>
    <w:p>
      <w:r>
        <w:t>Create a trainer-specific .env using the vendor’s trainer instructions; preserve a restricted backup of the bundled sample before replacing it. Do not copy the application configuration. On a dedicated trainer, do not run application init or the plain application run.sh command. [10]</w:t>
      </w:r>
    </w:p>
    <w:p>
      <w:r>
        <w:t>MSS creates/selects an approved application user with API Access, retrieves its token after licensing and supplies it securely. Start the trainer with the following vendor command pattern, using the private HTTPS URL without a trailing slash:</w:t>
      </w:r>
    </w:p>
    <w:p>
      <w:pPr>
        <w:spacing w:after="140"/>
      </w:pPr>
      <w:r>
        <w:rPr>
          <w:rFonts w:ascii="Liberation Mono" w:hAnsi="Liberation Mono"/>
          <w:sz w:val="18"/>
        </w:rPr>
        <w:t>sudo bash run.sh trainer APP_URL API_TOKEN</w:t>
      </w:r>
    </w:p>
    <w:p>
      <w:r>
        <w:t>APP_URL and API_TOKEN are placeholders. Supply actual values only in the protected install session; account for terminal recording, shell history and process visibility. Confirm trainer API connection, CA trust and a successful trainer task. A URL, token or TLS change requires updating the trainer connection. [9]</w:t>
      </w:r>
    </w:p>
    <w:p>
      <w:r>
        <w:t>Pass: licensed web UI works; required ORCA task and trainer task succeed. Do not use a colocated trainer or --force to bypass the separate-VM baseline without a reviewed vendor design change.</w:t>
      </w:r>
    </w:p>
    <w:p>
      <w:r>
        <w:br w:type="page"/>
      </w:r>
    </w:p>
    <w:p>
      <w:pPr>
        <w:pStyle w:val="Heading1"/>
      </w:pPr>
      <w:r>
        <w:t>6. Import assets, test and hand over</w:t>
      </w:r>
    </w:p>
    <w:p>
      <w:pPr>
        <w:pStyle w:val="Heading2"/>
      </w:pPr>
      <w:r>
        <w:t>MSS execution checklist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tcPr>
          <w:p>
            <w:pPr>
              <w:spacing w:after="100" w:before="80"/>
            </w:pPr>
            <w:r>
              <w:rPr>
                <w:b/>
                <w:sz w:val="20"/>
              </w:rPr>
              <w:t>Test</w:t>
            </w:r>
          </w:p>
        </w:tc>
        <w:tc>
          <w:tcPr>
            <w:tcW w:type="dxa" w:w="7200"/>
          </w:tcPr>
          <w:p>
            <w:pPr>
              <w:spacing w:after="100" w:before="80"/>
            </w:pPr>
            <w:r>
              <w:rPr>
                <w:b/>
                <w:sz w:val="20"/>
              </w:rPr>
              <w:t>Evidence and acceptance</w:t>
            </w:r>
          </w:p>
        </w:tc>
      </w:tr>
      <w:tr>
        <w:trPr>
          <w:cantSplit/>
        </w:trPr>
        <w:tc>
          <w:tcPr>
            <w:tcW w:type="dxa" w:w="2880"/>
          </w:tcPr>
          <w:p>
            <w:pPr>
              <w:spacing w:after="100" w:before="80"/>
            </w:pPr>
            <w:r>
              <w:rPr>
                <w:b w:val="0"/>
                <w:sz w:val="20"/>
              </w:rPr>
              <w:t>Import existing assets</w:t>
            </w:r>
          </w:p>
        </w:tc>
        <w:tc>
          <w:tcPr>
            <w:tcW w:type="dxa" w:w="7200"/>
          </w:tcPr>
          <w:p>
            <w:pPr>
              <w:spacing w:after="100" w:before="80"/>
            </w:pPr>
            <w:r>
              <w:rPr>
                <w:b w:val="0"/>
                <w:sz w:val="20"/>
              </w:rPr>
              <w:t>Export/import approved flows, layouts and models using supported application tools. Record source/target versions and compatibility. This is not migration of an on-premises VM image.</w:t>
            </w:r>
          </w:p>
        </w:tc>
      </w:tr>
      <w:tr>
        <w:trPr>
          <w:cantSplit/>
        </w:trPr>
        <w:tc>
          <w:tcPr>
            <w:tcW w:type="dxa" w:w="2880"/>
          </w:tcPr>
          <w:p>
            <w:pPr>
              <w:spacing w:after="100" w:before="80"/>
            </w:pPr>
            <w:r>
              <w:rPr>
                <w:b w:val="0"/>
                <w:sz w:val="20"/>
              </w:rPr>
              <w:t>Functional scenarios</w:t>
            </w:r>
          </w:p>
        </w:tc>
        <w:tc>
          <w:tcPr>
            <w:tcW w:type="dxa" w:w="7200"/>
          </w:tcPr>
          <w:p>
            <w:pPr>
              <w:spacing w:after="100" w:before="80"/>
            </w:pPr>
            <w:r>
              <w:rPr>
                <w:b w:val="0"/>
                <w:sz w:val="20"/>
              </w:rPr>
              <w:t>Caitlin/MSS execute checks, deposit slips, wire records, bank statements and multi-document separation/cropping as agreed. Record expected versus actual extracted fields and errors.</w:t>
            </w:r>
          </w:p>
        </w:tc>
      </w:tr>
      <w:tr>
        <w:trPr>
          <w:cantSplit/>
        </w:trPr>
        <w:tc>
          <w:tcPr>
            <w:tcW w:type="dxa" w:w="2880"/>
          </w:tcPr>
          <w:p>
            <w:pPr>
              <w:spacing w:after="100" w:before="80"/>
            </w:pPr>
            <w:r>
              <w:rPr>
                <w:b w:val="0"/>
                <w:sz w:val="20"/>
              </w:rPr>
              <w:t>GPU and trainer</w:t>
            </w:r>
          </w:p>
        </w:tc>
        <w:tc>
          <w:tcPr>
            <w:tcW w:type="dxa" w:w="7200"/>
          </w:tcPr>
          <w:p>
            <w:pPr>
              <w:spacing w:after="100" w:before="80"/>
            </w:pPr>
            <w:r>
              <w:rPr>
                <w:b w:val="0"/>
                <w:sz w:val="20"/>
              </w:rPr>
              <w:t>Demonstrate the selected GPU-backed model and trainer task. Capture utilization and results; visible GPUs alone do not pass.</w:t>
            </w:r>
          </w:p>
        </w:tc>
      </w:tr>
      <w:tr>
        <w:trPr>
          <w:cantSplit/>
        </w:trPr>
        <w:tc>
          <w:tcPr>
            <w:tcW w:type="dxa" w:w="2880"/>
          </w:tcPr>
          <w:p>
            <w:pPr>
              <w:spacing w:after="100" w:before="80"/>
            </w:pPr>
            <w:r>
              <w:rPr>
                <w:b w:val="0"/>
                <w:sz w:val="20"/>
              </w:rPr>
              <w:t>Private access and security</w:t>
            </w:r>
          </w:p>
        </w:tc>
        <w:tc>
          <w:tcPr>
            <w:tcW w:type="dxa" w:w="7200"/>
          </w:tcPr>
          <w:p>
            <w:pPr>
              <w:spacing w:after="100" w:before="80"/>
            </w:pPr>
            <w:r>
              <w:rPr>
                <w:b w:val="0"/>
                <w:sz w:val="20"/>
              </w:rPr>
              <w:t>Approved users can reach the private URL; unauthorized sources cannot. Named administration, logging and secret handling work.</w:t>
            </w:r>
          </w:p>
        </w:tc>
      </w:tr>
      <w:tr>
        <w:trPr>
          <w:cantSplit/>
        </w:trPr>
        <w:tc>
          <w:tcPr>
            <w:tcW w:type="dxa" w:w="2880"/>
          </w:tcPr>
          <w:p>
            <w:pPr>
              <w:spacing w:after="100" w:before="80"/>
            </w:pPr>
            <w:r>
              <w:rPr>
                <w:b w:val="0"/>
                <w:sz w:val="20"/>
              </w:rPr>
              <w:t>Restart and persistence</w:t>
            </w:r>
          </w:p>
        </w:tc>
        <w:tc>
          <w:tcPr>
            <w:tcW w:type="dxa" w:w="7200"/>
          </w:tcPr>
          <w:p>
            <w:pPr>
              <w:spacing w:after="100" w:before="80"/>
            </w:pPr>
            <w:r>
              <w:rPr>
                <w:b w:val="0"/>
                <w:sz w:val="20"/>
              </w:rPr>
              <w:t>During an agreed window, reboot each pilot VM. Confirm mounts, no swap, Podman recovery, application/trainer health and persistence of imported assets and test records.</w:t>
            </w:r>
          </w:p>
        </w:tc>
      </w:tr>
      <w:tr>
        <w:trPr>
          <w:cantSplit/>
        </w:trPr>
        <w:tc>
          <w:tcPr>
            <w:tcW w:type="dxa" w:w="2880"/>
          </w:tcPr>
          <w:p>
            <w:pPr>
              <w:spacing w:after="100" w:before="80"/>
            </w:pPr>
            <w:r>
              <w:rPr>
                <w:b w:val="0"/>
                <w:sz w:val="20"/>
              </w:rPr>
              <w:t>Performance and acceptance</w:t>
            </w:r>
          </w:p>
        </w:tc>
        <w:tc>
          <w:tcPr>
            <w:tcW w:type="dxa" w:w="7200"/>
          </w:tcPr>
          <w:p>
            <w:pPr>
              <w:spacing w:after="100" w:before="80"/>
            </w:pPr>
            <w:r>
              <w:rPr>
                <w:b w:val="0"/>
                <w:sz w:val="20"/>
              </w:rPr>
              <w:t>Use the agreed sample set, concurrency and on-premises baseline. Record throughput, latency and error rate. Mark smoke-test completion separately from full regression/UAT approval.</w:t>
            </w:r>
          </w:p>
        </w:tc>
      </w:tr>
    </w:tbl>
    <w:p>
      <w:r>
        <w:t>Stage assets and test data while infrastructure work proceeds when approved connectivity and storage are available. Keep Hyperscience testing separate from DataWalk testing. Do not add a live cross-application integration to this pilot without a scope decision.</w:t>
      </w:r>
    </w:p>
    <w:p>
      <w:pPr>
        <w:pStyle w:val="Heading2"/>
      </w:pPr>
      <w:r>
        <w:t>Troubleshooting and recovery</w:t>
      </w:r>
    </w:p>
    <w:p>
      <w:r>
        <w:t>For startup failures, inspect rootful container status/logs, free space, mounts, swap, SELinux labels and .env completeness. For login failures, check license URL, TLS and trusted origins. For trainer failures, check private DNS, CA trust and API permissions. For GPU failures, compare host visibility with container access and the selected model requirements.</w:t>
      </w:r>
    </w:p>
    <w:p>
      <w:r>
        <w:t>Before configuration changes, preserve the current configuration securely and use the agreed application-consistent DB/file backup process. Stop on checksum mismatch, unintended public exposure or missing security approval. Record the failed step and escalate to the responsible owner; do not wipe volumes or reset databases to troubleshoot.</w:t>
      </w:r>
    </w:p>
    <w:p>
      <w:r>
        <w:t>Handoff: John supplies the resource inventory and operating owner; MSS supplies test results and acceptance; Mo records open issues and the funding decision. Production architecture, accreditation and ongoing funding remain separate approvals. Use the approved shutdown/cleanup plan after the pilot, preserving required evidence and data before deletion.</w:t>
      </w:r>
    </w:p>
    <w:p>
      <w:r>
        <w:br w:type="page"/>
      </w:r>
    </w:p>
    <w:p>
      <w:pPr>
        <w:pStyle w:val="Heading1"/>
      </w:pPr>
      <w:r>
        <w:t>7. Source map and execution record</w:t>
      </w:r>
    </w:p>
    <w:p>
      <w:r>
        <w:t>Official pages checked 16 October 2026. These are living documents. The selected release and bundle-specific instructions take precedence over generic examples after Chase confirms compatibility. Project decisions come from the discovery calls and are not vendor guarantees.</w:t>
      </w:r>
    </w:p>
    <w:p>
      <w:pPr>
        <w:spacing w:after="100"/>
      </w:pPr>
      <w:r>
        <w:rPr>
          <w:sz w:val="18"/>
        </w:rPr>
        <w:t>[1] Docker/Podman collection</w:t>
        <w:br/>
        <w:t>https://help.hyperscience.ai/deployment/docs/docker-podman</w:t>
      </w:r>
    </w:p>
    <w:p>
      <w:pPr>
        <w:spacing w:after="100"/>
      </w:pPr>
      <w:r>
        <w:rPr>
          <w:sz w:val="18"/>
        </w:rPr>
        <w:t>[2] TVE (POC) Infrastructure Requirements</w:t>
        <w:br/>
        <w:t>https://help.hyperscience.ai/deployment/docs/tve-poc-infrastructure-requirements</w:t>
      </w:r>
    </w:p>
    <w:p>
      <w:pPr>
        <w:spacing w:after="100"/>
      </w:pPr>
      <w:r>
        <w:rPr>
          <w:sz w:val="18"/>
        </w:rPr>
        <w:t>[3] Infrastructure Requirements — select the pinned release</w:t>
        <w:br/>
        <w:t>https://help.hyperscience.ai/deployment/docs/infrastructure-requirements</w:t>
      </w:r>
    </w:p>
    <w:p>
      <w:pPr>
        <w:spacing w:after="100"/>
      </w:pPr>
      <w:r>
        <w:rPr>
          <w:sz w:val="18"/>
        </w:rPr>
        <w:t>[4] Hyperscience Infrastructure Prerequisites</w:t>
        <w:br/>
        <w:t>https://help.hyperscience.ai/deployment/docs/hyperscience-infrastructure-prerequisites</w:t>
      </w:r>
    </w:p>
    <w:p>
      <w:pPr>
        <w:spacing w:after="100"/>
      </w:pPr>
      <w:r>
        <w:rPr>
          <w:sz w:val="18"/>
        </w:rPr>
        <w:t>[5] Hyperscience Virtual Machine Prerequisites</w:t>
        <w:br/>
        <w:t>https://help.hyperscience.ai/deployment/docs/hyperscience-virtual-machine-prerequisites</w:t>
      </w:r>
    </w:p>
    <w:p>
      <w:pPr>
        <w:spacing w:after="100"/>
      </w:pPr>
      <w:r>
        <w:rPr>
          <w:sz w:val="18"/>
        </w:rPr>
        <w:t>[6] Configuring Podman in RHEL 8</w:t>
        <w:br/>
        <w:t>https://help.hyperscience.ai/deployment/docs/configuring-podman-in-rhel-8</w:t>
      </w:r>
    </w:p>
    <w:p>
      <w:pPr>
        <w:spacing w:after="100"/>
      </w:pPr>
      <w:r>
        <w:rPr>
          <w:sz w:val="18"/>
        </w:rPr>
        <w:t>[7] Application GPUs in Podman deployments</w:t>
        <w:br/>
        <w:t>https://help.hyperscience.ai/deployment/docs/enabling-application-machines-with-gpus-in-on-premise-podman-deployments</w:t>
      </w:r>
    </w:p>
    <w:p>
      <w:pPr>
        <w:spacing w:after="100"/>
      </w:pPr>
      <w:r>
        <w:rPr>
          <w:sz w:val="18"/>
        </w:rPr>
        <w:t>[8] TVE (POC) Installation Instructions</w:t>
        <w:br/>
        <w:t>https://help.hyperscience.ai/deployment/docs/tve-poc-installation-instructions</w:t>
      </w:r>
    </w:p>
    <w:p>
      <w:pPr>
        <w:spacing w:after="100"/>
      </w:pPr>
      <w:r>
        <w:rPr>
          <w:sz w:val="18"/>
        </w:rPr>
        <w:t>[9] Technical Installation Instructions</w:t>
        <w:br/>
        <w:t>https://help.hyperscience.ai/deployment/docs/technical-installation-upgrade-instructions</w:t>
      </w:r>
    </w:p>
    <w:p>
      <w:pPr>
        <w:spacing w:after="100"/>
      </w:pPr>
      <w:r>
        <w:rPr>
          <w:sz w:val="18"/>
        </w:rPr>
        <w:t>[10] Editing .env and running the application</w:t>
        <w:br/>
        <w:t>https://help.hyperscience.ai/deployment/docs/editing-the-env-file-and-running-the-application</w:t>
      </w:r>
    </w:p>
    <w:p>
      <w:pPr>
        <w:pStyle w:val="Heading2"/>
      </w:pPr>
      <w:r>
        <w:t>Complete during the build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2448"/>
        <w:gridCol w:w="4320"/>
      </w:tblGrid>
      <w:tr>
        <w:trPr>
          <w:cantSplit/>
          <w:tblHeader/>
        </w:trPr>
        <w:tc>
          <w:tcPr>
            <w:tcW w:type="dxa" w:w="3312"/>
          </w:tcPr>
          <w:p>
            <w:pPr>
              <w:spacing w:after="100" w:before="80"/>
            </w:pPr>
            <w:r>
              <w:rPr>
                <w:b/>
                <w:sz w:val="20"/>
              </w:rPr>
              <w:t>Step / gate</w:t>
            </w:r>
          </w:p>
        </w:tc>
        <w:tc>
          <w:tcPr>
            <w:tcW w:type="dxa" w:w="2448"/>
          </w:tcPr>
          <w:p>
            <w:pPr>
              <w:spacing w:after="100" w:before="80"/>
            </w:pPr>
            <w:r>
              <w:rPr>
                <w:b/>
                <w:sz w:val="20"/>
              </w:rPr>
              <w:t>Operator / date</w:t>
            </w:r>
          </w:p>
        </w:tc>
        <w:tc>
          <w:tcPr>
            <w:tcW w:type="dxa" w:w="4320"/>
          </w:tcPr>
          <w:p>
            <w:pPr>
              <w:spacing w:after="100" w:before="80"/>
            </w:pPr>
            <w:r>
              <w:rPr>
                <w:b/>
                <w:sz w:val="20"/>
              </w:rPr>
              <w:t>Result / evidence reference</w:t>
            </w:r>
          </w:p>
        </w:tc>
      </w:tr>
      <w:tr>
        <w:trPr>
          <w:cantSplit/>
        </w:trPr>
        <w:tc>
          <w:tcPr>
            <w:tcW w:type="dxa" w:w="3312"/>
          </w:tcPr>
          <w:p>
            <w:pPr>
              <w:spacing w:after="100" w:before="80"/>
            </w:pPr>
            <w:r>
              <w:rPr>
                <w:b w:val="0"/>
                <w:sz w:val="20"/>
              </w:rPr>
              <w:t>Design decisions approved</w:t>
            </w:r>
          </w:p>
        </w:tc>
        <w:tc>
          <w:tcPr>
            <w:tcW w:type="dxa" w:w="2448"/>
          </w:tcPr>
          <w:p>
            <w:pPr>
              <w:spacing w:after="100" w:before="80"/>
            </w:pPr>
            <w:r>
              <w:rPr>
                <w:b w:val="0"/>
                <w:sz w:val="20"/>
              </w:rPr>
            </w:r>
          </w:p>
        </w:tc>
        <w:tc>
          <w:tcPr>
            <w:tcW w:type="dxa" w:w="4320"/>
          </w:tcPr>
          <w:p>
            <w:pPr>
              <w:spacing w:after="100" w:before="80"/>
            </w:pPr>
            <w:r>
              <w:rPr>
                <w:b w:val="0"/>
                <w:sz w:val="20"/>
              </w:rPr>
            </w:r>
          </w:p>
        </w:tc>
      </w:tr>
      <w:tr>
        <w:trPr>
          <w:cantSplit/>
        </w:trPr>
        <w:tc>
          <w:tcPr>
            <w:tcW w:type="dxa" w:w="3312"/>
          </w:tcPr>
          <w:p>
            <w:pPr>
              <w:spacing w:after="100" w:before="80"/>
            </w:pPr>
            <w:r>
              <w:rPr>
                <w:b w:val="0"/>
                <w:sz w:val="20"/>
              </w:rPr>
              <w:t>1–2 Access / OCI foundation</w:t>
            </w:r>
          </w:p>
        </w:tc>
        <w:tc>
          <w:tcPr>
            <w:tcW w:type="dxa" w:w="2448"/>
          </w:tcPr>
          <w:p>
            <w:pPr>
              <w:spacing w:after="100" w:before="80"/>
            </w:pPr>
            <w:r>
              <w:rPr>
                <w:b w:val="0"/>
                <w:sz w:val="20"/>
              </w:rPr>
            </w:r>
          </w:p>
        </w:tc>
        <w:tc>
          <w:tcPr>
            <w:tcW w:type="dxa" w:w="4320"/>
          </w:tcPr>
          <w:p>
            <w:pPr>
              <w:spacing w:after="100" w:before="80"/>
            </w:pPr>
            <w:r>
              <w:rPr>
                <w:b w:val="0"/>
                <w:sz w:val="20"/>
              </w:rPr>
            </w:r>
          </w:p>
        </w:tc>
      </w:tr>
      <w:tr>
        <w:trPr>
          <w:cantSplit/>
        </w:trPr>
        <w:tc>
          <w:tcPr>
            <w:tcW w:type="dxa" w:w="3312"/>
          </w:tcPr>
          <w:p>
            <w:pPr>
              <w:spacing w:after="100" w:before="80"/>
            </w:pPr>
            <w:r>
              <w:rPr>
                <w:b w:val="0"/>
                <w:sz w:val="20"/>
              </w:rPr>
              <w:t>3 Network / OS</w:t>
            </w:r>
          </w:p>
        </w:tc>
        <w:tc>
          <w:tcPr>
            <w:tcW w:type="dxa" w:w="2448"/>
          </w:tcPr>
          <w:p>
            <w:pPr>
              <w:spacing w:after="100" w:before="80"/>
            </w:pPr>
            <w:r>
              <w:rPr>
                <w:b w:val="0"/>
                <w:sz w:val="20"/>
              </w:rPr>
            </w:r>
          </w:p>
        </w:tc>
        <w:tc>
          <w:tcPr>
            <w:tcW w:type="dxa" w:w="4320"/>
          </w:tcPr>
          <w:p>
            <w:pPr>
              <w:spacing w:after="100" w:before="80"/>
            </w:pPr>
            <w:r>
              <w:rPr>
                <w:b w:val="0"/>
                <w:sz w:val="20"/>
              </w:rPr>
            </w:r>
          </w:p>
        </w:tc>
      </w:tr>
      <w:tr>
        <w:trPr>
          <w:cantSplit/>
        </w:trPr>
        <w:tc>
          <w:tcPr>
            <w:tcW w:type="dxa" w:w="3312"/>
          </w:tcPr>
          <w:p>
            <w:pPr>
              <w:spacing w:after="100" w:before="80"/>
            </w:pPr>
            <w:r>
              <w:rPr>
                <w:b w:val="0"/>
                <w:sz w:val="20"/>
              </w:rPr>
              <w:t>4–5 Podman / GPU</w:t>
            </w:r>
          </w:p>
        </w:tc>
        <w:tc>
          <w:tcPr>
            <w:tcW w:type="dxa" w:w="2448"/>
          </w:tcPr>
          <w:p>
            <w:pPr>
              <w:spacing w:after="100" w:before="80"/>
            </w:pPr>
            <w:r>
              <w:rPr>
                <w:b w:val="0"/>
                <w:sz w:val="20"/>
              </w:rPr>
            </w:r>
          </w:p>
        </w:tc>
        <w:tc>
          <w:tcPr>
            <w:tcW w:type="dxa" w:w="4320"/>
          </w:tcPr>
          <w:p>
            <w:pPr>
              <w:spacing w:after="100" w:before="80"/>
            </w:pPr>
            <w:r>
              <w:rPr>
                <w:b w:val="0"/>
                <w:sz w:val="20"/>
              </w:rPr>
            </w:r>
          </w:p>
        </w:tc>
      </w:tr>
      <w:tr>
        <w:trPr>
          <w:cantSplit/>
        </w:trPr>
        <w:tc>
          <w:tcPr>
            <w:tcW w:type="dxa" w:w="3312"/>
          </w:tcPr>
          <w:p>
            <w:pPr>
              <w:spacing w:after="100" w:before="80"/>
            </w:pPr>
            <w:r>
              <w:rPr>
                <w:b w:val="0"/>
                <w:sz w:val="20"/>
              </w:rPr>
              <w:t>6 Bundle transfer</w:t>
            </w:r>
          </w:p>
        </w:tc>
        <w:tc>
          <w:tcPr>
            <w:tcW w:type="dxa" w:w="2448"/>
          </w:tcPr>
          <w:p>
            <w:pPr>
              <w:spacing w:after="100" w:before="80"/>
            </w:pPr>
            <w:r>
              <w:rPr>
                <w:b w:val="0"/>
                <w:sz w:val="20"/>
              </w:rPr>
            </w:r>
          </w:p>
        </w:tc>
        <w:tc>
          <w:tcPr>
            <w:tcW w:type="dxa" w:w="4320"/>
          </w:tcPr>
          <w:p>
            <w:pPr>
              <w:spacing w:after="100" w:before="80"/>
            </w:pPr>
            <w:r>
              <w:rPr>
                <w:b w:val="0"/>
                <w:sz w:val="20"/>
              </w:rPr>
            </w:r>
          </w:p>
        </w:tc>
      </w:tr>
      <w:tr>
        <w:trPr>
          <w:cantSplit/>
        </w:trPr>
        <w:tc>
          <w:tcPr>
            <w:tcW w:type="dxa" w:w="3312"/>
          </w:tcPr>
          <w:p>
            <w:pPr>
              <w:spacing w:after="100" w:before="80"/>
            </w:pPr>
            <w:r>
              <w:rPr>
                <w:b w:val="0"/>
                <w:sz w:val="20"/>
              </w:rPr>
              <w:t>7 Application / license</w:t>
            </w:r>
          </w:p>
        </w:tc>
        <w:tc>
          <w:tcPr>
            <w:tcW w:type="dxa" w:w="2448"/>
          </w:tcPr>
          <w:p>
            <w:pPr>
              <w:spacing w:after="100" w:before="80"/>
            </w:pPr>
            <w:r>
              <w:rPr>
                <w:b w:val="0"/>
                <w:sz w:val="20"/>
              </w:rPr>
            </w:r>
          </w:p>
        </w:tc>
        <w:tc>
          <w:tcPr>
            <w:tcW w:type="dxa" w:w="4320"/>
          </w:tcPr>
          <w:p>
            <w:pPr>
              <w:spacing w:after="100" w:before="80"/>
            </w:pPr>
            <w:r>
              <w:rPr>
                <w:b w:val="0"/>
                <w:sz w:val="20"/>
              </w:rPr>
            </w:r>
          </w:p>
        </w:tc>
      </w:tr>
      <w:tr>
        <w:trPr>
          <w:cantSplit/>
        </w:trPr>
        <w:tc>
          <w:tcPr>
            <w:tcW w:type="dxa" w:w="3312"/>
          </w:tcPr>
          <w:p>
            <w:pPr>
              <w:spacing w:after="100" w:before="80"/>
            </w:pPr>
            <w:r>
              <w:rPr>
                <w:b w:val="0"/>
                <w:sz w:val="20"/>
              </w:rPr>
              <w:t>8 Trainer</w:t>
            </w:r>
          </w:p>
        </w:tc>
        <w:tc>
          <w:tcPr>
            <w:tcW w:type="dxa" w:w="2448"/>
          </w:tcPr>
          <w:p>
            <w:pPr>
              <w:spacing w:after="100" w:before="80"/>
            </w:pPr>
            <w:r>
              <w:rPr>
                <w:b w:val="0"/>
                <w:sz w:val="20"/>
              </w:rPr>
            </w:r>
          </w:p>
        </w:tc>
        <w:tc>
          <w:tcPr>
            <w:tcW w:type="dxa" w:w="4320"/>
          </w:tcPr>
          <w:p>
            <w:pPr>
              <w:spacing w:after="100" w:before="80"/>
            </w:pPr>
            <w:r>
              <w:rPr>
                <w:b w:val="0"/>
                <w:sz w:val="20"/>
              </w:rPr>
            </w:r>
          </w:p>
        </w:tc>
      </w:tr>
      <w:tr>
        <w:trPr>
          <w:cantSplit/>
        </w:trPr>
        <w:tc>
          <w:tcPr>
            <w:tcW w:type="dxa" w:w="3312"/>
          </w:tcPr>
          <w:p>
            <w:pPr>
              <w:spacing w:after="100" w:before="80"/>
            </w:pPr>
            <w:r>
              <w:rPr>
                <w:b w:val="0"/>
                <w:sz w:val="20"/>
              </w:rPr>
              <w:t>Tests / handoff</w:t>
            </w:r>
          </w:p>
        </w:tc>
        <w:tc>
          <w:tcPr>
            <w:tcW w:type="dxa" w:w="2448"/>
          </w:tcPr>
          <w:p>
            <w:pPr>
              <w:spacing w:after="100" w:before="80"/>
            </w:pPr>
            <w:r>
              <w:rPr>
                <w:b w:val="0"/>
                <w:sz w:val="20"/>
              </w:rPr>
            </w:r>
          </w:p>
        </w:tc>
        <w:tc>
          <w:tcPr>
            <w:tcW w:type="dxa" w:w="4320"/>
          </w:tcPr>
          <w:p>
            <w:pPr>
              <w:spacing w:after="100" w:before="80"/>
            </w:pPr>
            <w:r>
              <w:rPr>
                <w:b w:val="0"/>
                <w:sz w:val="20"/>
              </w:rPr>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Version 3.1  •  16 October 2026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MSAS  |  Hyperscience OCI POC  |  VM + Podman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