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260"/>
        <w:jc w:val="center"/>
      </w:pPr>
      <w:r>
        <w:rPr>
          <w:rFonts w:ascii="Calibri" w:hAnsi="Calibri"/>
          <w:b/>
          <w:color w:val="2E74B5"/>
          <w:sz w:val="21"/>
        </w:rPr>
        <w:t>CLOUD ARCHITECTURE PROPOSAL</w:t>
      </w:r>
    </w:p>
    <w:p>
      <w:pPr>
        <w:spacing w:after="160"/>
        <w:jc w:val="center"/>
      </w:pPr>
      <w:r>
        <w:rPr>
          <w:rFonts w:ascii="Calibri" w:hAnsi="Calibri"/>
          <w:b/>
          <w:color w:val="17365D"/>
          <w:sz w:val="50"/>
        </w:rPr>
        <w:t>Deploying DataWalk and Hyperscience</w:t>
      </w:r>
    </w:p>
    <w:p>
      <w:pPr>
        <w:spacing w:after="100"/>
        <w:jc w:val="center"/>
      </w:pPr>
      <w:r>
        <w:rPr>
          <w:rFonts w:ascii="Calibri" w:hAnsi="Calibri"/>
          <w:b/>
          <w:color w:val="1F4D78"/>
          <w:sz w:val="36"/>
        </w:rPr>
        <w:t>on OCI Using VM.GPU.A10.2</w:t>
      </w:r>
    </w:p>
    <w:p>
      <w:pPr>
        <w:spacing w:after="720"/>
        <w:jc w:val="center"/>
      </w:pPr>
      <w:r>
        <w:rPr>
          <w:rFonts w:ascii="Calibri" w:hAnsi="Calibri"/>
          <w:color w:val="5B6573"/>
          <w:sz w:val="23"/>
        </w:rPr>
        <w:t>Oracle Kubernetes Engine | OCI Government Cloud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Proposal detail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Compute shape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VM.GPU.A10.2 — two NVIDIA A10 GPUs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Container platform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Oracle Kubernetes Engine (OKE)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Target applications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DataWalk and Hyperscience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Environment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OCI Government Cloud / SCCA-aligned landing zone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Proposal date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August 18, 2026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1. Executive Summary</w:t>
      </w:r>
    </w:p>
    <w:p>
      <w:pPr/>
      <w:r>
        <w:rPr>
          <w:rFonts w:ascii="Calibri" w:hAnsi="Calibri"/>
          <w:color w:val="202124"/>
          <w:sz w:val="22"/>
        </w:rPr>
        <w:t xml:space="preserve">This proposal recommends deploying DataWalk and Hyperscience workloads on Oracle Cloud Infrastructure using Oracle Kubernetes Engine and the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compute shape.</w:t>
      </w:r>
    </w:p>
    <w:p>
      <w:pPr/>
      <w:r>
        <w:rPr>
          <w:rFonts w:ascii="Calibri" w:hAnsi="Calibri"/>
          <w:color w:val="202124"/>
          <w:sz w:val="22"/>
        </w:rPr>
        <w:t xml:space="preserve">The proposed solution specifically uses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. It does not use </w:t>
      </w:r>
      <w:r>
        <w:rPr>
          <w:rFonts w:ascii="Courier New" w:hAnsi="Courier New"/>
          <w:color w:val="1F4D78"/>
          <w:sz w:val="20"/>
        </w:rPr>
        <w:t>VM.GPU.A10.1</w:t>
      </w:r>
      <w:r>
        <w:rPr>
          <w:rFonts w:ascii="Calibri" w:hAnsi="Calibri"/>
          <w:color w:val="202124"/>
          <w:sz w:val="22"/>
        </w:rPr>
        <w:t>.</w:t>
      </w:r>
    </w:p>
    <w:p>
      <w:pPr/>
      <w:r>
        <w:rPr>
          <w:rFonts w:ascii="Calibri" w:hAnsi="Calibri"/>
          <w:color w:val="202124"/>
          <w:sz w:val="22"/>
        </w:rPr>
        <w:t xml:space="preserve">Each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instance provides: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VM.GPU.A10.2 specification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NVIDIA GPUs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2 × NVIDIA A10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Memory per GPU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24 GB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Total GPU memory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48 GB across two physical GPUs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CPU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30 OCPUs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System memory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480 GB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Network bandwidth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Up to 48 Gbps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Local storage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Block storage only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202124"/>
          <w:sz w:val="22"/>
        </w:rPr>
        <w:t xml:space="preserve">Oracle publishes these specifications in its official </w:t>
      </w:r>
      <w:hyperlink r:id="rId12">
        <w:r>
          <w:rPr>
            <w:rFonts w:ascii="Calibri" w:hAnsi="Calibri"/>
            <w:color w:val="2E74B5"/>
            <w:u w:val="single"/>
            <w:sz w:val="22"/>
          </w:rPr>
          <w:t>OCI Compute Shapes documentation</w:t>
        </w:r>
      </w:hyperlink>
      <w:r>
        <w:rPr>
          <w:rFonts w:ascii="Calibri" w:hAnsi="Calibri"/>
          <w:color w:val="202124"/>
          <w:sz w:val="22"/>
        </w:rPr>
        <w:t>.</w:t>
      </w:r>
    </w:p>
    <w:p>
      <w:pPr/>
      <w:r>
        <w:rPr>
          <w:rFonts w:ascii="Calibri" w:hAnsi="Calibri"/>
          <w:color w:val="202124"/>
          <w:sz w:val="22"/>
        </w:rPr>
        <w:t xml:space="preserve">Oracle also explicitly instructs customers to deploy an OKE GPU node pool using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, confirming that Kubernetes workloads can run on this shape through managed OKE worker nodes. See Oracle’s </w:t>
      </w:r>
      <w:hyperlink r:id="rId13">
        <w:r>
          <w:rPr>
            <w:rFonts w:ascii="Calibri" w:hAnsi="Calibri"/>
            <w:color w:val="2E74B5"/>
            <w:u w:val="single"/>
            <w:sz w:val="22"/>
          </w:rPr>
          <w:t>Managing Specialized Hardware Devices on Worker Nodes</w:t>
        </w:r>
      </w:hyperlink>
      <w:r>
        <w:rPr>
          <w:rFonts w:ascii="Calibri" w:hAnsi="Calibri"/>
          <w:color w:val="202124"/>
          <w:sz w:val="22"/>
        </w:rPr>
        <w:t>.</w:t>
      </w:r>
    </w:p>
    <w:p>
      <w:pPr/>
      <w:r>
        <w:rPr>
          <w:rFonts w:ascii="Calibri" w:hAnsi="Calibri"/>
          <w:color w:val="202124"/>
          <w:sz w:val="22"/>
        </w:rPr>
        <w:t>Approval is recommended for a controlled proof of concept followed by production deployment after vendor sizing, operating-system compatibility, driver compatibility, performance, security, and capacity validation.</w:t>
      </w:r>
    </w:p>
    <w:p>
      <w:pPr>
        <w:pStyle w:val="Heading1"/>
        <w:keepNext/>
        <w:keepLines/>
      </w:pPr>
      <w:r>
        <w:t>2. Business Objective</w:t>
      </w:r>
    </w:p>
    <w:p>
      <w:pPr/>
      <w:r>
        <w:rPr>
          <w:rFonts w:ascii="Calibri" w:hAnsi="Calibri"/>
          <w:color w:val="202124"/>
          <w:sz w:val="22"/>
        </w:rPr>
        <w:t>The proposed solution establishes a common OCI Kubernetes platform capable of supporting: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DataWalk knowledge-graph, data-integration, analytics, and investigative workloads.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Hyperscience document processing, model training, Long-form Extraction, and ORCA workloads.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GPU-accelerated AI training and inference.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Environment separation for Development, Test, and Production.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Elastic scaling without procuring additional physical GPU servers.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Centralized monitoring, logging, vulnerability management, patching, and audit evidence.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A full OCI destination while supporting the previously selected staged hybrid migration approach.</w:t>
      </w:r>
    </w:p>
    <w:p>
      <w:pPr/>
      <w:r>
        <w:rPr>
          <w:rFonts w:ascii="Calibri" w:hAnsi="Calibri"/>
          <w:color w:val="202124"/>
          <w:sz w:val="22"/>
        </w:rPr>
        <w:t>The architecture reduces dependence on dedicated on-premises infrastructure while providing a controlled path for modernizing both applications.</w:t>
      </w:r>
    </w:p>
    <w:p>
      <w:pPr>
        <w:pStyle w:val="Heading1"/>
        <w:keepNext/>
        <w:keepLines/>
      </w:pPr>
      <w:r>
        <w:t>3. Why VM.GPU.A10.2 Is the Recommended Shape</w:t>
      </w:r>
    </w:p>
    <w:p>
      <w:pPr/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provides a balanced combination of GPU, CPU, memory, and network resources.</w:t>
      </w:r>
    </w:p>
    <w:p>
      <w:pPr/>
      <w:r>
        <w:rPr>
          <w:rFonts w:ascii="Calibri" w:hAnsi="Calibri"/>
          <w:color w:val="202124"/>
          <w:sz w:val="22"/>
        </w:rPr>
        <w:t xml:space="preserve">The shape offers two NVIDIA A10 GPUs, compared with the single GPU provided by </w:t>
      </w:r>
      <w:r>
        <w:rPr>
          <w:rFonts w:ascii="Courier New" w:hAnsi="Courier New"/>
          <w:color w:val="1F4D78"/>
          <w:sz w:val="20"/>
        </w:rPr>
        <w:t>VM.GPU.A10.1</w:t>
      </w:r>
      <w:r>
        <w:rPr>
          <w:rFonts w:ascii="Calibri" w:hAnsi="Calibri"/>
          <w:color w:val="202124"/>
          <w:sz w:val="22"/>
        </w:rPr>
        <w:t>. This allows Kubernetes to schedule separate GPU workloads on the same worker node or allocate both GPUs to one workload when the application supports multi-GPU processing.</w:t>
      </w:r>
    </w:p>
    <w:p>
      <w:pPr/>
      <w:r>
        <w:rPr>
          <w:rFonts w:ascii="Calibri" w:hAnsi="Calibri"/>
          <w:color w:val="202124"/>
          <w:sz w:val="22"/>
        </w:rPr>
        <w:t xml:space="preserve">The NVIDIA A10 provides 24 GB of GDDR6 memory, 600 GB/s memory bandwidth, Tensor Cores, and support for AI training and inference. These specifications are published by </w:t>
      </w:r>
      <w:hyperlink r:id="rId14">
        <w:r>
          <w:rPr>
            <w:rFonts w:ascii="Calibri" w:hAnsi="Calibri"/>
            <w:color w:val="2E74B5"/>
            <w:u w:val="single"/>
            <w:sz w:val="22"/>
          </w:rPr>
          <w:t>NVIDIA’s official A10 product documentation</w:t>
        </w:r>
      </w:hyperlink>
      <w:r>
        <w:rPr>
          <w:rFonts w:ascii="Calibri" w:hAnsi="Calibri"/>
          <w:color w:val="202124"/>
          <w:sz w:val="22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5A00"/>
                <w:sz w:val="19"/>
              </w:rPr>
              <w:t>IMPORTANT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The two 24 GB GPUs are discrete devices. They should not automatically be treated as one contiguous 48 GB GPU. A workload can use both GPUs only when the software supports multi-GPU execution. This must be validated with each vendor.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Oracle Kubernetes Support Confirmation</w:t>
      </w:r>
    </w:p>
    <w:p>
      <w:pPr/>
      <w:r>
        <w:rPr>
          <w:rFonts w:ascii="Calibri" w:hAnsi="Calibri"/>
          <w:color w:val="202124"/>
          <w:sz w:val="22"/>
        </w:rPr>
        <w:t>Oracle’s documentation provides direct proof that OKE supports this configuration: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202124"/>
          <w:sz w:val="22"/>
        </w:rPr>
        <w:t>Oracle states that OKE managed node pools support available OCI virtual-machine and bare-metal GPU shapes.</w:t>
      </w:r>
    </w:p>
    <w:p>
      <w:pPr/>
      <w:hyperlink r:id="rId15">
        <w:r>
          <w:rPr>
            <w:rFonts w:ascii="Calibri" w:hAnsi="Calibri"/>
            <w:color w:val="2E74B5"/>
            <w:u w:val="single"/>
            <w:sz w:val="22"/>
          </w:rPr>
          <w:t>Oracle: Running Applications on GPU-Based Nodes</w:t>
        </w:r>
      </w:hyperlink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202124"/>
          <w:sz w:val="22"/>
        </w:rPr>
        <w:t xml:space="preserve">Oracle explicitly identifies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as an example shape for an OKE GPU node pool.</w:t>
      </w:r>
    </w:p>
    <w:p>
      <w:pPr/>
      <w:hyperlink r:id="rId13">
        <w:r>
          <w:rPr>
            <w:rFonts w:ascii="Calibri" w:hAnsi="Calibri"/>
            <w:color w:val="2E74B5"/>
            <w:u w:val="single"/>
            <w:sz w:val="22"/>
          </w:rPr>
          <w:t>Oracle: Managing Specialized Hardware Devices on Worker Nodes</w:t>
        </w:r>
      </w:hyperlink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202124"/>
          <w:sz w:val="22"/>
        </w:rPr>
        <w:t>Oracle provides an NVIDIA GPU Operator add-on that manages the NVIDIA device plugin, NVIDIA Container Toolkit, GPU monitoring, and related Kubernetes components.</w:t>
      </w:r>
    </w:p>
    <w:p>
      <w:pPr/>
      <w:hyperlink r:id="rId16">
        <w:r>
          <w:rPr>
            <w:rFonts w:ascii="Calibri" w:hAnsi="Calibri"/>
            <w:color w:val="2E74B5"/>
            <w:u w:val="single"/>
            <w:sz w:val="22"/>
          </w:rPr>
          <w:t>Oracle: OKE Cluster Add-ons</w:t>
        </w:r>
      </w:hyperlink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202124"/>
          <w:sz w:val="22"/>
        </w:rPr>
        <w:t xml:space="preserve">Oracle documents Kubernetes pod requests using the standard </w:t>
      </w:r>
      <w:r>
        <w:rPr>
          <w:rFonts w:ascii="Courier New" w:hAnsi="Courier New"/>
          <w:color w:val="1F4D78"/>
          <w:sz w:val="20"/>
        </w:rPr>
        <w:t>nvidia.com/gpu</w:t>
      </w:r>
      <w:r>
        <w:rPr>
          <w:rFonts w:ascii="Calibri" w:hAnsi="Calibri"/>
          <w:color w:val="202124"/>
          <w:sz w:val="22"/>
        </w:rPr>
        <w:t xml:space="preserve"> resource.</w:t>
      </w:r>
    </w:p>
    <w:p>
      <w:pPr/>
      <w:hyperlink r:id="rId15">
        <w:r>
          <w:rPr>
            <w:rFonts w:ascii="Calibri" w:hAnsi="Calibri"/>
            <w:color w:val="2E74B5"/>
            <w:u w:val="single"/>
            <w:sz w:val="22"/>
          </w:rPr>
          <w:t>Oracle: Running Applications on GPU-Based Nodes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7F4EA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6B3A"/>
                <w:sz w:val="19"/>
              </w:rPr>
              <w:t>PLATFORM FEASIBILITY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 xml:space="preserve">Therefore, the platform-level feasibility of using Kubernetes on </w:t>
            </w:r>
            <w:r>
              <w:rPr>
                <w:rFonts w:ascii="Courier New" w:hAnsi="Courier New"/>
                <w:color w:val="1F4D78"/>
                <w:sz w:val="19"/>
              </w:rPr>
              <w:t>VM.GPU.A10.2</w:t>
            </w:r>
            <w:r>
              <w:rPr>
                <w:rFonts w:ascii="Calibri" w:hAnsi="Calibri"/>
                <w:color w:val="202124"/>
                <w:sz w:val="21"/>
              </w:rPr>
              <w:t xml:space="preserve"> is confirmed by Oracle.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5. Proposed DataWalk Deployment</w:t>
      </w:r>
    </w:p>
    <w:p>
      <w:pPr/>
      <w:r>
        <w:rPr>
          <w:rFonts w:ascii="Calibri" w:hAnsi="Calibri"/>
          <w:color w:val="202124"/>
          <w:sz w:val="22"/>
        </w:rPr>
        <w:t>DataWalk 5.1 supports container and non-container deployments. DataWalk also directs customers toward Kubernetes-based container infrastructure and requires Kubernetes/container-trained administrators.</w:t>
      </w:r>
    </w:p>
    <w:p>
      <w:pPr/>
      <w:r>
        <w:rPr>
          <w:rFonts w:ascii="Calibri" w:hAnsi="Calibri"/>
          <w:color w:val="202124"/>
          <w:sz w:val="22"/>
        </w:rPr>
        <w:t xml:space="preserve">Official source: </w:t>
      </w:r>
      <w:hyperlink r:id="rId17">
        <w:r>
          <w:rPr>
            <w:rFonts w:ascii="Calibri" w:hAnsi="Calibri"/>
            <w:color w:val="2E74B5"/>
            <w:u w:val="single"/>
            <w:sz w:val="22"/>
          </w:rPr>
          <w:t>DataWalk – Preparing for DataWalk on Containers</w:t>
        </w:r>
      </w:hyperlink>
      <w:r>
        <w:rPr>
          <w:rFonts w:ascii="Calibri" w:hAnsi="Calibri"/>
          <w:color w:val="202124"/>
          <w:sz w:val="22"/>
        </w:rPr>
        <w:t>.</w:t>
      </w:r>
    </w:p>
    <w:p>
      <w:pPr/>
      <w:r>
        <w:rPr>
          <w:rFonts w:ascii="Calibri" w:hAnsi="Calibri"/>
          <w:color w:val="202124"/>
          <w:sz w:val="22"/>
        </w:rPr>
        <w:t>DataWalk’s public documentation states that a typical minimum implementation includes Application, Integration, Compute, and Management server functions. It also supports scale-out by adding Compute Nodes.</w:t>
      </w:r>
    </w:p>
    <w:p>
      <w:pPr/>
      <w:r>
        <w:rPr>
          <w:rFonts w:ascii="Calibri" w:hAnsi="Calibri"/>
          <w:color w:val="202124"/>
          <w:sz w:val="22"/>
        </w:rPr>
        <w:t xml:space="preserve">Official source: </w:t>
      </w:r>
      <w:hyperlink r:id="rId18">
        <w:r>
          <w:rPr>
            <w:rFonts w:ascii="Calibri" w:hAnsi="Calibri"/>
            <w:color w:val="2E74B5"/>
            <w:u w:val="single"/>
            <w:sz w:val="22"/>
          </w:rPr>
          <w:t>DataWalk Frequently Asked Questions</w:t>
        </w:r>
      </w:hyperlink>
      <w:r>
        <w:rPr>
          <w:rFonts w:ascii="Calibri" w:hAnsi="Calibri"/>
          <w:color w:val="202124"/>
          <w:sz w:val="22"/>
        </w:rPr>
        <w:t>.</w:t>
      </w:r>
    </w:p>
    <w:p>
      <w:pPr>
        <w:pStyle w:val="Heading2"/>
        <w:keepNext/>
        <w:keepLines/>
      </w:pPr>
      <w:r>
        <w:t>Proposed DataWalk use of A10.2</w:t>
      </w:r>
    </w:p>
    <w:p>
      <w:pPr/>
      <w:r>
        <w:rPr>
          <w:rFonts w:ascii="Calibri" w:hAnsi="Calibri"/>
          <w:color w:val="202124"/>
          <w:sz w:val="22"/>
        </w:rPr>
        <w:t xml:space="preserve">DataWalk would be deployed as containerized services on a dedicated OKE node pool using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>.</w:t>
      </w:r>
    </w:p>
    <w:p>
      <w:pPr/>
      <w:r>
        <w:rPr>
          <w:rFonts w:ascii="Calibri" w:hAnsi="Calibri"/>
          <w:color w:val="202124"/>
          <w:sz w:val="22"/>
        </w:rPr>
        <w:t>The shape provides substantial resources for DataWalk: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30 OCPUs per node.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480 GB of system memory.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Up to 48 Gbps of network bandwidth.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Two NVIDIA A10 GPUs available for approved AI or machine-learning components.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Scale-out through additional Kubernetes worker nodes.</w:t>
      </w:r>
    </w:p>
    <w:p>
      <w:pPr/>
      <w:r>
        <w:rPr>
          <w:rFonts w:ascii="Calibri" w:hAnsi="Calibri"/>
          <w:color w:val="202124"/>
          <w:sz w:val="22"/>
        </w:rPr>
        <w:t>The current production planning baseline should remain three DataWalk worker nodes distributed across OCI fault domains, subject to final DataWalk vendor sizing.</w:t>
      </w:r>
    </w:p>
    <w:p>
      <w:pPr>
        <w:pStyle w:val="Heading2"/>
        <w:keepNext/>
        <w:keepLines/>
      </w:pPr>
      <w:r>
        <w:t>DataWalk qualification</w:t>
      </w:r>
    </w:p>
    <w:p>
      <w:pPr/>
      <w:r>
        <w:rPr>
          <w:rFonts w:ascii="Calibri" w:hAnsi="Calibri"/>
          <w:color w:val="202124"/>
          <w:sz w:val="22"/>
        </w:rPr>
        <w:t>DataWalk publicly confirms Kubernetes/container deployment, cloud deployment, virtualization, and scale-out architecture. However, the public sources reviewed do not expressly confirm that its core knowledge-graph engine uses NVIDIA A10 GPU acceleration.</w:t>
      </w:r>
    </w:p>
    <w:p>
      <w:pPr/>
      <w:r>
        <w:rPr>
          <w:rFonts w:ascii="Calibri" w:hAnsi="Calibri"/>
          <w:color w:val="202124"/>
          <w:sz w:val="22"/>
        </w:rPr>
        <w:t>The proposal therefore distinguishes between: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/>
          <w:color w:val="202124"/>
          <w:sz w:val="22"/>
        </w:rPr>
        <w:t>Confirmed:</w:t>
      </w:r>
      <w:r>
        <w:rPr>
          <w:rFonts w:ascii="Calibri" w:hAnsi="Calibri"/>
          <w:color w:val="202124"/>
          <w:sz w:val="22"/>
        </w:rPr>
        <w:t xml:space="preserve"> DataWalk can be containerized and deployed using Kubernetes.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/>
          <w:color w:val="202124"/>
          <w:sz w:val="22"/>
        </w:rPr>
        <w:t>Confirmed:</w:t>
      </w:r>
      <w:r>
        <w:rPr>
          <w:rFonts w:ascii="Calibri" w:hAnsi="Calibri"/>
          <w:color w:val="202124"/>
          <w:sz w:val="22"/>
        </w:rPr>
        <w:t xml:space="preserve"> DataWalk can use the CPU, memory, networking, and storage resources of an A10.2 worker node.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/>
          <w:color w:val="202124"/>
          <w:sz w:val="22"/>
        </w:rPr>
        <w:t>Pending vendor confirmation:</w:t>
      </w:r>
      <w:r>
        <w:rPr>
          <w:rFonts w:ascii="Calibri" w:hAnsi="Calibri"/>
          <w:color w:val="202124"/>
          <w:sz w:val="22"/>
        </w:rPr>
        <w:t xml:space="preserve"> Which DataWalk components can directly consume the A10 GPUs.</w:t>
      </w:r>
    </w:p>
    <w:p>
      <w:pPr/>
      <w:r>
        <w:rPr>
          <w:rFonts w:ascii="Calibri" w:hAnsi="Calibri"/>
          <w:color w:val="202124"/>
          <w:sz w:val="22"/>
        </w:rPr>
        <w:t>GPU performance benefits must not be included in the DataWalk business case until DataWalk confirms its supported CUDA, GPU, and container configuration.</w:t>
      </w:r>
    </w:p>
    <w:p>
      <w:pPr/>
      <w:r>
        <w:rPr>
          <w:rFonts w:ascii="Calibri" w:hAnsi="Calibri"/>
          <w:color w:val="202124"/>
          <w:sz w:val="22"/>
        </w:rPr>
        <w:t>DataWalk also lists RHEL 8.10 or Rocky Linux 8 as minimum operating-system requirements for its container transition. Compatibility between these requirements and the selected OKE worker-node image must be confirmed with DataWalk before production deployment.</w:t>
      </w:r>
    </w:p>
    <w:p>
      <w:pPr>
        <w:pStyle w:val="Heading1"/>
        <w:keepNext/>
        <w:keepLines/>
      </w:pPr>
      <w:r>
        <w:t>6. Proposed Hyperscience Deployment</w:t>
      </w:r>
    </w:p>
    <w:p>
      <w:pPr/>
      <w:r>
        <w:rPr>
          <w:rFonts w:ascii="Calibri" w:hAnsi="Calibri"/>
          <w:color w:val="202124"/>
          <w:sz w:val="22"/>
        </w:rPr>
        <w:t>Hyperscience provides direct support for GPU-enabled trainers in Kubernetes deployments. GPU trainers are supported in Hyperscience version 41 and later.</w:t>
      </w:r>
    </w:p>
    <w:p>
      <w:pPr/>
      <w:r>
        <w:rPr>
          <w:rFonts w:ascii="Calibri" w:hAnsi="Calibri"/>
          <w:color w:val="202124"/>
          <w:sz w:val="22"/>
        </w:rPr>
        <w:t>Hyperscience identifies GPU-enabled trainers for: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Long-form Extraction model training.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Field Identification training.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Table Identification training.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ORCA model-definition training.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ORCA VLM inference on GPU-enabled application machines.</w:t>
      </w:r>
    </w:p>
    <w:p>
      <w:pPr/>
      <w:r>
        <w:rPr>
          <w:rFonts w:ascii="Calibri" w:hAnsi="Calibri"/>
          <w:color w:val="202124"/>
          <w:sz w:val="22"/>
        </w:rPr>
        <w:t xml:space="preserve">Official source: </w:t>
      </w:r>
      <w:hyperlink r:id="rId19">
        <w:r>
          <w:rPr>
            <w:rFonts w:ascii="Calibri" w:hAnsi="Calibri"/>
            <w:color w:val="2E74B5"/>
            <w:u w:val="single"/>
            <w:sz w:val="22"/>
          </w:rPr>
          <w:t>Hyperscience – Kubernetes Installation Overview</w:t>
        </w:r>
      </w:hyperlink>
      <w:r>
        <w:rPr>
          <w:rFonts w:ascii="Calibri" w:hAnsi="Calibri"/>
          <w:color w:val="202124"/>
          <w:sz w:val="22"/>
        </w:rPr>
        <w:t>.</w:t>
      </w:r>
    </w:p>
    <w:p>
      <w:pPr/>
      <w:r>
        <w:rPr>
          <w:rFonts w:ascii="Calibri" w:hAnsi="Calibri"/>
          <w:color w:val="202124"/>
          <w:sz w:val="22"/>
        </w:rPr>
        <w:t>Hyperscience specifically lists the NVIDIA A10 as a supported GPU with: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Compute capability 8.6.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24 GB GPU memory.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Support beginning with applicable 42.x releases.</w:t>
      </w:r>
    </w:p>
    <w:p>
      <w:pPr/>
      <w:r>
        <w:rPr>
          <w:rFonts w:ascii="Calibri" w:hAnsi="Calibri"/>
          <w:color w:val="202124"/>
          <w:sz w:val="22"/>
        </w:rPr>
        <w:t>Hyperscience requires at least 24 GB of VRAM for ORCA training and recommends 48 GB for certain training workloads. It requires at least 24 GB for ORCA VLM inference.</w:t>
      </w:r>
    </w:p>
    <w:p>
      <w:pPr>
        <w:pStyle w:val="Heading2"/>
        <w:keepNext/>
        <w:keepLines/>
      </w:pPr>
      <w:r>
        <w:t>Proposed Hyperscience use of A10.2</w:t>
      </w:r>
    </w:p>
    <w:p>
      <w:pPr/>
      <w:r>
        <w:rPr>
          <w:rFonts w:ascii="Calibri" w:hAnsi="Calibri"/>
          <w:color w:val="202124"/>
          <w:sz w:val="22"/>
        </w:rPr>
        <w:t xml:space="preserve">The two GPUs on each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worker can support: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Two pods, each requesting one A10 GPU and receiving 24 GB of VRAM.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A trainer pod requesting both GPUs when supported by the applicable Hyperscience component.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Separation of training and inference workloads.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 xml:space="preserve">Increased concurrency compared with </w:t>
      </w:r>
      <w:r>
        <w:rPr>
          <w:rFonts w:ascii="Courier New" w:hAnsi="Courier New"/>
          <w:color w:val="1F4D78"/>
          <w:sz w:val="20"/>
        </w:rPr>
        <w:t>VM.GPU.A10.1</w:t>
      </w:r>
      <w:r>
        <w:rPr>
          <w:rFonts w:ascii="Calibri" w:hAnsi="Calibri"/>
          <w:color w:val="202124"/>
          <w:sz w:val="22"/>
        </w:rPr>
        <w:t>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Maintenance flexibility by moving workloads between GPU worker nodes.</w:t>
      </w:r>
    </w:p>
    <w:p>
      <w:pPr/>
      <w:r>
        <w:rPr>
          <w:rFonts w:ascii="Calibri" w:hAnsi="Calibri"/>
          <w:color w:val="202124"/>
          <w:sz w:val="22"/>
        </w:rPr>
        <w:t xml:space="preserve">Production should begin with two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GPU worker nodes across separate fault domains. This provides four A10 GPUs across the node pool and protects the environment from a single worker-node failure.</w:t>
      </w:r>
    </w:p>
    <w:p>
      <w:pPr/>
      <w:r>
        <w:rPr>
          <w:rFonts w:ascii="Calibri" w:hAnsi="Calibri"/>
          <w:color w:val="202124"/>
          <w:sz w:val="22"/>
        </w:rPr>
        <w:t>A single A10.2 node may be used for Development or proof-of-concept testing where high availability is not required.</w:t>
      </w:r>
    </w:p>
    <w:p>
      <w:pPr/>
      <w:r>
        <w:rPr>
          <w:rFonts w:ascii="Calibri" w:hAnsi="Calibri"/>
          <w:color w:val="202124"/>
          <w:sz w:val="22"/>
        </w:rPr>
        <w:t xml:space="preserve">Hyperscience’s official Kubernetes GPU configuration instructions are available at </w:t>
      </w:r>
      <w:hyperlink r:id="rId20">
        <w:r>
          <w:rPr>
            <w:rFonts w:ascii="Calibri" w:hAnsi="Calibri"/>
            <w:color w:val="2E74B5"/>
            <w:u w:val="single"/>
            <w:sz w:val="22"/>
          </w:rPr>
          <w:t>Enabling Trainers with GPUs in Kubernetes Deployments</w:t>
        </w:r>
      </w:hyperlink>
      <w:r>
        <w:rPr>
          <w:rFonts w:ascii="Calibri" w:hAnsi="Calibri"/>
          <w:color w:val="202124"/>
          <w:sz w:val="22"/>
        </w:rPr>
        <w:t>.</w:t>
      </w:r>
    </w:p>
    <w:p>
      <w:pPr>
        <w:pStyle w:val="Heading1"/>
        <w:keepNext/>
        <w:keepLines/>
      </w:pPr>
      <w:r>
        <w:t>7. Recommended OCI Architecture</w:t>
      </w:r>
    </w:p>
    <w:p>
      <w:pPr/>
      <w:r>
        <w:rPr>
          <w:rFonts w:ascii="Calibri" w:hAnsi="Calibri"/>
          <w:color w:val="202124"/>
          <w:sz w:val="22"/>
        </w:rPr>
        <w:t>The solution should use private, VCN-native OKE clusters.</w:t>
      </w:r>
    </w:p>
    <w:p>
      <w:pPr>
        <w:pStyle w:val="Heading2"/>
        <w:keepNext/>
        <w:keepLines/>
      </w:pPr>
      <w:r>
        <w:t>Core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rPr>
          <w:cantSplit/>
          <w:tblHeader w:val="true"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Proposed configuration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Kubernetes control plane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Private OKE API endpoint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System node pool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CPU-only flexible OCI shapes for ingress, monitoring, DNS, operators, and platform services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DataWalk node pool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 xml:space="preserve">Dedicated </w:t>
            </w:r>
            <w:r>
              <w:rPr>
                <w:rFonts w:ascii="Courier New" w:hAnsi="Courier New"/>
                <w:color w:val="1F4D78"/>
                <w:sz w:val="17"/>
              </w:rPr>
              <w:t>VM.GPU.A10.2</w:t>
            </w:r>
            <w:r>
              <w:rPr>
                <w:rFonts w:ascii="Calibri" w:hAnsi="Calibri"/>
                <w:color w:val="202124"/>
                <w:sz w:val="18"/>
              </w:rPr>
              <w:t xml:space="preserve"> managed node pool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Hyperscience node pool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 xml:space="preserve">Dedicated </w:t>
            </w:r>
            <w:r>
              <w:rPr>
                <w:rFonts w:ascii="Courier New" w:hAnsi="Courier New"/>
                <w:color w:val="1F4D78"/>
                <w:sz w:val="17"/>
              </w:rPr>
              <w:t>VM.GPU.A10.2</w:t>
            </w:r>
            <w:r>
              <w:rPr>
                <w:rFonts w:ascii="Calibri" w:hAnsi="Calibri"/>
                <w:color w:val="202124"/>
                <w:sz w:val="18"/>
              </w:rPr>
              <w:t xml:space="preserve"> managed node pool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Container registry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Container Registry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Persistent storage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Block Volume through CSI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Shared file storage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File Storage where vendor-supported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Object storage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Object Storage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Secrets and keys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Vault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Network access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Private subnets, NSGs, Service Gateway, controlled NAT and DRG connectivity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Monitoring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Monitoring, Logging, Audit, Events, Notifications, and GPU telemetry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Backup</w:t>
            </w:r>
          </w:p>
        </w:tc>
        <w:tc>
          <w:tcPr>
            <w:tcW w:type="dxa" w:w="6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Application-native backup plus OCI Object Storage retention controls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202124"/>
          <w:sz w:val="22"/>
        </w:rPr>
        <w:t xml:space="preserve">Oracle confirms that OKE can provision persistent volumes using the OCI Block Volume service and CSI driver. </w:t>
      </w:r>
      <w:hyperlink r:id="rId21">
        <w:r>
          <w:rPr>
            <w:rFonts w:ascii="Calibri" w:hAnsi="Calibri"/>
            <w:color w:val="2E74B5"/>
            <w:u w:val="single"/>
            <w:sz w:val="22"/>
          </w:rPr>
          <w:t>Oracle: Provisioning OKE PVCs on Block Volume</w:t>
        </w:r>
      </w:hyperlink>
    </w:p>
    <w:p>
      <w:pPr/>
      <w:r>
        <w:rPr>
          <w:rFonts w:ascii="Calibri" w:hAnsi="Calibri"/>
          <w:color w:val="202124"/>
          <w:sz w:val="22"/>
        </w:rPr>
        <w:t xml:space="preserve">OCI Object Storage also provides an Amazon S3 Compatibility API. This may support applications requiring S3-compatible storage, but vendor certification remains necessary. </w:t>
      </w:r>
      <w:hyperlink r:id="rId22">
        <w:r>
          <w:rPr>
            <w:rFonts w:ascii="Calibri" w:hAnsi="Calibri"/>
            <w:color w:val="2E74B5"/>
            <w:u w:val="single"/>
            <w:sz w:val="22"/>
          </w:rPr>
          <w:t>Oracle: Object Storage Amazon S3 Compatibility API</w:t>
        </w:r>
      </w:hyperlink>
    </w:p>
    <w:p>
      <w:pPr>
        <w:pStyle w:val="Heading1"/>
        <w:keepNext/>
        <w:keepLines/>
      </w:pPr>
      <w:r>
        <w:t>8. Security and Environment Separation</w:t>
      </w:r>
    </w:p>
    <w:p>
      <w:pPr/>
      <w:r>
        <w:rPr>
          <w:rFonts w:ascii="Calibri" w:hAnsi="Calibri"/>
          <w:color w:val="202124"/>
          <w:sz w:val="22"/>
        </w:rPr>
        <w:t>The deployment should preserve the existing MSAS compartment structure: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DataWalk-Dev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DataWalk-Test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DataWalk-Prod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Hyperscience-Dev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Hyperscience-Prod</w:t>
      </w:r>
    </w:p>
    <w:p>
      <w:pPr/>
      <w:r>
        <w:rPr>
          <w:rFonts w:ascii="Calibri" w:hAnsi="Calibri"/>
          <w:color w:val="202124"/>
          <w:sz w:val="22"/>
        </w:rPr>
        <w:t>Production GPU workloads should not share a node pool with Development or Test workloads.</w:t>
      </w:r>
    </w:p>
    <w:p>
      <w:pPr/>
      <w:r>
        <w:rPr>
          <w:rFonts w:ascii="Calibri" w:hAnsi="Calibri"/>
          <w:color w:val="202124"/>
          <w:sz w:val="22"/>
        </w:rPr>
        <w:t>Recommended controls include: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Private worker nodes without public IP addresses.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Private Kubernetes API endpoints.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Separate namespaces, service accounts, node pools, security lists, NSGs, and IAM policies.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Kubernetes taints, tolerations, node selectors, and resource quotas.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Encryption using customer-managed OCI Vault keys where required.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Image scanning before deployment to OCI Container Registry.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Centralized Audit and Logging collection.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GPU, CPU, memory, disk, pod, and model-performance monitoring.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Controlled administrative access through OCI Bastion.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Forwarding required audit evidence to the cross-tenancy Auditor environment.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Application-specific ATO documentation for DataWalk and Hyperscience.</w:t>
      </w:r>
    </w:p>
    <w:p>
      <w:pPr>
        <w:pStyle w:val="Heading1"/>
        <w:keepNext/>
        <w:keepLines/>
      </w:pPr>
      <w:r>
        <w:t>9. Implementation Plan</w:t>
      </w:r>
    </w:p>
    <w:p>
      <w:pPr>
        <w:pStyle w:val="Heading2"/>
        <w:keepNext/>
        <w:keepLines/>
      </w:pPr>
      <w:r>
        <w:t>Phase 1 – Vendor and OCI validation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Confirm DataWalk container version, supported host operating system, storage, Kubernetes version, and GPU capability.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Confirm Hyperscience version, CUDA runtime, NVIDIA driver, multi-GPU behavior, ORCA use cases, and storage requirements.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 xml:space="preserve">Verify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limits and physical capacity in the selected OCI Government region.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Request a service-limit increase or capacity reservation where required.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Complete the OCI cost estimate using the applicable government contract pricing.</w:t>
      </w:r>
    </w:p>
    <w:p>
      <w:pPr>
        <w:pStyle w:val="Heading2"/>
        <w:keepNext/>
        <w:keepLines/>
      </w:pPr>
      <w:r>
        <w:t>Phase 2 – Platform build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Create private VCN-native OKE clusters.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Deploy CPU system node pools.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 xml:space="preserve">Deploy dedicated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managed node pools.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Use an OKE GPU image or approved custom image with compatible NVIDIA drivers.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Enable the NVIDIA GPU Operator or NVIDIA GPU Plugin.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Configure Block Volume CSI, Object Storage, OCIR, Vault, logging, and monitoring.</w:t>
      </w:r>
    </w:p>
    <w:p>
      <w:pPr>
        <w:pStyle w:val="Heading2"/>
        <w:keepNext/>
        <w:keepLines/>
      </w:pPr>
      <w:r>
        <w:t>Phase 3 – Proof of concept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 xml:space="preserve">Validate both A10 GPUs using </w:t>
      </w:r>
      <w:r>
        <w:rPr>
          <w:rFonts w:ascii="Courier New" w:hAnsi="Courier New"/>
          <w:color w:val="1F4D78"/>
          <w:sz w:val="20"/>
        </w:rPr>
        <w:t>nvidia-smi</w:t>
      </w:r>
      <w:r>
        <w:rPr>
          <w:rFonts w:ascii="Calibri" w:hAnsi="Calibri"/>
          <w:color w:val="202124"/>
          <w:sz w:val="22"/>
        </w:rPr>
        <w:t>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 xml:space="preserve">Confirm that Kubernetes advertises two </w:t>
      </w:r>
      <w:r>
        <w:rPr>
          <w:rFonts w:ascii="Courier New" w:hAnsi="Courier New"/>
          <w:color w:val="1F4D78"/>
          <w:sz w:val="20"/>
        </w:rPr>
        <w:t>nvidia.com/gpu</w:t>
      </w:r>
      <w:r>
        <w:rPr>
          <w:rFonts w:ascii="Calibri" w:hAnsi="Calibri"/>
          <w:color w:val="202124"/>
          <w:sz w:val="22"/>
        </w:rPr>
        <w:t xml:space="preserve"> resources per node.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Deploy GPU test containers.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Install DataWalk and Hyperscience in isolated namespaces.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Test DataWalk ingestion, graph processing, analytics, and scale-out behavior.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Test Hyperscience training, ORCA inference, document throughput, and GPU utilization.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Record CPU, RAM, GPU memory, GPU utilization, disk latency, network throughput, and processing time.</w:t>
      </w:r>
    </w:p>
    <w:p>
      <w:pPr>
        <w:pStyle w:val="Heading2"/>
        <w:keepNext/>
        <w:keepLines/>
      </w:pPr>
      <w:r>
        <w:t>Phase 4 – Production deployment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Deploy production node quantities across separate fault domains.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Perform load, failover, backup, recovery, security, and patching tests.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Complete ATO and operational-readiness evidence.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Establish autoscaling or scheduled scaling where supported.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Cut over through a controlled migration window.</w:t>
      </w:r>
    </w:p>
    <w:p>
      <w:pPr>
        <w:pStyle w:val="Heading1"/>
        <w:keepNext/>
        <w:keepLines/>
      </w:pPr>
      <w:r>
        <w:t>10. Approval Conditions</w:t>
      </w:r>
    </w:p>
    <w:p>
      <w:pPr/>
      <w:r>
        <w:rPr>
          <w:rFonts w:ascii="Calibri" w:hAnsi="Calibri"/>
          <w:color w:val="202124"/>
          <w:sz w:val="22"/>
        </w:rPr>
        <w:t>Production authorization should require: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Written DataWalk confirmation for OCI Kubernetes, host OS, and any claimed A10 acceleration.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Written Hyperscience confirmation of the selected version, NVIDIA driver, CUDA runtime, and multi-GPU configuration.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Successful proof-of-concept performance results.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Confirmed A10.2 capacity in the target OCI Government region.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Approved cost estimate.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Successful vulnerability, failover, backup, and recovery testing.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202124"/>
          <w:sz w:val="22"/>
        </w:rPr>
        <w:t>Completed SCCA, CUI, Rule 6(e), and application ATO evidence.</w:t>
      </w:r>
    </w:p>
    <w:p>
      <w:pPr>
        <w:pStyle w:val="Heading1"/>
        <w:keepNext/>
        <w:keepLines/>
      </w:pPr>
      <w:r>
        <w:t>11. Recommendation</w:t>
      </w:r>
    </w:p>
    <w:p>
      <w:pPr>
        <w:shd w:fill="E7F4EA"/>
        <w:spacing w:before="80" w:after="160"/>
        <w:ind w:left="216" w:right="216"/>
      </w:pPr>
      <w:r>
        <w:rPr>
          <w:rFonts w:ascii="Calibri" w:hAnsi="Calibri"/>
          <w:b/>
          <w:color w:val="2E6B3A"/>
          <w:sz w:val="22"/>
        </w:rPr>
        <w:t xml:space="preserve">Approve the use of </w:t>
      </w:r>
      <w:r>
        <w:rPr>
          <w:rFonts w:ascii="Courier New" w:hAnsi="Courier New"/>
          <w:b/>
          <w:color w:val="2E6B3A"/>
          <w:sz w:val="20"/>
        </w:rPr>
        <w:t>VM.GPU.A10.2</w:t>
      </w:r>
      <w:r>
        <w:rPr>
          <w:rFonts w:ascii="Calibri" w:hAnsi="Calibri"/>
          <w:b/>
          <w:color w:val="2E6B3A"/>
          <w:sz w:val="22"/>
        </w:rPr>
        <w:t xml:space="preserve"> for the DataWalk and Hyperscience OCI Kubernetes proof of concept.</w:t>
      </w:r>
    </w:p>
    <w:p>
      <w:pPr/>
      <w:r>
        <w:rPr>
          <w:rFonts w:ascii="Calibri" w:hAnsi="Calibri"/>
          <w:color w:val="202124"/>
          <w:sz w:val="22"/>
        </w:rPr>
        <w:t xml:space="preserve">The shape is technically suitable because it provides two NVIDIA A10 GPUs, 30 OCPUs, 480 GB of system memory, and 48 Gbps of network bandwidth. Oracle explicitly documents </w:t>
      </w:r>
      <w:r>
        <w:rPr>
          <w:rFonts w:ascii="Courier New" w:hAnsi="Courier New"/>
          <w:color w:val="1F4D78"/>
          <w:sz w:val="20"/>
        </w:rPr>
        <w:t>VM.GPU.A10.2</w:t>
      </w:r>
      <w:r>
        <w:rPr>
          <w:rFonts w:ascii="Calibri" w:hAnsi="Calibri"/>
          <w:color w:val="202124"/>
          <w:sz w:val="22"/>
        </w:rPr>
        <w:t xml:space="preserve"> as an OKE GPU node-pool shape.</w:t>
      </w:r>
    </w:p>
    <w:p>
      <w:pPr/>
      <w:r>
        <w:rPr>
          <w:rFonts w:ascii="Calibri" w:hAnsi="Calibri"/>
          <w:color w:val="202124"/>
          <w:sz w:val="22"/>
        </w:rPr>
        <w:t>Hyperscience provides direct vendor support for NVIDIA A10 GPUs and Kubernetes GPU trainers. DataWalk provides direct support for containers and Kubernetes, although direct GPU acceleration must still be confirmed.</w:t>
      </w:r>
    </w:p>
    <w:p>
      <w:pPr/>
      <w:r>
        <w:rPr>
          <w:rFonts w:ascii="Calibri" w:hAnsi="Calibri"/>
          <w:color w:val="202124"/>
          <w:sz w:val="22"/>
        </w:rPr>
        <w:t>This approach provides a practical, scalable, and security-aligned path for modernizing both platforms on OCI while preventing unsupported assumptions from entering the final production design.</w:t>
      </w:r>
    </w:p>
    <w:p>
      <w:pPr>
        <w:pStyle w:val="Heading1"/>
        <w:keepNext/>
        <w:keepLines/>
      </w:pPr>
      <w:r>
        <w:t>12. Official Proof Links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180"/>
        <w:gridCol w:w="318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Official evidence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A10.2 has two A10 GPUs, 30 OCPUs, 480 GB RAM, and 48 Gbps networking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2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Oracle OCI Compute Shapes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Oracle explicitly supports an A10.2 OKE node pool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3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Oracle GPU Devices on OKE Worker Nodes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OKE managed node pools support OCI GPU shapes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5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Oracle Running Applications on GPU Nodes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OKE provides an NVIDIA GPU Operator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6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Oracle OKE Cluster Add-ons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NVIDIA A10 includes 24 GB GDDR6 memory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4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NVIDIA A10 Specifications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Hyperscience supports NVIDIA A10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9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Hyperscience Kubernetes Installation Overview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Hyperscience supports GPU trainers on Kubernetes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20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Hyperscience GPU Trainers on Kubernetes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DataWalk supports container deployment and Kubernetes planning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7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DataWalk on Containers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DataWalk supports cloud, virtualization, HA, and scale-out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18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DataWalk Infrastructure FAQ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OKE supports persistent storage through Block Volume CSI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21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Oracle OKE Block Volume PVCs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color w:val="202124"/>
                <w:sz w:val="18"/>
              </w:rPr>
              <w:t>OCI Object Storage provides S3-compatible access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hyperlink r:id="rId22">
              <w:r>
                <w:rPr>
                  <w:rFonts w:ascii="Calibri" w:hAnsi="Calibri"/>
                  <w:color w:val="2E74B5"/>
                  <w:u w:val="single"/>
                  <w:sz w:val="18"/>
                </w:rPr>
                <w:t>Oracle S3 Compatibility API</w:t>
              </w:r>
            </w:hyperlink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325" w:right="1325" w:bottom="1267" w:left="1325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t xml:space="preserve">Architecture proposal  |  Page </w:t>
    </w:r>
    <w: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6"/>
      </w:rPr>
      <w:t>Oracle Cloud Infrastructure  |  August 18,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6"/>
      </w:rPr>
      <w:t>OCI GPU DEPLOYMENT PROPOSAL  |  DATAWALK + HYPERSCIENCE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docs.oracle.com/en-us/iaas/Content/Compute/References/computeshapes.htm" TargetMode="External"/><Relationship Id="rId13" Type="http://schemas.openxmlformats.org/officeDocument/2006/relationships/hyperlink" Target="https://docs.oracle.com/en-us/iaas/Content/ContEng/Tasks/contengmanagingspecializedhardwaredevices.htm" TargetMode="External"/><Relationship Id="rId14" Type="http://schemas.openxmlformats.org/officeDocument/2006/relationships/hyperlink" Target="https://www.nvidia.com/en-us/data-center/products/a10-gpu/" TargetMode="External"/><Relationship Id="rId15" Type="http://schemas.openxmlformats.org/officeDocument/2006/relationships/hyperlink" Target="https://docs.oracle.com/en-us/iaas/Content/ContEng/Tasks/contengrunninggpunodes.htm" TargetMode="External"/><Relationship Id="rId16" Type="http://schemas.openxmlformats.org/officeDocument/2006/relationships/hyperlink" Target="https://docs.oracle.com/en-us/iaas/Content/ContEng/Tasks/contengintroducingclusteraddons.htm" TargetMode="External"/><Relationship Id="rId17" Type="http://schemas.openxmlformats.org/officeDocument/2006/relationships/hyperlink" Target="https://datawalk.com/preparing-for-datawalk-on-containers/" TargetMode="External"/><Relationship Id="rId18" Type="http://schemas.openxmlformats.org/officeDocument/2006/relationships/hyperlink" Target="https://datawalk.com/frequently-asked-questions/" TargetMode="External"/><Relationship Id="rId19" Type="http://schemas.openxmlformats.org/officeDocument/2006/relationships/hyperlink" Target="https://help.hyperscience.ai/deployment/docs/kubernetes-installation-overview" TargetMode="External"/><Relationship Id="rId20" Type="http://schemas.openxmlformats.org/officeDocument/2006/relationships/hyperlink" Target="https://help.hyperscience.ai/deployment/docs/enabling-trainers-with-gpus-in-on-premise-kubernetes-deployments" TargetMode="External"/><Relationship Id="rId21" Type="http://schemas.openxmlformats.org/officeDocument/2006/relationships/hyperlink" Target="https://docs.oracle.com/en-us/iaas/Content/ContEng/Tasks/contengcreatingpersistentvolumeclaim_topic-Provisioning_PVCs_on_BV.htm" TargetMode="External"/><Relationship Id="rId22" Type="http://schemas.openxmlformats.org/officeDocument/2006/relationships/hyperlink" Target="https://docs.oracle.com/en-us/iaas/Content/Object/Tasks/s3compatibleapi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Deploying DataWalk and Hyperscience on OCI Using VM.GPU.A10.2</dc:title>
  <dc:subject>OCI Government Cloud Kubernetes and GPU architecture proposal</dc:subject>
  <dc:creator>Cloud Architecture Team</dc:creator>
  <cp:keywords>OCI, OKE, VM.GPU.A10.2, NVIDIA A10, DataWalk, Hyperscience, Kubernetes</cp:keywords>
  <dc:description>Prepared from the supplied proposal content; source links are embedded as clickable hyperlinks.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