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ptos Display" w:hAnsi="Aptos Display"/>
          <w:b/>
          <w:color w:val="1F4E79"/>
          <w:sz w:val="56"/>
        </w:rPr>
        <w:t>DataWalk OCI POC</w:t>
      </w:r>
    </w:p>
    <w:p>
      <w:pPr>
        <w:jc w:val="center"/>
      </w:pPr>
      <w:r>
        <w:rPr>
          <w:rFonts w:ascii="Aptos Display" w:hAnsi="Aptos Display"/>
          <w:b/>
          <w:sz w:val="44"/>
        </w:rPr>
        <w:t>Infrastructure Build Runbook</w:t>
      </w:r>
    </w:p>
    <w:p>
      <w:pPr>
        <w:jc w:val="center"/>
      </w:pPr>
      <w:r>
        <w:t>Dedicated DataWalk Dev-equivalent environment on OCI E6 Flex compute</w:t>
        <w:br/>
      </w:r>
      <w:r>
        <w:rPr>
          <w:i/>
        </w:rPr>
        <w:t>POC only • No production • Hyperscience excluded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1.0</w:t>
            </w:r>
          </w:p>
        </w:tc>
      </w:tr>
      <w:t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Date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October 6, 2026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John Nguyen-Tran / OCI POC Lead</w:t>
            </w:r>
          </w:p>
        </w:tc>
      </w:tr>
      <w:t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Execution status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EXECUTED — operator runbook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Target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DataWalk Dev-equivalent POC environment</w:t>
            </w:r>
          </w:p>
        </w:tc>
      </w:tr>
      <w:tr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oci-appdev/dwhs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IaC baseline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terraform/oci-vm-foundation (Oracle Resource Manager)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POC BOUNDARY  </w:t>
            </w:r>
            <w:r>
              <w:t>This runbook provisions DataWalk infrastructure only. It does not provision production, install the DataWalk application, build Hyperscience, or grant an Authority to Operate.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Purpose and success condition</w:t>
      </w:r>
    </w:p>
    <w:p>
      <w:r>
        <w:t>Use this runbook to build, validate, document, and hand off a private DataWalk Dev-equivalent infrastructure foundation in the approved OCI Government Cloud landing zone. Infrastructure is accepted only when the network, compute, storage, access, security telemetry, and recovery prerequisites pass with retained evidence.</w:t>
      </w:r>
    </w:p>
    <w:p>
      <w:pPr>
        <w:pStyle w:val="Heading2"/>
        <w:keepNext/>
      </w:pPr>
      <w:r>
        <w:t>1.1 Fixed POC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Included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Excluded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dedicated DataWalk nonproduction environment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Test and Production environments</w:t>
            </w:r>
          </w:p>
        </w:tc>
      </w:tr>
      <w:t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E6 Flex compute foundation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Hyperscience CPU/GPU infrastructure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network, DRG/FastConnect path, NSGs and DNS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Public IPs or direct Internet administration</w:t>
            </w:r>
          </w:p>
        </w:tc>
      </w:tr>
      <w:t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Block storage, approved Decoupled Storage path and backup design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Production data or production credentials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Logging, monitoring, vulnerability and evidence controls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application installation or migration</w:t>
            </w:r>
          </w:p>
        </w:tc>
      </w:tr>
      <w:tr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Kubernetes platform prerequisites and decision gate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Unsupported assumption that RHEL equals managed OKE support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Intended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Zone</w:t>
            </w:r>
          </w:p>
        </w:tc>
        <w:tc>
          <w:tcPr>
            <w:tcW w:type="dxa" w:w="806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components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Enterprise</w:t>
            </w:r>
          </w:p>
        </w:tc>
        <w:tc>
          <w:tcPr>
            <w:tcW w:type="dxa" w:w="80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administrator workstation → Windows jump host; approved DataWalk test users and data source</w:t>
            </w:r>
          </w:p>
        </w:tc>
      </w:tr>
      <w:tr>
        <w:tc>
          <w:tcPr>
            <w:tcW w:type="dxa" w:w="244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Hybrid connectivity</w:t>
            </w:r>
          </w:p>
        </w:tc>
        <w:tc>
          <w:tcPr>
            <w:tcW w:type="dxa" w:w="806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FastConnect → DRG → SCCA inspection / network firewall → DataWalk private VCN/subnets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POC</w:t>
            </w:r>
          </w:p>
        </w:tc>
        <w:tc>
          <w:tcPr>
            <w:tcW w:type="dxa" w:w="80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Dedicated E6 Flex nodes; private endpoint/load balancer; application and persistent storage; no shared Hyperscience resources</w:t>
            </w:r>
          </w:p>
        </w:tc>
      </w:tr>
      <w:tr>
        <w:tc>
          <w:tcPr>
            <w:tcW w:type="dxa" w:w="244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services</w:t>
            </w:r>
          </w:p>
        </w:tc>
        <w:tc>
          <w:tcPr>
            <w:tcW w:type="dxa" w:w="806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Service Gateway, Object Storage only if vendor-approved, Registry, Vault/KMS, Logging, Monitoring, Audit and backup/evidence target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D9EAF7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IMPLEMENTATION POSITION  </w:t>
            </w:r>
            <w:r>
              <w:t>The latest decision is a separate DataWalk E6 VM cluster. The existing ORM stack creates the private VM foundation only. Kubernetes type, node OS/image, CNI, cluster ports and Decoupled Storage remain approval gates before platform bootstrap.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Build record and decision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4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Record before execution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Tenancy / region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POC compartment OCID</w:t>
            </w:r>
          </w:p>
        </w:tc>
        <w:tc>
          <w:tcPr>
            <w:tcW w:type="dxa" w:w="70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Change / funding ticket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VCN / subnet CIDRs</w:t>
            </w:r>
          </w:p>
        </w:tc>
        <w:tc>
          <w:tcPr>
            <w:tcW w:type="dxa" w:w="70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DRG and DRG route table OCIDs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Jump-host CIDR</w:t>
            </w:r>
          </w:p>
        </w:tc>
        <w:tc>
          <w:tcPr>
            <w:tcW w:type="dxa" w:w="70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image OCID / entitlement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Kubernetes path and minor</w:t>
            </w:r>
          </w:p>
        </w:tc>
        <w:tc>
          <w:tcPr>
            <w:tcW w:type="dxa" w:w="70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Managed OKE / self-managed / pending: __________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version / vendor approval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Decoupled Storage decision</w:t>
            </w:r>
          </w:p>
        </w:tc>
        <w:tc>
          <w:tcPr>
            <w:tcW w:type="dxa" w:w="70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owner / deputy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2.1 Mandatory stop conditions</w:t>
      </w:r>
    </w:p>
    <w:p>
      <w:pPr>
        <w:pStyle w:val="ListBullet"/>
      </w:pPr>
      <w:r>
        <w:t>DataWalk has not approved the exact application release, Kubernetes minor, worker-node operating system/image and deployment model.</w:t>
      </w:r>
    </w:p>
    <w:p>
      <w:pPr>
        <w:pStyle w:val="ListBullet"/>
      </w:pPr>
      <w:r>
        <w:t>The 96 GB versus 128 GB memory requirement or vCPU versus OCPU interpretation is unresolved and leadership has not approved the conservative planning value.</w:t>
      </w:r>
    </w:p>
    <w:p>
      <w:pPr>
        <w:pStyle w:val="ListBullet"/>
      </w:pPr>
      <w:r>
        <w:t>Network CIDRs overlap on-premises, OCI landing-zone, service or pod/service ranges.</w:t>
      </w:r>
    </w:p>
    <w:p>
      <w:pPr>
        <w:pStyle w:val="ListBullet"/>
      </w:pPr>
      <w:r>
        <w:t>FastConnect/DRG return routing, firewall inspection, DNS, NTP, repository access or certificate trust is incomplete.</w:t>
      </w:r>
    </w:p>
    <w:p>
      <w:pPr>
        <w:pStyle w:val="ListBullet"/>
      </w:pPr>
      <w:r>
        <w:t>OCI service limits, E6 capacity, RHEL entitlement, cost ceiling or security authorization is missing.</w:t>
      </w:r>
    </w:p>
    <w:p>
      <w:pPr>
        <w:pStyle w:val="ListBullet"/>
      </w:pPr>
      <w:r>
        <w:t>Decoupled Storage, database placement, encryption, backup and restore responsibilities are not approved.</w:t>
      </w:r>
    </w:p>
    <w:p>
      <w:pPr>
        <w:pStyle w:val="Heading2"/>
        <w:keepNext/>
      </w:pPr>
      <w:r>
        <w:t>2.2 Provisional POC sizing — approval 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2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Planning value</w:t>
            </w:r>
          </w:p>
        </w:tc>
        <w:tc>
          <w:tcPr>
            <w:tcW w:type="dxa" w:w="51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Approval note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application nodes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 × VM.Standard.E6.Flex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Vendor minimum indicates three workers; do not infer from legacy VM count</w:t>
            </w:r>
          </w:p>
        </w:tc>
      </w:tr>
      <w:tr>
        <w:tc>
          <w:tcPr>
            <w:tcW w:type="dxa" w:w="25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Per-node compute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8 OCPUs = 16 vCPUs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whether DataWalk meant vCPU or physical/core equivalent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Per-node memory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128 GB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Conservative value pending resolution of 96 GB vs 128 GB</w:t>
            </w:r>
          </w:p>
        </w:tc>
      </w:tr>
      <w:tr>
        <w:tc>
          <w:tcPr>
            <w:tcW w:type="dxa" w:w="25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Boot volume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 GB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RHEL, agents, logs and Kubernetes/runtime; validate with SME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 volume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500 GB/node, 20 VPU/GB initially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Measure IOPS/latency/throughput; resize performance without rebuild if approved</w:t>
            </w:r>
          </w:p>
        </w:tc>
      </w:tr>
      <w:tr>
        <w:tc>
          <w:tcPr>
            <w:tcW w:type="dxa" w:w="25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Control plane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TBD by Kubernetes path</w:t>
            </w:r>
          </w:p>
        </w:tc>
        <w:tc>
          <w:tcPr>
            <w:tcW w:type="dxa" w:w="51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OKE: Oracle-managed; self-managed: size and place separately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GPU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POC is CPU-only unless vendor supplies a supported GPU use case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2F0D9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OCI CPU TERMINOLOGY  </w:t>
            </w:r>
            <w:r>
              <w:t>For x86 flexible VM shapes, the ORM input is OCPUs, not vCPUs. The existing stack default of 8 OCPUs represents 16 vCPUs. Do not enter 16 OCPUs unless DataWalk explicitly requires 32 vCPUs.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Procedure A — Approve landing-zone and network prerequisites</w:t>
      </w:r>
    </w:p>
    <w:p>
      <w:r>
        <w:t>Owner: OCI platform, network, security and IAM teams. Exit: approved resource sheet and end-to-end private path. Record PASS/FAIL/BLOCKED and evidence for every row.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the DataWalk POC compartment is under the approved nonproduction workload hierarchy and inherits required guardrails.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the approved VCN strategy: reuse landing-zone workload networking or authorize the ORM stack to create a dedicated POC VCN.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Reserve non-overlapping VCN, subnet and future Kubernetes pod/service CIDRs; compare them with all on-premises and DRG route domains.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FastConnect virtual circuit and DRG route import/export; verify the return path from the DataWalk subnet to the enterprise jump host and test-user networks.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SCCA network-firewall inspection and the correct route-table association. Attaching a DRG alone is not end-to-end connectivity.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or approve the Service Gateway route to All Services in Oracle Services Network for private OCI service access.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 private DNS records, enterprise DNS forwarding, NTP source, PKI/certificate chain and required proxy/package-repository path.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 NSGs separately for administrative access, cluster/node traffic, private load balancer, storage/database and observability flows.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no public IPs, Internet Gateway, unrestricted 0.0.0.0/0 SSH or uncontrolled outbound Internet path.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3.1 Minimum access matrix to finalize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23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7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Destination</w:t>
            </w:r>
          </w:p>
        </w:tc>
        <w:tc>
          <w:tcPr>
            <w:tcW w:type="dxa" w:w="309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80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jump-host CIDR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E6 nodes TCP/22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Administration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Required; narrow source</w:t>
            </w:r>
          </w:p>
        </w:tc>
      </w:tr>
      <w:t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user CIDRs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Private load balancer TCP/443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UI/API</w:t>
            </w:r>
          </w:p>
        </w:tc>
        <w:tc>
          <w:tcPr>
            <w:tcW w:type="dxa" w:w="280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Required after endpoint build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E6 nodes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Services Network TCP/443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APIs, registry, logging and storage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Required through Service Gateway</w:t>
            </w:r>
          </w:p>
        </w:tc>
      </w:tr>
      <w:t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E6 nodes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Enterprise DNS/NTP/PKI/repos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Name, time, trust and patching</w:t>
            </w:r>
          </w:p>
        </w:tc>
        <w:tc>
          <w:tcPr>
            <w:tcW w:type="dxa" w:w="280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Only approved destinations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Cluster nodes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Cluster nodes / API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Kubernetes and CNI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Kubernetes SME supplies exact matrix</w:t>
            </w:r>
          </w:p>
        </w:tc>
      </w:tr>
      <w:tr>
        <w:tc>
          <w:tcPr>
            <w:tcW w:type="dxa" w:w="223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workloads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Database / Decoupled Storage</w:t>
            </w:r>
          </w:p>
        </w:tc>
        <w:tc>
          <w:tcPr>
            <w:tcW w:type="dxa" w:w="309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State and data access</w:t>
            </w:r>
          </w:p>
        </w:tc>
        <w:tc>
          <w:tcPr>
            <w:tcW w:type="dxa" w:w="280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Vendor supplies exact ports/interface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4D6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DO NOT GUESS PORTS  </w:t>
            </w:r>
            <w:r>
              <w:t>The repository stack's extra_rules input supports one destination port per entry and does not support port ranges. Do not open a broad intra-subnet rule or NodePort range to compensate. Extend the IaC only after the Kubernetes/CNI and vendor port matrix is approved.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Procedure B — Prepare IAM, quotas, tags and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or confirm least-privilege groups for POC infrastructure operators, Kubernetes operators, application installers, security reviewers and read-only auditors.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Grant only the required compartment-scoped permissions for networking, compute, volumes, Resource Manager, load balancers, logging/monitoring, Vault, registry and approved Object Storage resources.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dynamic groups and service policies for instance principals or workload identity only after the application access design is approved.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Verify E6 OCPU, memory, VM count, block-volume and load-balancer limits in the target availability domain; retain screenshots or CLI output.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Apply required defined/free-form tags: Application=DataWalk, Environment=POC-Dev, Owner, CostCenter, ChangeTicket and ExpirationDate.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budget thresholds and notification recipients before Apply. Record the POC spend ceiling and automatic review date.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the evidence folder and naming convention. Store redacted plans, work-request IDs, OCIDs, screenshots, test results and approvals; never store secrets or private keys.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Procedure C — Deploy the E6 foundation with OCI Resource Manager</w:t>
      </w:r>
    </w:p>
    <w:p>
      <w:r>
        <w:t>Repository: https://github.com/oci-appdev/dwhs/tree/main/terraform/oci-vm-foundation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D9EAF7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STACK LIMITATION  </w:t>
            </w:r>
            <w:r>
              <w:t>The current stack creates a new VCN, one private subnet, a Service Gateway, optional DRG attachment/routes, one NSG, E6/A10.2 VMs and optional block volumes. It does not create Kubernetes, load balancers, backups, monitoring or application storage. Use a separate ORM stack per application/environment.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5.1 Create the stack</w:t>
      </w:r>
    </w:p>
    <w:p>
      <w:pPr>
        <w:ind w:left="346" w:hanging="346"/>
      </w:pPr>
      <w:r>
        <w:rPr>
          <w:b/>
        </w:rPr>
        <w:t xml:space="preserve">1.  </w:t>
      </w:r>
      <w:r>
        <w:t>OCI Console → Developer Services → Resource Manager → Configuration Source Providers. Confirm the approved GitHub provider can read oci-appdev/dwhs.</w:t>
      </w:r>
    </w:p>
    <w:p>
      <w:pPr>
        <w:ind w:left="346" w:hanging="346"/>
      </w:pPr>
      <w:r>
        <w:rPr>
          <w:b/>
        </w:rPr>
        <w:t xml:space="preserve">2.  </w:t>
      </w:r>
      <w:r>
        <w:t>Resource Manager → Stacks → Create stack → Source code control system. Select repository oci-appdev/dwhs and the approved immutable branch/tag or commit.</w:t>
      </w:r>
    </w:p>
    <w:p>
      <w:pPr>
        <w:ind w:left="346" w:hanging="346"/>
      </w:pPr>
      <w:r>
        <w:rPr>
          <w:b/>
        </w:rPr>
        <w:t xml:space="preserve">3.  </w:t>
      </w:r>
      <w:r>
        <w:t>Set working directory to terraform/oci-vm-foundation. Choose an approved Terraform runtime compatible with the configuration (Terraform 1.2 or later).</w:t>
      </w:r>
    </w:p>
    <w:p>
      <w:pPr>
        <w:ind w:left="346" w:hanging="346"/>
      </w:pPr>
      <w:r>
        <w:rPr>
          <w:b/>
        </w:rPr>
        <w:t xml:space="preserve">4.  </w:t>
      </w:r>
      <w:r>
        <w:t>Name the stack dw-poc-dev-foundation and place the stack/state in the approved automation compartment. Set the target compartment variable to the DataWalk POC compartment.</w:t>
      </w:r>
    </w:p>
    <w:p>
      <w:pPr>
        <w:ind w:left="346" w:hanging="346"/>
      </w:pPr>
      <w:r>
        <w:rPr>
          <w:b/>
        </w:rPr>
        <w:t xml:space="preserve">5.  </w:t>
      </w:r>
      <w:r>
        <w:t>Populate the approved variables below. Do not paste secrets into Terraform variables or configuration files.</w:t>
      </w:r>
    </w:p>
    <w:p>
      <w:pPr>
        <w:pStyle w:val="Heading2"/>
        <w:keepNext/>
      </w:pPr>
      <w:r>
        <w:t>5.2 Recommended POC variable 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24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727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POC value / instruction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region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OCI Government region; record exact region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compartment_ocid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POC target compartment OCID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availability_domain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AD with verified E6 capacity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image_ocid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regional RHEL 8.10 x86_64 compute image OCID — not a container image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ssh_public_key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individual/team public key; never a private key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name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dw-poc-dev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shape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VM.Standard.E6.Flex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instance_count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flex_ocpus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8 (16 vCPUs) pending vendor confirmation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flex_memory_gb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128 pending vendor confirmation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boot_volume_gb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data_volume_gb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500 per node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data_volume_vpus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20 initially; adjust after measured performance approval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vcn_cidr / subnet_cidr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non-overlapping DataWalk POC ranges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admin_cidr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jump-host private CIDR; prefer /32; /0 is rejected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drg_ocid / drg_route_table_ocid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Existing approved DRG and workload DRG route-table OCIDs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onprem_cidrs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Explicit approved enterprise CIDRs; never a default route</w:t>
            </w:r>
          </w:p>
        </w:tc>
      </w:tr>
      <w:tr>
        <w:tc>
          <w:tcPr>
            <w:tcW w:type="dxa" w:w="324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extra_rules</w:t>
            </w:r>
          </w:p>
        </w:tc>
        <w:tc>
          <w:tcPr>
            <w:tcW w:type="dxa" w:w="72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Only approved single-port entries; cluster matrix remains a follow-on IaC change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5.3 Plan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Plan. Export the plan and record ORM job OCID and UTC timestamp.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the plan creates exactly three E6 VMs and three 500 GB data volumes; no A10.2 resource appears.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private VNICs, disabled legacy metadata, in-transit volume encryption, Service Gateway, routes, DRG attachment and approved on-premises CIDRs.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Confirm no Internet/NAT gateway or unrestricted rule. Review cost and tags, then obtain OCI, network, security and funding approvals before Apply.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Apply and capture outputs</w:t>
      </w:r>
    </w:p>
    <w:p>
      <w:pPr>
        <w:ind w:left="346" w:hanging="346"/>
      </w:pPr>
      <w:r>
        <w:rPr>
          <w:b/>
        </w:rPr>
        <w:t xml:space="preserve">1.  </w:t>
      </w:r>
      <w:r>
        <w:t>Run Apply during the approved change window. Do not retry a failed Apply until the job log and partial state are reviewed.</w:t>
      </w:r>
    </w:p>
    <w:p>
      <w:pPr>
        <w:ind w:left="346" w:hanging="346"/>
      </w:pPr>
      <w:r>
        <w:rPr>
          <w:b/>
        </w:rPr>
        <w:t xml:space="preserve">2.  </w:t>
      </w:r>
      <w:r>
        <w:t>Record the stack OCID, Apply job OCID, commit/ref, Terraform/provider versions, instance OCIDs, private IPs, VCN/subnet/NSG OCIDs and volume OCIDs.</w:t>
      </w:r>
    </w:p>
    <w:p>
      <w:pPr>
        <w:ind w:left="346" w:hanging="346"/>
      </w:pPr>
      <w:r>
        <w:rPr>
          <w:b/>
        </w:rPr>
        <w:t xml:space="preserve">3.  </w:t>
      </w:r>
      <w:r>
        <w:t>Confirm each instance is RUNNING and the attached data volume is AVAILABLE/ATTACHED. Confirm public IP is absent.</w:t>
      </w:r>
    </w:p>
    <w:p>
      <w:pPr>
        <w:ind w:left="346" w:hanging="346"/>
      </w:pPr>
      <w:r>
        <w:rPr>
          <w:b/>
        </w:rPr>
        <w:t xml:space="preserve">4.  </w:t>
      </w:r>
      <w:r>
        <w:t>Retain the final plan, apply log and redacted outputs in the evidence location.</w:t>
      </w:r>
    </w:p>
    <w:p>
      <w:pPr>
        <w:pStyle w:val="Heading1"/>
        <w:keepNext/>
      </w:pPr>
      <w:r>
        <w:t>6. Procedure D — Validate operating system, storage and private access</w:t>
      </w:r>
    </w:p>
    <w:p>
      <w:r>
        <w:t>Run from the approved jump host. Replace placeholders. Use read-only checks first; do not format a disk until its OCID/device mapping is confirmed.</w:t>
      </w:r>
    </w:p>
    <w:p>
      <w:pPr>
        <w:pStyle w:val="Code"/>
      </w:pPr>
      <w:r>
        <w:t>ssh -i APPROVED_KEY USER@NODE_PRIVATE_IP</w:t>
        <w:br/>
        <w:t>cat /etc/redhat-release</w:t>
        <w:br/>
        <w:t>uname -r</w:t>
        <w:br/>
        <w:t>lscpu</w:t>
        <w:br/>
        <w:t>free -h</w:t>
        <w:br/>
        <w:t>lsblk -o NAME,SIZE,TYPE,FSTYPE,MOUNTPOINT,MODEL</w:t>
        <w:br/>
        <w:t>ip -br address</w:t>
        <w:br/>
        <w:t>ip route</w:t>
        <w:br/>
        <w:t>chronyc sources -v</w:t>
        <w:br/>
        <w:t>dnf repolist</w:t>
      </w:r>
    </w:p>
    <w:p>
      <w:pPr>
        <w:pStyle w:val="Heading2"/>
        <w:keepNext/>
      </w:pPr>
      <w:r>
        <w:t>6.1 Node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RHEL reports the exact approved 8.10 release and x86_64 architecture; subscription/repositories work through the approved path.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Each node reports the approved OCPU/vCPU and memory values. Record lscpu and free output.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Boot and data volumes match the planned sizes; data-volume device mapping is reconciled to the OCI volume OCID.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DNS, NTP and enterprise certificate trust succeed; time skew is within policy.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SSH works only from the approved jump host and fails from an unauthorized source.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Traffic to approved OCI service, patch and on-premises endpoints succeeds; unapproved Internet egress fails.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Install and validate only approved security/operations agents. Reboot one node and confirm agents, routes and storage attachment recover.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Data volume preparation</w:t>
      </w:r>
    </w:p>
    <w:p>
      <w:pPr>
        <w:pStyle w:val="ListBullet"/>
      </w:pPr>
      <w:r>
        <w:t>Obtain the DataWalk/Kubernetes filesystem, mount-point, ownership, SELinux and performance requirements before formatting.</w:t>
      </w:r>
    </w:p>
    <w:p>
      <w:pPr>
        <w:pStyle w:val="ListBullet"/>
      </w:pPr>
      <w:r>
        <w:t>For a new disposable volume only, use the approved filesystem procedure. Record the device path, volume OCID, filesystem UUID and mount options.</w:t>
      </w:r>
    </w:p>
    <w:p>
      <w:pPr>
        <w:pStyle w:val="ListBullet"/>
      </w:pPr>
      <w:r>
        <w:t>Use UUID-based persistent mounts and approved boot-safe options. Confirm a missing data volume does not trap the VM in an unrecoverable boot loop.</w:t>
      </w:r>
    </w:p>
    <w:p>
      <w:pPr>
        <w:pStyle w:val="ListBullet"/>
      </w:pPr>
      <w:r>
        <w:t>Run storage performance tests only on a dedicated disposable test volume. Capture latency, IOPS and throughput; never benchmark against application data.</w:t>
      </w:r>
    </w:p>
    <w:p>
      <w:pPr>
        <w:pStyle w:val="ListBullet"/>
      </w:pPr>
      <w:r>
        <w:t>OCI Block Volume performance is elastic. Change VPUs/GB only through change control and retain before/after metrics.</w:t>
      </w:r>
    </w:p>
    <w:p>
      <w:pPr>
        <w:pStyle w:val="Heading1"/>
        <w:keepNext/>
      </w:pPr>
      <w:r>
        <w:t>7. Procedure E — Select and bootstrap the Kubernetes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pPr>
              <w:spacing w:after="0"/>
            </w:pPr>
            <w:r>
              <w:rPr>
                <w:b/>
                <w:color w:val="1F4E79"/>
              </w:rPr>
              <w:t xml:space="preserve">DECISION REQUIRED  </w:t>
            </w:r>
            <w:r>
              <w:t>DataWalk publicly identifies RHEL 8.10 or Rocky 8 for the container transition. Current OKE managed-node support is based on supported Oracle Linux OKE/platform images, not arbitrary RHEL images. Do not represent managed OKE on RHEL as supported without written Oracle and DataWalk confirmation.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2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52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When allowed</w:t>
            </w:r>
          </w:p>
        </w:tc>
        <w:tc>
          <w:tcPr>
            <w:tcW w:type="dxa" w:w="446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Infrastructure action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 — Self-managed Kubernetes on E6/RHEL 8.10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requires RHEL and approves the exact Kubernetes/container runtime/CNI design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Provision approved control-plane design, cluster PKI, load balancer/API endpoint, etcd backup, CNI, CSI, registry and lifecycle ownership</w:t>
            </w:r>
          </w:p>
        </w:tc>
      </w:tr>
      <w:tr>
        <w:tc>
          <w:tcPr>
            <w:tcW w:type="dxa" w:w="252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 — Managed OKE on E6/Oracle Linux</w:t>
            </w:r>
          </w:p>
        </w:tc>
        <w:tc>
          <w:tcPr>
            <w:tcW w:type="dxa" w:w="35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approves the exact supported OKE image/OS and current OKE Kubernetes minor</w:t>
            </w:r>
          </w:p>
        </w:tc>
        <w:tc>
          <w:tcPr>
            <w:tcW w:type="dxa" w:w="446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Build a private OKE VCN-native cluster and E6 managed node pool; do not reuse RHEL VM nodes as managed nodes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Platform bootstrap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Record the signed application/Kubernetes/OS/container-runtime/CNI/CSI/version matrix. Use a currently supported OKE version or vendor-supported self-managed version; DataWalk's minimum 1.29+ is not a request to deploy retired Kubernetes 1.29.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distinct platform and application identities. Configure RBAC, admission controls, pod security, network policy and secret references before vendor installation.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Apply node labels/taints and resource reservations approved by the Kubernetes SME. Do not consume DataWalk application capacity with unplanned platform workloads.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Deploy the private API/application endpoint and private load balancer using dedicated NSGs, DNS and approved TLS certificate chain.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Deploy registry access, vulnerability scanning, logging, metrics and audit collection without storing credentials in Git or Terraform state.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Validate CSI/storage classes, reclaim policy, encryption, topology and expansion using a disposable persistent volume claim.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For self-managed Kubernetes, prove control-plane/etcd backup and restore ownership before application handoff.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Procedure F — Data services, observability, backup and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9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1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Execution step</w:t>
            </w:r>
          </w:p>
        </w:tc>
        <w:tc>
          <w:tcPr>
            <w:tcW w:type="dxa" w:w="180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/ ticket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Have DataWalk approve the Decoupled Storage implementation and database placement. Do not assume OCI Object Storage S3 compatibility equals DataWalk certification.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only approved DataWalk POC buckets, volumes, databases and secret references in the DataWalk compartment; do not share Hyperscience state.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the Service Gateway or an approved Object Storage private endpoint. Restrict bucket access by compartment, identity and approved network source where supported.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Enable OCI Audit, VCN Flow Logs, instance/agent logs, Kubernetes audit logs, node and storage metrics, and application-ready log destinations.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Create alarms for node availability, CPU/memory pressure, boot/data volume capacity, IOPS/throughput throttling, endpoint health, backup failure and unauthorized changes.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Send a test notification and confirm receipt by the named team. A configured alarm without a received test is not accepted.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Configure backup retention and recovery targets approved for the POC. Execute a restore test to isolated storage and record achieved RPO/RTO.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79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☐</w:t>
            </w:r>
          </w:p>
        </w:tc>
        <w:tc>
          <w:tcPr>
            <w:tcW w:type="dxa" w:w="81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approved vulnerability/configuration scans; resolve or formally accept findings before vendor installation.</w:t>
            </w:r>
          </w:p>
        </w:tc>
        <w:tc>
          <w:tcPr>
            <w:tcW w:type="dxa" w:w="180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Procedure G — Infrastructure acceptance and vendor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080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52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Acceptance test</w:t>
            </w:r>
          </w:p>
        </w:tc>
        <w:tc>
          <w:tcPr>
            <w:tcW w:type="dxa" w:w="417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Pass evidence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DW-I01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Three dedicated E6 nodes exist with approved size and no GPU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inventory + OS evidence</w:t>
            </w:r>
          </w:p>
        </w:tc>
      </w:tr>
      <w:tr>
        <w:tc>
          <w:tcPr>
            <w:tcW w:type="dxa" w:w="10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DW-I02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public IP or unauthorized ingress/egress</w:t>
            </w:r>
          </w:p>
        </w:tc>
        <w:tc>
          <w:tcPr>
            <w:tcW w:type="dxa" w:w="41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VNIC, route, NSG and negative test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DW-I03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Jump-host → node and approved user → private endpoint paths work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DNS/TCP/TLS results</w:t>
            </w:r>
          </w:p>
        </w:tc>
      </w:tr>
      <w:tr>
        <w:tc>
          <w:tcPr>
            <w:tcW w:type="dxa" w:w="10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DW-I04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Node-to-node and cluster/API paths match approved matrix</w:t>
            </w:r>
          </w:p>
        </w:tc>
        <w:tc>
          <w:tcPr>
            <w:tcW w:type="dxa" w:w="41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Allowed/denied connectivity tests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DW-I05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Block storage persists across reboot and meets provisional baseline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Mount, checksum and performance results</w:t>
            </w:r>
          </w:p>
        </w:tc>
      </w:tr>
      <w:tr>
        <w:tc>
          <w:tcPr>
            <w:tcW w:type="dxa" w:w="10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DW-I06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Approved Decoupled Storage/database endpoint is reachable with least privilege</w:t>
            </w:r>
          </w:p>
        </w:tc>
        <w:tc>
          <w:tcPr>
            <w:tcW w:type="dxa" w:w="41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Vendor-approved test transaction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DW-I07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Logging, metrics, audit and alert delivery work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Dashboard/log query + received alert</w:t>
            </w:r>
          </w:p>
        </w:tc>
      </w:tr>
      <w:tr>
        <w:tc>
          <w:tcPr>
            <w:tcW w:type="dxa" w:w="10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DW-I08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Backup/restore test succeeds</w:t>
            </w:r>
          </w:p>
        </w:tc>
        <w:tc>
          <w:tcPr>
            <w:tcW w:type="dxa" w:w="41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Backup ID, restore log and checksum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DW-I09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 second operator can repeat access and validation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Independent execution record</w:t>
            </w:r>
          </w:p>
        </w:tc>
      </w:tr>
      <w:tr>
        <w:tc>
          <w:tcPr>
            <w:tcW w:type="dxa" w:w="1080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DW-I10</w:t>
            </w:r>
          </w:p>
        </w:tc>
        <w:tc>
          <w:tcPr>
            <w:tcW w:type="dxa" w:w="52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DataWalk signs platform readiness</w:t>
            </w:r>
          </w:p>
        </w:tc>
        <w:tc>
          <w:tcPr>
            <w:tcW w:type="dxa" w:w="417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Vendor acceptance or documented blockers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9.1 Handoff package</w:t>
      </w:r>
    </w:p>
    <w:p>
      <w:pPr>
        <w:pStyle w:val="ListBullet"/>
      </w:pPr>
      <w:r>
        <w:t>Architecture and approved CIDR/port matrix</w:t>
      </w:r>
    </w:p>
    <w:p>
      <w:pPr>
        <w:pStyle w:val="ListBullet"/>
      </w:pPr>
      <w:r>
        <w:t>ORM stack name/OCID, source commit, plan/apply job IDs and sanitized outputs</w:t>
      </w:r>
    </w:p>
    <w:p>
      <w:pPr>
        <w:pStyle w:val="ListBullet"/>
      </w:pPr>
      <w:r>
        <w:t>Instance, volume, VCN, subnet, NSG, route, DRG, endpoint and storage identifiers</w:t>
      </w:r>
    </w:p>
    <w:p>
      <w:pPr>
        <w:pStyle w:val="ListBullet"/>
      </w:pPr>
      <w:r>
        <w:t>Version matrix, RHEL entitlement, Kubernetes platform decision and image digests</w:t>
      </w:r>
    </w:p>
    <w:p>
      <w:pPr>
        <w:pStyle w:val="ListBullet"/>
      </w:pPr>
      <w:r>
        <w:t>DNS/TLS records, access roles, secret references and support contacts</w:t>
      </w:r>
    </w:p>
    <w:p>
      <w:pPr>
        <w:pStyle w:val="ListBullet"/>
      </w:pPr>
      <w:r>
        <w:t>Monitoring dashboards, alarm tests, backup/restore evidence and open defects</w:t>
      </w:r>
    </w:p>
    <w:p>
      <w:pPr>
        <w:pStyle w:val="ListBullet"/>
      </w:pPr>
      <w:r>
        <w:t>POC cost-to-date, expiration date and cleanup owner</w:t>
      </w:r>
    </w:p>
    <w:p>
      <w:pPr>
        <w:pStyle w:val="Heading1"/>
        <w:keepNext/>
      </w:pPr>
      <w:r>
        <w:t>10. Rollback, cleanup and recovery</w:t>
      </w:r>
    </w:p>
    <w:p>
      <w:pPr>
        <w:ind w:left="346" w:hanging="346"/>
      </w:pPr>
      <w:r>
        <w:rPr>
          <w:b/>
        </w:rPr>
        <w:t xml:space="preserve">1.  </w:t>
      </w:r>
      <w:r>
        <w:t>Stop application/vendor activity and preserve logs, screenshots, job IDs and state when a build or validation gate fails.</w:t>
      </w:r>
    </w:p>
    <w:p>
      <w:pPr>
        <w:ind w:left="346" w:hanging="346"/>
      </w:pPr>
      <w:r>
        <w:rPr>
          <w:b/>
        </w:rPr>
        <w:t xml:space="preserve">2.  </w:t>
      </w:r>
      <w:r>
        <w:t>For a failed ORM job, review state and work requests before rerunning. Do not manually delete individual stack-managed resources and then Apply without reconciliation.</w:t>
      </w:r>
    </w:p>
    <w:p>
      <w:pPr>
        <w:ind w:left="346" w:hanging="346"/>
      </w:pPr>
      <w:r>
        <w:rPr>
          <w:b/>
        </w:rPr>
        <w:t xml:space="preserve">3.  </w:t>
      </w:r>
      <w:r>
        <w:t>For rollback, detach preserved evidence/backup resources only if approved, then run an ORM Destroy plan and obtain the same change/funding/security approvals used for Apply.</w:t>
      </w:r>
    </w:p>
    <w:p>
      <w:pPr>
        <w:ind w:left="346" w:hanging="346"/>
      </w:pPr>
      <w:r>
        <w:rPr>
          <w:b/>
        </w:rPr>
        <w:t xml:space="preserve">4.  </w:t>
      </w:r>
      <w:r>
        <w:t>Confirm instances, volumes, VCN resources, DRG attachment, keys/secrets, DNS records, temporary policies, service accounts and test data are removed or transferred to an approved owner.</w:t>
      </w:r>
    </w:p>
    <w:p>
      <w:pPr>
        <w:ind w:left="346" w:hanging="346"/>
      </w:pPr>
      <w:r>
        <w:rPr>
          <w:b/>
        </w:rPr>
        <w:t xml:space="preserve">5.  </w:t>
      </w:r>
      <w:r>
        <w:t>Retain the final cost, evidence manifest, decisions, defects and lessons learned. Close the change only after inventory and billing checks show no orphaned resources.</w:t>
      </w:r>
    </w:p>
    <w:p>
      <w:pPr>
        <w:pStyle w:val="Heading2"/>
        <w:keepNext/>
      </w:pPr>
      <w:r>
        <w:t>10.1 Quick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88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Likely check</w:t>
            </w:r>
          </w:p>
        </w:tc>
        <w:tc>
          <w:tcPr>
            <w:tcW w:type="dxa" w:w="453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Safe response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SSH timeout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DRG routes, return route, firewall, NSG, source CIDR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each hop; do not add a public IP</w:t>
            </w:r>
          </w:p>
        </w:tc>
      </w:tr>
      <w:t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OCI APIs unreachable</w:t>
            </w:r>
          </w:p>
        </w:tc>
        <w:tc>
          <w:tcPr>
            <w:tcW w:type="dxa" w:w="38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Service Gateway route, NSG TCP/443, DNS</w:t>
            </w:r>
          </w:p>
        </w:tc>
        <w:tc>
          <w:tcPr>
            <w:tcW w:type="dxa" w:w="45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Correct routing/NSG; do not add broad Internet egress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Nodes cannot form cluster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Intra-node port matrix, CNI, DNS/NTP, certificates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approved matrix and Kubernetes SME</w:t>
            </w:r>
          </w:p>
        </w:tc>
      </w:tr>
      <w:t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Volume missing after reboot</w:t>
            </w:r>
          </w:p>
        </w:tc>
        <w:tc>
          <w:tcPr>
            <w:tcW w:type="dxa" w:w="38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Attachment, device mapping, UUID/fstab options</w:t>
            </w:r>
          </w:p>
        </w:tc>
        <w:tc>
          <w:tcPr>
            <w:tcW w:type="dxa" w:w="45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Recover mount safely; do not reformat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Low IOPS/throughput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Volume size/VPU tier and instance limits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Measure first; change VPUs under change control</w:t>
            </w:r>
          </w:p>
        </w:tc>
      </w:tr>
      <w:tr>
        <w:tc>
          <w:tcPr>
            <w:tcW w:type="dxa" w:w="20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Vendor rejects OS/image</w:t>
            </w:r>
          </w:p>
        </w:tc>
        <w:tc>
          <w:tcPr>
            <w:tcW w:type="dxa" w:w="388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Signed version matrix</w:t>
            </w:r>
          </w:p>
        </w:tc>
        <w:tc>
          <w:tcPr>
            <w:tcW w:type="dxa" w:w="453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Stop; choose approved OKE image or self-managed RHEL path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Appendix A — Execution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151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UTC time</w:t>
            </w:r>
          </w:p>
        </w:tc>
        <w:tc>
          <w:tcPr>
            <w:tcW w:type="dxa" w:w="1656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Operator</w:t>
            </w:r>
          </w:p>
        </w:tc>
        <w:tc>
          <w:tcPr>
            <w:tcW w:type="dxa" w:w="3672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Step / command</w:t>
            </w:r>
          </w:p>
        </w:tc>
        <w:tc>
          <w:tcPr>
            <w:tcW w:type="dxa" w:w="1944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1728"/>
            <w:vAlign w:val="center"/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link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c>
          <w:tcPr>
            <w:tcW w:type="dxa" w:w="151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656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3672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944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PASS / FAIL / BLOCKED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Appendix B — References</w:t>
      </w:r>
    </w:p>
    <w:p>
      <w:pPr>
        <w:spacing w:after="40"/>
      </w:pPr>
      <w:r>
        <w:rPr>
          <w:b/>
        </w:rPr>
        <w:t xml:space="preserve">[R1] DataWalk — Preparing for DataWalk on Containers. </w:t>
      </w:r>
      <w:r>
        <w:t>https://datawalk.com/preparing-for-datawalk-on-containers/</w:t>
      </w:r>
    </w:p>
    <w:p>
      <w:pPr>
        <w:spacing w:after="40"/>
      </w:pPr>
      <w:r>
        <w:rPr>
          <w:b/>
        </w:rPr>
        <w:t xml:space="preserve">[R2] Oracle — Supported OKE Worker Images and Shapes. </w:t>
      </w:r>
      <w:r>
        <w:t>https://docs.oracle.com/en-us/iaas/Content/ContEng/Reference/contengimagesshapes.htm</w:t>
      </w:r>
    </w:p>
    <w:p>
      <w:pPr>
        <w:spacing w:after="40"/>
      </w:pPr>
      <w:r>
        <w:rPr>
          <w:b/>
        </w:rPr>
        <w:t xml:space="preserve">[R3] Oracle — Supported Kubernetes Versions. </w:t>
      </w:r>
      <w:r>
        <w:t>https://docs.oracle.com/en-us/iaas/Content/ContEng/Concepts/contengaboutk8sversions.htm</w:t>
      </w:r>
    </w:p>
    <w:p>
      <w:pPr>
        <w:spacing w:after="40"/>
      </w:pPr>
      <w:r>
        <w:rPr>
          <w:b/>
        </w:rPr>
        <w:t xml:space="preserve">[R4] Oracle — OKE Network Resource Configuration. </w:t>
      </w:r>
      <w:r>
        <w:t>https://docs.oracle.com/en-us/iaas/Content/ContEng/Concepts/contengnetworkconfig.htm</w:t>
      </w:r>
    </w:p>
    <w:p>
      <w:pPr>
        <w:spacing w:after="40"/>
      </w:pPr>
      <w:r>
        <w:rPr>
          <w:b/>
        </w:rPr>
        <w:t xml:space="preserve">[R5] Oracle — OKE Security Best Practices. </w:t>
      </w:r>
      <w:r>
        <w:t>https://docs.oracle.com/en-us/iaas/Content/ContEng/Tasks/contengbestpractices_topic-Security-best-practices.htm</w:t>
      </w:r>
    </w:p>
    <w:p>
      <w:pPr>
        <w:spacing w:after="40"/>
      </w:pPr>
      <w:r>
        <w:rPr>
          <w:b/>
        </w:rPr>
        <w:t xml:space="preserve">[R6] Oracle — Compute Shapes. </w:t>
      </w:r>
      <w:r>
        <w:t>https://docs.oracle.com/en-us/iaas/Content/Compute/References/computeshapes.htm</w:t>
      </w:r>
    </w:p>
    <w:p>
      <w:pPr>
        <w:spacing w:after="40"/>
      </w:pPr>
      <w:r>
        <w:rPr>
          <w:b/>
        </w:rPr>
        <w:t xml:space="preserve">[R7] Oracle — Block Volume Performance. </w:t>
      </w:r>
      <w:r>
        <w:t>https://docs.oracle.com/en-us/iaas/Content/Block/Concepts/blockvolumeperformance.htm</w:t>
      </w:r>
    </w:p>
    <w:p>
      <w:pPr>
        <w:spacing w:after="40"/>
      </w:pPr>
      <w:r>
        <w:rPr>
          <w:b/>
        </w:rPr>
        <w:t xml:space="preserve">[R8] Oracle — Resource Manager Overview. </w:t>
      </w:r>
      <w:r>
        <w:t>https://docs.oracle.com/en-us/iaas/Content/ResourceManager/Concepts/resourcemanager.htm</w:t>
      </w:r>
    </w:p>
    <w:p>
      <w:pPr>
        <w:spacing w:after="40"/>
      </w:pPr>
      <w:r>
        <w:rPr>
          <w:b/>
        </w:rPr>
        <w:t xml:space="preserve">[R9] Oracle — Terraform Configurations for Resource Manager. </w:t>
      </w:r>
      <w:r>
        <w:t>https://docs.oracle.com/en-us/iaas/Content/ResourceManager/Concepts/terraformconfigresourcemanager.htm</w:t>
      </w:r>
    </w:p>
    <w:p>
      <w:pPr>
        <w:spacing w:after="40"/>
      </w:pPr>
      <w:r>
        <w:rPr>
          <w:b/>
        </w:rPr>
        <w:t xml:space="preserve">[R10] Oracle — Service Gateway. </w:t>
      </w:r>
      <w:r>
        <w:t>https://docs.oracle.com/en-us/iaas/Content/Network/Tasks/servicegateway.htm</w:t>
      </w:r>
    </w:p>
    <w:p>
      <w:pPr>
        <w:spacing w:after="40"/>
      </w:pPr>
      <w:r>
        <w:rPr>
          <w:b/>
        </w:rPr>
        <w:t xml:space="preserve">[R11] OCI DWHS repository — VM foundation stack. </w:t>
      </w:r>
      <w:r>
        <w:t>https://github.com/oci-appdev/dwhs/tree/main/terraform/oci-vm-foundation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DataWalk POC — Nonproduction Only   •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DATAWALK OCI POC  |  INFRASTRUCTURE BUILD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after="60"/>
      <w:ind w:left="288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DataWalk OCI POC Infrastructure Build Runbook</dc:title>
  <dc:subject>Dedicated DataWalk Dev-equivalent infrastructure build on OCI</dc:subject>
  <dc:creator>John Nguyen-Tran / OCI POC Team</dc:creator>
  <cp:keywords>OCI, DataWalk, POC, E6 Flex, Resource Manager, Kubernetes, RHEL 8.10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