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60"/>
      </w:pPr>
      <w:r>
        <w:rPr>
          <w:rFonts w:ascii="Calibri" w:hAnsi="Calibri"/>
          <w:b/>
          <w:i w:val="0"/>
          <w:color w:val="555555"/>
          <w:sz w:val="20"/>
        </w:rPr>
        <w:t>VENDOR VALIDATION MEETING</w:t>
      </w:r>
    </w:p>
    <w:p>
      <w:pPr>
        <w:spacing w:after="80"/>
      </w:pPr>
      <w:r>
        <w:rPr>
          <w:rFonts w:ascii="Calibri" w:hAnsi="Calibri"/>
          <w:b/>
          <w:i w:val="0"/>
          <w:color w:val="111111"/>
          <w:sz w:val="48"/>
        </w:rPr>
        <w:t>DataWalk + Hyperscience on OCI</w:t>
      </w:r>
    </w:p>
    <w:p>
      <w:pPr>
        <w:spacing w:after="280"/>
      </w:pPr>
      <w:r>
        <w:rPr>
          <w:rFonts w:ascii="Calibri" w:hAnsi="Calibri"/>
          <w:b w:val="0"/>
          <w:i w:val="0"/>
          <w:color w:val="555555"/>
          <w:sz w:val="28"/>
        </w:rPr>
        <w:t>VM.GPU.A10.2 / Kubernetes architecture review</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100" w:type="dxa"/>
              <w:start w:w="120" w:type="dxa"/>
              <w:bottom w:w="100" w:type="dxa"/>
              <w:end w:w="120" w:type="dxa"/>
            </w:tcMar>
            <w:vAlign w:val="center"/>
            <w:shd w:fill="F2F2F2"/>
          </w:tcPr>
          <w:p>
            <w:pPr>
              <w:jc w:val="center"/>
            </w:pPr>
            <w:r>
              <w:rPr>
                <w:rFonts w:ascii="Calibri" w:hAnsi="Calibri"/>
                <w:b/>
                <w:i w:val="0"/>
                <w:color w:val="555555"/>
                <w:sz w:val="18"/>
              </w:rPr>
              <w:t>PURPOSE</w:t>
            </w:r>
          </w:p>
        </w:tc>
        <w:tc>
          <w:tcPr>
            <w:tcW w:type="dxa" w:w="3120"/>
            <w:tcMar>
              <w:top w:w="100" w:type="dxa"/>
              <w:start w:w="120" w:type="dxa"/>
              <w:bottom w:w="100" w:type="dxa"/>
              <w:end w:w="120" w:type="dxa"/>
            </w:tcMar>
            <w:vAlign w:val="center"/>
            <w:shd w:fill="F2F2F2"/>
          </w:tcPr>
          <w:p>
            <w:pPr>
              <w:jc w:val="center"/>
            </w:pPr>
            <w:r>
              <w:rPr>
                <w:rFonts w:ascii="Calibri" w:hAnsi="Calibri"/>
                <w:b/>
                <w:i w:val="0"/>
                <w:color w:val="555555"/>
                <w:sz w:val="18"/>
              </w:rPr>
              <w:t>TARGET</w:t>
            </w:r>
          </w:p>
        </w:tc>
        <w:tc>
          <w:tcPr>
            <w:tcW w:type="dxa" w:w="3120"/>
            <w:tcMar>
              <w:top w:w="100" w:type="dxa"/>
              <w:start w:w="120" w:type="dxa"/>
              <w:bottom w:w="100" w:type="dxa"/>
              <w:end w:w="120" w:type="dxa"/>
            </w:tcMar>
            <w:vAlign w:val="center"/>
            <w:shd w:fill="F2F2F2"/>
          </w:tcPr>
          <w:p>
            <w:pPr>
              <w:jc w:val="center"/>
            </w:pPr>
            <w:r>
              <w:rPr>
                <w:rFonts w:ascii="Calibri" w:hAnsi="Calibri"/>
                <w:b/>
                <w:i w:val="0"/>
                <w:color w:val="555555"/>
                <w:sz w:val="18"/>
              </w:rPr>
              <w:t>DATE</w:t>
            </w:r>
          </w:p>
        </w:tc>
      </w:tr>
      <w:tr>
        <w:tc>
          <w:tcPr>
            <w:tcW w:type="dxa" w:w="3120"/>
            <w:tcMar>
              <w:top w:w="100" w:type="dxa"/>
              <w:start w:w="120" w:type="dxa"/>
              <w:bottom w:w="100" w:type="dxa"/>
              <w:end w:w="120" w:type="dxa"/>
            </w:tcMar>
            <w:vAlign w:val="center"/>
          </w:tcPr>
          <w:p>
            <w:pPr>
              <w:jc w:val="center"/>
            </w:pPr>
            <w:r>
              <w:rPr>
                <w:rFonts w:ascii="Calibri" w:hAnsi="Calibri"/>
                <w:b/>
                <w:i w:val="0"/>
                <w:color w:val="111111"/>
                <w:sz w:val="21"/>
              </w:rPr>
              <w:t>Validate production support</w:t>
            </w:r>
          </w:p>
        </w:tc>
        <w:tc>
          <w:tcPr>
            <w:tcW w:type="dxa" w:w="3120"/>
            <w:tcMar>
              <w:top w:w="100" w:type="dxa"/>
              <w:start w:w="120" w:type="dxa"/>
              <w:bottom w:w="100" w:type="dxa"/>
              <w:end w:w="120" w:type="dxa"/>
            </w:tcMar>
            <w:vAlign w:val="center"/>
          </w:tcPr>
          <w:p>
            <w:pPr>
              <w:jc w:val="center"/>
            </w:pPr>
            <w:r>
              <w:rPr>
                <w:rFonts w:ascii="Calibri" w:hAnsi="Calibri"/>
                <w:b/>
                <w:i w:val="0"/>
                <w:color w:val="111111"/>
                <w:sz w:val="21"/>
              </w:rPr>
              <w:t>OCI Government Cloud</w:t>
            </w:r>
          </w:p>
        </w:tc>
        <w:tc>
          <w:tcPr>
            <w:tcW w:type="dxa" w:w="3120"/>
            <w:tcMar>
              <w:top w:w="100" w:type="dxa"/>
              <w:start w:w="120" w:type="dxa"/>
              <w:bottom w:w="100" w:type="dxa"/>
              <w:end w:w="120" w:type="dxa"/>
            </w:tcMar>
            <w:vAlign w:val="center"/>
          </w:tcPr>
          <w:p>
            <w:pPr>
              <w:jc w:val="center"/>
            </w:pPr>
            <w:r>
              <w:rPr>
                <w:rFonts w:ascii="Calibri" w:hAnsi="Calibri"/>
                <w:b/>
                <w:i w:val="0"/>
                <w:color w:val="111111"/>
                <w:sz w:val="21"/>
              </w:rPr>
              <w:t>August 21, 2026</w:t>
            </w:r>
          </w:p>
        </w:tc>
      </w:tr>
    </w:tbl>
    <w:p>
      <w:pPr>
        <w:pStyle w:val="Heading1"/>
      </w:pPr>
      <w:r>
        <w:t>Meeting objective</w:t>
      </w:r>
    </w:p>
    <w:p>
      <w:pPr>
        <w:spacing w:after="160"/>
      </w:pPr>
      <w:r>
        <w:t>Leave the meeting with written vendor positions and named owners for every item that could change the OCI build: deployment model, worker-node operating system, Kubernetes/version matrix, GPU use, storage, database, networking, security, sizing, licensing, high availability, and proof-of-concept acceptance criteria.</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2F2F2"/>
          </w:tcPr>
          <w:p>
            <w:pPr>
              <w:spacing w:after="0" w:line="276" w:lineRule="auto"/>
            </w:pPr>
            <w:r>
              <w:rPr>
                <w:rFonts w:ascii="Calibri" w:hAnsi="Calibri"/>
                <w:b/>
                <w:i w:val="0"/>
                <w:color w:val="111111"/>
                <w:sz w:val="21"/>
              </w:rPr>
              <w:t xml:space="preserve">PRIMARY DECISION  </w:t>
            </w:r>
            <w:r>
              <w:rPr>
                <w:rFonts w:ascii="Calibri" w:hAnsi="Calibri"/>
                <w:b w:val="0"/>
                <w:i w:val="0"/>
                <w:color w:val="111111"/>
                <w:sz w:val="21"/>
              </w:rPr>
              <w:t>Can both products be supported on managed OKE using Oracle's OKE Oracle Linux GPU image on VM.GPU.A10.2? If DataWalk requires RHEL or Rocky as the Kubernetes node OS, the managed-OKE design may need to be revised.</w:t>
            </w:r>
          </w:p>
        </w:tc>
      </w:tr>
    </w:tbl>
    <w:p>
      <w:pPr>
        <w:spacing w:after="0"/>
      </w:pPr>
    </w:p>
    <w:p>
      <w:pPr>
        <w:pStyle w:val="Heading1"/>
      </w:pPr>
      <w:r>
        <w:t>Suggested 45-minute agenda</w:t>
      </w:r>
    </w:p>
    <w:tbl>
      <w:tblPr>
        <w:tblStyle w:val="TableGrid"/>
        <w:tblW w:type="dxa" w:w="9360"/>
        <w:jc w:val="left"/>
        <w:tblLayout w:type="fixed"/>
        <w:tblLook w:firstColumn="1" w:firstRow="1" w:lastColumn="0" w:lastRow="0" w:noHBand="0" w:noVBand="1" w:val="04A0"/>
        <w:tblInd w:w="120" w:type="dxa"/>
      </w:tblPr>
      <w:tblGrid>
        <w:gridCol w:w="1500"/>
        <w:gridCol w:w="7860"/>
      </w:tblGrid>
      <w:tr>
        <w:trPr>
          <w:tblHeader w:val="true"/>
        </w:trPr>
        <w:tc>
          <w:tcPr>
            <w:tcW w:type="dxa" w:w="1500"/>
            <w:tcMar>
              <w:top w:w="100" w:type="dxa"/>
              <w:start w:w="120" w:type="dxa"/>
              <w:bottom w:w="100" w:type="dxa"/>
              <w:end w:w="120" w:type="dxa"/>
            </w:tcMar>
            <w:vAlign w:val="center"/>
            <w:shd w:fill="F2F2F2"/>
          </w:tcPr>
          <w:p>
            <w:r>
              <w:rPr>
                <w:rFonts w:ascii="Calibri" w:hAnsi="Calibri"/>
                <w:b/>
                <w:i w:val="0"/>
                <w:color w:val="111111"/>
                <w:sz w:val="20"/>
              </w:rPr>
              <w:t>Time</w:t>
            </w:r>
          </w:p>
        </w:tc>
        <w:tc>
          <w:tcPr>
            <w:tcW w:type="dxa" w:w="7860"/>
            <w:tcMar>
              <w:top w:w="100" w:type="dxa"/>
              <w:start w:w="120" w:type="dxa"/>
              <w:bottom w:w="100" w:type="dxa"/>
              <w:end w:w="120" w:type="dxa"/>
            </w:tcMar>
            <w:vAlign w:val="center"/>
            <w:shd w:fill="F2F2F2"/>
          </w:tcPr>
          <w:p>
            <w:r>
              <w:rPr>
                <w:rFonts w:ascii="Calibri" w:hAnsi="Calibri"/>
                <w:b/>
                <w:i w:val="0"/>
                <w:color w:val="111111"/>
                <w:sz w:val="20"/>
              </w:rPr>
              <w:t>Topic</w:t>
            </w:r>
          </w:p>
        </w:tc>
      </w:tr>
      <w:tr>
        <w:tc>
          <w:tcPr>
            <w:tcW w:type="dxa" w:w="1500"/>
            <w:tcMar>
              <w:top w:w="100" w:type="dxa"/>
              <w:start w:w="120" w:type="dxa"/>
              <w:bottom w:w="100" w:type="dxa"/>
              <w:end w:w="120" w:type="dxa"/>
            </w:tcMar>
            <w:vAlign w:val="center"/>
          </w:tcPr>
          <w:p>
            <w:r>
              <w:rPr>
                <w:rFonts w:ascii="Calibri" w:hAnsi="Calibri"/>
                <w:b w:val="0"/>
                <w:i w:val="0"/>
                <w:color w:val="111111"/>
                <w:sz w:val="21"/>
              </w:rPr>
              <w:t>0–5 min</w:t>
            </w:r>
          </w:p>
        </w:tc>
        <w:tc>
          <w:tcPr>
            <w:tcW w:type="dxa" w:w="7860"/>
            <w:tcMar>
              <w:top w:w="100" w:type="dxa"/>
              <w:start w:w="120" w:type="dxa"/>
              <w:bottom w:w="100" w:type="dxa"/>
              <w:end w:w="120" w:type="dxa"/>
            </w:tcMar>
            <w:vAlign w:val="center"/>
          </w:tcPr>
          <w:p>
            <w:r>
              <w:rPr>
                <w:rFonts w:ascii="Calibri" w:hAnsi="Calibri"/>
                <w:b w:val="0"/>
                <w:i w:val="0"/>
                <w:color w:val="111111"/>
                <w:sz w:val="21"/>
              </w:rPr>
              <w:t>Project update and intended decisions</w:t>
            </w:r>
          </w:p>
        </w:tc>
      </w:tr>
      <w:tr>
        <w:tc>
          <w:tcPr>
            <w:tcW w:type="dxa" w:w="1500"/>
            <w:tcMar>
              <w:top w:w="100" w:type="dxa"/>
              <w:start w:w="120" w:type="dxa"/>
              <w:bottom w:w="100" w:type="dxa"/>
              <w:end w:w="120" w:type="dxa"/>
            </w:tcMar>
            <w:vAlign w:val="center"/>
          </w:tcPr>
          <w:p>
            <w:r>
              <w:rPr>
                <w:rFonts w:ascii="Calibri" w:hAnsi="Calibri"/>
                <w:b w:val="0"/>
                <w:i w:val="0"/>
                <w:color w:val="111111"/>
                <w:sz w:val="21"/>
              </w:rPr>
              <w:t>5–17 min</w:t>
            </w:r>
          </w:p>
        </w:tc>
        <w:tc>
          <w:tcPr>
            <w:tcW w:type="dxa" w:w="7860"/>
            <w:tcMar>
              <w:top w:w="100" w:type="dxa"/>
              <w:start w:w="120" w:type="dxa"/>
              <w:bottom w:w="100" w:type="dxa"/>
              <w:end w:w="120" w:type="dxa"/>
            </w:tcMar>
            <w:vAlign w:val="center"/>
          </w:tcPr>
          <w:p>
            <w:r>
              <w:rPr>
                <w:rFonts w:ascii="Calibri" w:hAnsi="Calibri"/>
                <w:b w:val="0"/>
                <w:i w:val="0"/>
                <w:color w:val="111111"/>
                <w:sz w:val="21"/>
              </w:rPr>
              <w:t>DataWalk support validation</w:t>
            </w:r>
          </w:p>
        </w:tc>
      </w:tr>
      <w:tr>
        <w:tc>
          <w:tcPr>
            <w:tcW w:type="dxa" w:w="1500"/>
            <w:tcMar>
              <w:top w:w="100" w:type="dxa"/>
              <w:start w:w="120" w:type="dxa"/>
              <w:bottom w:w="100" w:type="dxa"/>
              <w:end w:w="120" w:type="dxa"/>
            </w:tcMar>
            <w:vAlign w:val="center"/>
          </w:tcPr>
          <w:p>
            <w:r>
              <w:rPr>
                <w:rFonts w:ascii="Calibri" w:hAnsi="Calibri"/>
                <w:b w:val="0"/>
                <w:i w:val="0"/>
                <w:color w:val="111111"/>
                <w:sz w:val="21"/>
              </w:rPr>
              <w:t>17–29 min</w:t>
            </w:r>
          </w:p>
        </w:tc>
        <w:tc>
          <w:tcPr>
            <w:tcW w:type="dxa" w:w="7860"/>
            <w:tcMar>
              <w:top w:w="100" w:type="dxa"/>
              <w:start w:w="120" w:type="dxa"/>
              <w:bottom w:w="100" w:type="dxa"/>
              <w:end w:w="120" w:type="dxa"/>
            </w:tcMar>
            <w:vAlign w:val="center"/>
          </w:tcPr>
          <w:p>
            <w:r>
              <w:rPr>
                <w:rFonts w:ascii="Calibri" w:hAnsi="Calibri"/>
                <w:b w:val="0"/>
                <w:i w:val="0"/>
                <w:color w:val="111111"/>
                <w:sz w:val="21"/>
              </w:rPr>
              <w:t>Hyperscience support validation</w:t>
            </w:r>
          </w:p>
        </w:tc>
      </w:tr>
      <w:tr>
        <w:tc>
          <w:tcPr>
            <w:tcW w:type="dxa" w:w="1500"/>
            <w:tcMar>
              <w:top w:w="100" w:type="dxa"/>
              <w:start w:w="120" w:type="dxa"/>
              <w:bottom w:w="100" w:type="dxa"/>
              <w:end w:w="120" w:type="dxa"/>
            </w:tcMar>
            <w:vAlign w:val="center"/>
          </w:tcPr>
          <w:p>
            <w:r>
              <w:rPr>
                <w:rFonts w:ascii="Calibri" w:hAnsi="Calibri"/>
                <w:b w:val="0"/>
                <w:i w:val="0"/>
                <w:color w:val="111111"/>
                <w:sz w:val="21"/>
              </w:rPr>
              <w:t>29–38 min</w:t>
            </w:r>
          </w:p>
        </w:tc>
        <w:tc>
          <w:tcPr>
            <w:tcW w:type="dxa" w:w="7860"/>
            <w:tcMar>
              <w:top w:w="100" w:type="dxa"/>
              <w:start w:w="120" w:type="dxa"/>
              <w:bottom w:w="100" w:type="dxa"/>
              <w:end w:w="120" w:type="dxa"/>
            </w:tcMar>
            <w:vAlign w:val="center"/>
          </w:tcPr>
          <w:p>
            <w:r>
              <w:rPr>
                <w:rFonts w:ascii="Calibri" w:hAnsi="Calibri"/>
                <w:b w:val="0"/>
                <w:i w:val="0"/>
                <w:color w:val="111111"/>
                <w:sz w:val="21"/>
              </w:rPr>
              <w:t>Joint OCI architecture and security boundaries</w:t>
            </w:r>
          </w:p>
        </w:tc>
      </w:tr>
      <w:tr>
        <w:tc>
          <w:tcPr>
            <w:tcW w:type="dxa" w:w="1500"/>
            <w:tcMar>
              <w:top w:w="100" w:type="dxa"/>
              <w:start w:w="120" w:type="dxa"/>
              <w:bottom w:w="100" w:type="dxa"/>
              <w:end w:w="120" w:type="dxa"/>
            </w:tcMar>
            <w:vAlign w:val="center"/>
          </w:tcPr>
          <w:p>
            <w:r>
              <w:rPr>
                <w:rFonts w:ascii="Calibri" w:hAnsi="Calibri"/>
                <w:b w:val="0"/>
                <w:i w:val="0"/>
                <w:color w:val="111111"/>
                <w:sz w:val="21"/>
              </w:rPr>
              <w:t>38–45 min</w:t>
            </w:r>
          </w:p>
        </w:tc>
        <w:tc>
          <w:tcPr>
            <w:tcW w:type="dxa" w:w="7860"/>
            <w:tcMar>
              <w:top w:w="100" w:type="dxa"/>
              <w:start w:w="120" w:type="dxa"/>
              <w:bottom w:w="100" w:type="dxa"/>
              <w:end w:w="120" w:type="dxa"/>
            </w:tcMar>
            <w:vAlign w:val="center"/>
          </w:tcPr>
          <w:p>
            <w:r>
              <w:rPr>
                <w:rFonts w:ascii="Calibri" w:hAnsi="Calibri"/>
                <w:b w:val="0"/>
                <w:i w:val="0"/>
                <w:color w:val="111111"/>
                <w:sz w:val="21"/>
              </w:rPr>
              <w:t>POC success criteria, owners, dates, and written follow-up</w:t>
            </w:r>
          </w:p>
        </w:tc>
      </w:tr>
    </w:tbl>
    <w:p>
      <w:r>
        <w:br w:type="page"/>
      </w:r>
    </w:p>
    <w:p>
      <w:pPr>
        <w:pStyle w:val="Heading1"/>
      </w:pPr>
      <w:r>
        <w:t>1. Project update to deliver</w:t>
      </w:r>
    </w:p>
    <w:p>
      <w:pPr>
        <w:spacing w:after="160"/>
      </w:pPr>
      <w:r>
        <w:rPr>
          <w:rFonts w:ascii="Calibri" w:hAnsi="Calibri"/>
          <w:b/>
          <w:i w:val="0"/>
          <w:color w:val="111111"/>
          <w:sz w:val="22"/>
        </w:rPr>
        <w:t>Use this as the opening update:</w:t>
      </w:r>
      <w:r>
        <w:rPr>
          <w:rFonts w:ascii="Calibri" w:hAnsi="Calibri"/>
          <w:b w:val="0"/>
          <w:i w:val="0"/>
          <w:color w:val="111111"/>
          <w:sz w:val="22"/>
        </w:rPr>
        <w:t xml:space="preserve"> We selected OCI VM.GPU.A10.2—not A10.1—as the target GPU shape. Oracle documents A10.2 as an OKE GPU node-pool example. Our proposed landing zone is private Kubernetes with separate CPU platform capacity and isolated application/GPU capacity, plus external database, storage, registry, secrets, logging, and monitoring services. Today we need vendor confirmation that the exact OS, Kubernetes version, drivers, storage interfaces, security settings, and topology are supported before we approve a production build.</w:t>
      </w:r>
    </w:p>
    <w:p>
      <w:pPr>
        <w:pStyle w:val="Heading2"/>
      </w:pPr>
      <w:r>
        <w:t>Confirmed from current public documentation</w:t>
      </w:r>
    </w:p>
    <w:p>
      <w:pPr>
        <w:spacing w:after="80" w:line="300" w:lineRule="auto"/>
        <w:numPr>
          <w:ilvl w:val="0"/>
          <w:numId w:val="11"/>
        </w:numPr>
      </w:pPr>
      <w:r>
        <w:rPr>
          <w:rFonts w:ascii="Calibri" w:hAnsi="Calibri"/>
          <w:b w:val="0"/>
          <w:i w:val="0"/>
          <w:color w:val="111111"/>
          <w:sz w:val="22"/>
        </w:rPr>
        <w:t>OCI VM.GPU.A10.2 provides 2 NVIDIA A10 GPUs, 30 OCPUs, 480 GB system memory, 48 GB total GPU memory across two discrete 24 GB devices, and up to 48 Gbps networking.</w:t>
      </w:r>
    </w:p>
    <w:p>
      <w:pPr>
        <w:spacing w:after="80" w:line="300" w:lineRule="auto"/>
        <w:numPr>
          <w:ilvl w:val="0"/>
          <w:numId w:val="11"/>
        </w:numPr>
      </w:pPr>
      <w:r>
        <w:rPr>
          <w:rFonts w:ascii="Calibri" w:hAnsi="Calibri"/>
          <w:b w:val="0"/>
          <w:i w:val="0"/>
          <w:color w:val="111111"/>
          <w:sz w:val="22"/>
        </w:rPr>
        <w:t>Oracle documents deploying an OKE node pool with VM.GPU.A10.2 and an OKE Oracle Linux GPU image or compatible custom image, with GPUs advertised to Kubernetes as resources such as nvidia.com/gpu.</w:t>
      </w:r>
    </w:p>
    <w:p>
      <w:pPr>
        <w:spacing w:after="80" w:line="300" w:lineRule="auto"/>
        <w:numPr>
          <w:ilvl w:val="0"/>
          <w:numId w:val="11"/>
        </w:numPr>
      </w:pPr>
      <w:r>
        <w:rPr>
          <w:rFonts w:ascii="Calibri" w:hAnsi="Calibri"/>
          <w:b w:val="0"/>
          <w:i w:val="0"/>
          <w:color w:val="111111"/>
          <w:sz w:val="22"/>
        </w:rPr>
        <w:t>DataWalk 5.1 supports container and non-container deployments; 5.2+ requires containers and Decoupled Storage. DataWalk's public preparation page names RHEL 8.10 or Rocky Linux 8 and calls for Kubernetes/container-trained administrators.</w:t>
      </w:r>
    </w:p>
    <w:p>
      <w:pPr>
        <w:spacing w:after="80" w:line="300" w:lineRule="auto"/>
        <w:numPr>
          <w:ilvl w:val="0"/>
          <w:numId w:val="11"/>
        </w:numPr>
      </w:pPr>
      <w:r>
        <w:rPr>
          <w:rFonts w:ascii="Calibri" w:hAnsi="Calibri"/>
          <w:b w:val="0"/>
          <w:i w:val="0"/>
          <w:color w:val="111111"/>
          <w:sz w:val="22"/>
        </w:rPr>
        <w:t>Hyperscience installs on an existing Kubernetes cluster, recommends a dedicated namespace, requires external SQL database and file storage, and calls for separate platform and trainer node groups.</w:t>
      </w:r>
    </w:p>
    <w:p>
      <w:pPr>
        <w:spacing w:after="80" w:line="300" w:lineRule="auto"/>
        <w:numPr>
          <w:ilvl w:val="0"/>
          <w:numId w:val="11"/>
        </w:numPr>
      </w:pPr>
      <w:r>
        <w:rPr>
          <w:rFonts w:ascii="Calibri" w:hAnsi="Calibri"/>
          <w:b w:val="0"/>
          <w:i w:val="0"/>
          <w:color w:val="111111"/>
          <w:sz w:val="22"/>
        </w:rPr>
        <w:t>Hyperscience supports GPU trainers in v41+ and publicly lists NVIDIA A10 (24 GB, compute capability 8.6) for specified 42.x+ versions and ORCA use cases.</w:t>
      </w:r>
    </w:p>
    <w:p>
      <w:pPr>
        <w:spacing w:after="80" w:line="300" w:lineRule="auto"/>
        <w:numPr>
          <w:ilvl w:val="0"/>
          <w:numId w:val="11"/>
        </w:numPr>
      </w:pPr>
      <w:r>
        <w:rPr>
          <w:rFonts w:ascii="Calibri" w:hAnsi="Calibri"/>
          <w:b w:val="0"/>
          <w:i w:val="0"/>
          <w:color w:val="111111"/>
          <w:sz w:val="22"/>
        </w:rPr>
        <w:t>As of the current Hyperscience page, Kubernetes 1.34 is supported through December 2026 and 1.35 through April 2027; the exact application release still must be matched to that calendar.</w:t>
      </w:r>
    </w:p>
    <w:p>
      <w:pPr>
        <w:pStyle w:val="Heading2"/>
      </w:pPr>
      <w:r>
        <w:t>Not yet validated—do not present as final</w:t>
      </w:r>
    </w:p>
    <w:p>
      <w:pPr>
        <w:spacing w:after="80" w:line="300" w:lineRule="auto"/>
        <w:numPr>
          <w:ilvl w:val="0"/>
          <w:numId w:val="11"/>
        </w:numPr>
      </w:pPr>
      <w:r>
        <w:rPr>
          <w:rFonts w:ascii="Calibri" w:hAnsi="Calibri"/>
          <w:b w:val="0"/>
          <w:i w:val="0"/>
          <w:color w:val="111111"/>
          <w:sz w:val="22"/>
        </w:rPr>
        <w:t>Do not say RHEL 8.10 is the managed OKE worker image. Oracle's supported managed-node path uses approved OKE images; vendor acceptance of Oracle Linux must be obtained.</w:t>
      </w:r>
    </w:p>
    <w:p>
      <w:pPr>
        <w:spacing w:after="80" w:line="300" w:lineRule="auto"/>
        <w:numPr>
          <w:ilvl w:val="0"/>
          <w:numId w:val="11"/>
        </w:numPr>
      </w:pPr>
      <w:r>
        <w:rPr>
          <w:rFonts w:ascii="Calibri" w:hAnsi="Calibri"/>
          <w:b w:val="0"/>
          <w:i w:val="0"/>
          <w:color w:val="111111"/>
          <w:sz w:val="22"/>
        </w:rPr>
        <w:t>Do not say two 24 GB A10 GPUs behave as one 48 GB GPU. Multi-GPU execution and memory behavior are application-dependent.</w:t>
      </w:r>
    </w:p>
    <w:p>
      <w:pPr>
        <w:spacing w:after="80" w:line="300" w:lineRule="auto"/>
        <w:numPr>
          <w:ilvl w:val="0"/>
          <w:numId w:val="11"/>
        </w:numPr>
      </w:pPr>
      <w:r>
        <w:rPr>
          <w:rFonts w:ascii="Calibri" w:hAnsi="Calibri"/>
          <w:b w:val="0"/>
          <w:i w:val="0"/>
          <w:color w:val="111111"/>
          <w:sz w:val="22"/>
        </w:rPr>
        <w:t>Do not claim DataWalk receives GPU acceleration until DataWalk identifies the component, container image, CUDA/driver requirements, and supported resource request.</w:t>
      </w:r>
    </w:p>
    <w:p>
      <w:pPr>
        <w:spacing w:after="80" w:line="300" w:lineRule="auto"/>
        <w:numPr>
          <w:ilvl w:val="0"/>
          <w:numId w:val="11"/>
        </w:numPr>
      </w:pPr>
      <w:r>
        <w:rPr>
          <w:rFonts w:ascii="Calibri" w:hAnsi="Calibri"/>
          <w:b w:val="0"/>
          <w:i w:val="0"/>
          <w:color w:val="111111"/>
          <w:sz w:val="22"/>
        </w:rPr>
        <w:t>Do not assume OCI Object Storage, OCI Container Registry, OCI Load Balancer, or an OCI database is certified merely because the interfaces appear compatible.</w:t>
      </w:r>
    </w:p>
    <w:p>
      <w:pPr>
        <w:spacing w:after="80" w:line="300" w:lineRule="auto"/>
        <w:numPr>
          <w:ilvl w:val="0"/>
          <w:numId w:val="11"/>
        </w:numPr>
      </w:pPr>
      <w:r>
        <w:rPr>
          <w:rFonts w:ascii="Calibri" w:hAnsi="Calibri"/>
          <w:b w:val="0"/>
          <w:i w:val="0"/>
          <w:color w:val="111111"/>
          <w:sz w:val="22"/>
        </w:rPr>
        <w:t>Do not assume a single shared cluster is acceptable for production support, security authorization, upgrades, or failure isolation.</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2F2F2"/>
          </w:tcPr>
          <w:p>
            <w:pPr>
              <w:spacing w:after="0" w:line="276" w:lineRule="auto"/>
            </w:pPr>
            <w:r>
              <w:rPr>
                <w:rFonts w:ascii="Calibri" w:hAnsi="Calibri"/>
                <w:b/>
                <w:i w:val="0"/>
                <w:color w:val="111111"/>
                <w:sz w:val="21"/>
              </w:rPr>
              <w:t xml:space="preserve">RECOMMENDED POSITION  </w:t>
            </w:r>
            <w:r>
              <w:rPr>
                <w:rFonts w:ascii="Calibri" w:hAnsi="Calibri"/>
                <w:b w:val="0"/>
                <w:i w:val="0"/>
                <w:color w:val="111111"/>
                <w:sz w:val="21"/>
              </w:rPr>
              <w:t>Approve only a controlled proof of concept. Production approval should be conditional on written vendor responses, a signed version matrix, successful performance/failover tests, regional A10.2 capacity, and an agreed support model.</w:t>
            </w:r>
          </w:p>
        </w:tc>
      </w:tr>
    </w:tbl>
    <w:p>
      <w:pPr>
        <w:spacing w:after="0"/>
      </w:pPr>
    </w:p>
    <w:p>
      <w:pPr>
        <w:pStyle w:val="Heading1"/>
      </w:pPr>
      <w:r>
        <w:t>2. Questions for the DataWalk team</w:t>
      </w:r>
    </w:p>
    <w:p>
      <w:pPr>
        <w:spacing w:after="160"/>
      </w:pPr>
      <w:r>
        <w:t>Ask DataWalk to separate requirements for the containerized product from requirements for a standalone VM installation. Request written answers and exact version numbers.</w:t>
      </w:r>
    </w:p>
    <w:p>
      <w:pPr>
        <w:spacing w:after="80" w:line="300" w:lineRule="auto"/>
        <w:numPr>
          <w:ilvl w:val="0"/>
          <w:numId w:val="12"/>
        </w:numPr>
      </w:pPr>
      <w:r>
        <w:rPr>
          <w:rFonts w:ascii="Calibri" w:hAnsi="Calibri"/>
          <w:b/>
          <w:i w:val="0"/>
          <w:color w:val="111111"/>
          <w:sz w:val="22"/>
        </w:rPr>
        <w:t xml:space="preserve">Supported topology: </w:t>
      </w:r>
      <w:r>
        <w:rPr>
          <w:rFonts w:ascii="Calibri" w:hAnsi="Calibri"/>
          <w:b w:val="0"/>
          <w:i w:val="0"/>
          <w:color w:val="111111"/>
          <w:sz w:val="22"/>
        </w:rPr>
        <w:t>Will DataWalk support this release on OCI managed OKE, or does support require a vendor-specified Kubernetes distribution? Please provide the support statement in writing.</w:t>
      </w:r>
    </w:p>
    <w:p>
      <w:pPr>
        <w:spacing w:after="80" w:line="300" w:lineRule="auto"/>
        <w:numPr>
          <w:ilvl w:val="0"/>
          <w:numId w:val="12"/>
        </w:numPr>
      </w:pPr>
      <w:r>
        <w:rPr>
          <w:rFonts w:ascii="Calibri" w:hAnsi="Calibri"/>
          <w:b/>
          <w:i w:val="0"/>
          <w:color w:val="111111"/>
          <w:sz w:val="22"/>
        </w:rPr>
        <w:t xml:space="preserve">Worker-node OS: </w:t>
      </w:r>
      <w:r>
        <w:rPr>
          <w:rFonts w:ascii="Calibri" w:hAnsi="Calibri"/>
          <w:b w:val="0"/>
          <w:i w:val="0"/>
          <w:color w:val="111111"/>
          <w:sz w:val="22"/>
        </w:rPr>
        <w:t>Does the published RHEL 8.10 / Rocky Linux 8 minimum apply to the Kubernetes worker-node host OS? Will you support Oracle Linux 8 or Oracle Linux 9 OKE GPU images?</w:t>
      </w:r>
    </w:p>
    <w:p>
      <w:pPr>
        <w:spacing w:after="80" w:line="300" w:lineRule="auto"/>
        <w:numPr>
          <w:ilvl w:val="0"/>
          <w:numId w:val="12"/>
        </w:numPr>
      </w:pPr>
      <w:r>
        <w:rPr>
          <w:rFonts w:ascii="Calibri" w:hAnsi="Calibri"/>
          <w:b/>
          <w:i w:val="0"/>
          <w:color w:val="111111"/>
          <w:sz w:val="22"/>
        </w:rPr>
        <w:t xml:space="preserve">Exact versions: </w:t>
      </w:r>
      <w:r>
        <w:rPr>
          <w:rFonts w:ascii="Calibri" w:hAnsi="Calibri"/>
          <w:b w:val="0"/>
          <w:i w:val="0"/>
          <w:color w:val="111111"/>
          <w:sz w:val="22"/>
        </w:rPr>
        <w:t>Which DataWalk, Kubernetes, Helm/chart, container runtime, kernel, and storage-interface versions should be locked for the POC and production?</w:t>
      </w:r>
    </w:p>
    <w:p>
      <w:pPr>
        <w:spacing w:after="80" w:line="300" w:lineRule="auto"/>
        <w:numPr>
          <w:ilvl w:val="0"/>
          <w:numId w:val="12"/>
        </w:numPr>
      </w:pPr>
      <w:r>
        <w:rPr>
          <w:rFonts w:ascii="Calibri" w:hAnsi="Calibri"/>
          <w:b/>
          <w:i w:val="0"/>
          <w:color w:val="111111"/>
          <w:sz w:val="22"/>
        </w:rPr>
        <w:t xml:space="preserve">GPU value: </w:t>
      </w:r>
      <w:r>
        <w:rPr>
          <w:rFonts w:ascii="Calibri" w:hAnsi="Calibri"/>
          <w:b w:val="0"/>
          <w:i w:val="0"/>
          <w:color w:val="111111"/>
          <w:sz w:val="22"/>
        </w:rPr>
        <w:t>Which DataWalk pods or modules can use NVIDIA A10 GPUs? Is GPU optional, required, or unused for our knowledge-graph, ingestion, analytics, and AI use cases?</w:t>
      </w:r>
    </w:p>
    <w:p>
      <w:pPr>
        <w:spacing w:after="80" w:line="300" w:lineRule="auto"/>
        <w:numPr>
          <w:ilvl w:val="0"/>
          <w:numId w:val="12"/>
        </w:numPr>
      </w:pPr>
      <w:r>
        <w:rPr>
          <w:rFonts w:ascii="Calibri" w:hAnsi="Calibri"/>
          <w:b/>
          <w:i w:val="0"/>
          <w:color w:val="111111"/>
          <w:sz w:val="22"/>
        </w:rPr>
        <w:t xml:space="preserve">GPU software: </w:t>
      </w:r>
      <w:r>
        <w:rPr>
          <w:rFonts w:ascii="Calibri" w:hAnsi="Calibri"/>
          <w:b w:val="0"/>
          <w:i w:val="0"/>
          <w:color w:val="111111"/>
          <w:sz w:val="22"/>
        </w:rPr>
        <w:t>If GPU is used, what NVIDIA driver, CUDA runtime, device plug-in/operator, resource request, and single-/multi-GPU configuration are supported?</w:t>
      </w:r>
    </w:p>
    <w:p>
      <w:pPr>
        <w:spacing w:after="80" w:line="300" w:lineRule="auto"/>
        <w:numPr>
          <w:ilvl w:val="0"/>
          <w:numId w:val="12"/>
        </w:numPr>
      </w:pPr>
      <w:r>
        <w:rPr>
          <w:rFonts w:ascii="Calibri" w:hAnsi="Calibri"/>
          <w:b/>
          <w:i w:val="0"/>
          <w:color w:val="111111"/>
          <w:sz w:val="22"/>
        </w:rPr>
        <w:t xml:space="preserve">Sizing: </w:t>
      </w:r>
      <w:r>
        <w:rPr>
          <w:rFonts w:ascii="Calibri" w:hAnsi="Calibri"/>
          <w:b w:val="0"/>
          <w:i w:val="0"/>
          <w:color w:val="111111"/>
          <w:sz w:val="22"/>
        </w:rPr>
        <w:t>Provide CPU, RAM, storage, IOPS, network, and node-count sizing for development, test, and production based on our data volume, ingestion rate, concurrency, and retention.</w:t>
      </w:r>
    </w:p>
    <w:p>
      <w:pPr>
        <w:spacing w:after="80" w:line="300" w:lineRule="auto"/>
        <w:numPr>
          <w:ilvl w:val="0"/>
          <w:numId w:val="12"/>
        </w:numPr>
      </w:pPr>
      <w:r>
        <w:rPr>
          <w:rFonts w:ascii="Calibri" w:hAnsi="Calibri"/>
          <w:b/>
          <w:i w:val="0"/>
          <w:color w:val="111111"/>
          <w:sz w:val="22"/>
        </w:rPr>
        <w:t xml:space="preserve">Decoupled Storage: </w:t>
      </w:r>
      <w:r>
        <w:rPr>
          <w:rFonts w:ascii="Calibri" w:hAnsi="Calibri"/>
          <w:b w:val="0"/>
          <w:i w:val="0"/>
          <w:color w:val="111111"/>
          <w:sz w:val="22"/>
        </w:rPr>
        <w:t>What exact external object/file/block storage is required for DS mode? Is OCI Object Storage supported directly, through its S3-compatible API, or not supported?</w:t>
      </w:r>
    </w:p>
    <w:p>
      <w:pPr>
        <w:spacing w:after="80" w:line="300" w:lineRule="auto"/>
        <w:numPr>
          <w:ilvl w:val="0"/>
          <w:numId w:val="12"/>
        </w:numPr>
      </w:pPr>
      <w:r>
        <w:rPr>
          <w:rFonts w:ascii="Calibri" w:hAnsi="Calibri"/>
          <w:b/>
          <w:i w:val="0"/>
          <w:color w:val="111111"/>
          <w:sz w:val="22"/>
        </w:rPr>
        <w:t xml:space="preserve">State and database: </w:t>
      </w:r>
      <w:r>
        <w:rPr>
          <w:rFonts w:ascii="Calibri" w:hAnsi="Calibri"/>
          <w:b w:val="0"/>
          <w:i w:val="0"/>
          <w:color w:val="111111"/>
          <w:sz w:val="22"/>
        </w:rPr>
        <w:t>Which DataWalk services are stateful, what database technology is required, and which components may run outside the cluster?</w:t>
      </w:r>
    </w:p>
    <w:p>
      <w:pPr>
        <w:spacing w:after="80" w:line="300" w:lineRule="auto"/>
        <w:numPr>
          <w:ilvl w:val="0"/>
          <w:numId w:val="12"/>
        </w:numPr>
      </w:pPr>
      <w:r>
        <w:rPr>
          <w:rFonts w:ascii="Calibri" w:hAnsi="Calibri"/>
          <w:b/>
          <w:i w:val="0"/>
          <w:color w:val="111111"/>
          <w:sz w:val="22"/>
        </w:rPr>
        <w:t xml:space="preserve">HA/DR: </w:t>
      </w:r>
      <w:r>
        <w:rPr>
          <w:rFonts w:ascii="Calibri" w:hAnsi="Calibri"/>
          <w:b w:val="0"/>
          <w:i w:val="0"/>
          <w:color w:val="111111"/>
          <w:sz w:val="22"/>
        </w:rPr>
        <w:t>What is the supported production availability pattern across nodes, fault domains, availability domains, and regions? What are the required RPO and RTO procedures?</w:t>
      </w:r>
    </w:p>
    <w:p>
      <w:pPr>
        <w:spacing w:after="80" w:line="300" w:lineRule="auto"/>
        <w:numPr>
          <w:ilvl w:val="0"/>
          <w:numId w:val="12"/>
        </w:numPr>
      </w:pPr>
      <w:r>
        <w:rPr>
          <w:rFonts w:ascii="Calibri" w:hAnsi="Calibri"/>
          <w:b/>
          <w:i w:val="0"/>
          <w:color w:val="111111"/>
          <w:sz w:val="22"/>
        </w:rPr>
        <w:t xml:space="preserve">Security: </w:t>
      </w:r>
      <w:r>
        <w:rPr>
          <w:rFonts w:ascii="Calibri" w:hAnsi="Calibri"/>
          <w:b w:val="0"/>
          <w:i w:val="0"/>
          <w:color w:val="111111"/>
          <w:sz w:val="22"/>
        </w:rPr>
        <w:t>Confirm compatibility with private nodes, no public IPs, SELinux enforcing, FIPS mode, restricted egress, non-root containers, image scanning, secrets from OCI Vault, and our admission policies.</w:t>
      </w:r>
    </w:p>
    <w:p>
      <w:pPr>
        <w:spacing w:after="80" w:line="300" w:lineRule="auto"/>
        <w:numPr>
          <w:ilvl w:val="0"/>
          <w:numId w:val="12"/>
        </w:numPr>
      </w:pPr>
      <w:r>
        <w:rPr>
          <w:rFonts w:ascii="Calibri" w:hAnsi="Calibri"/>
          <w:b/>
          <w:i w:val="0"/>
          <w:color w:val="111111"/>
          <w:sz w:val="22"/>
        </w:rPr>
        <w:t xml:space="preserve">Lifecycle: </w:t>
      </w:r>
      <w:r>
        <w:rPr>
          <w:rFonts w:ascii="Calibri" w:hAnsi="Calibri"/>
          <w:b w:val="0"/>
          <w:i w:val="0"/>
          <w:color w:val="111111"/>
          <w:sz w:val="22"/>
        </w:rPr>
        <w:t>Who owns chart upgrades, Kubernetes upgrades, OS/driver patching, backup validation, and support-bundle collection? What change sequence preserves vendor support?</w:t>
      </w:r>
    </w:p>
    <w:p>
      <w:pPr>
        <w:spacing w:after="80" w:line="300" w:lineRule="auto"/>
        <w:numPr>
          <w:ilvl w:val="0"/>
          <w:numId w:val="12"/>
        </w:numPr>
      </w:pPr>
      <w:r>
        <w:rPr>
          <w:rFonts w:ascii="Calibri" w:hAnsi="Calibri"/>
          <w:b/>
          <w:i w:val="0"/>
          <w:color w:val="111111"/>
          <w:sz w:val="22"/>
        </w:rPr>
        <w:t xml:space="preserve">POC acceptance: </w:t>
      </w:r>
      <w:r>
        <w:rPr>
          <w:rFonts w:ascii="Calibri" w:hAnsi="Calibri"/>
          <w:b w:val="0"/>
          <w:i w:val="0"/>
          <w:color w:val="111111"/>
          <w:sz w:val="22"/>
        </w:rPr>
        <w:t>What test dataset, workload, duration, performance targets, and evidence will DataWalk accept as proof that the A10.2/OCI design is ready?</w:t>
      </w:r>
    </w:p>
    <w:p>
      <w:pPr>
        <w:pStyle w:val="Heading1"/>
      </w:pPr>
      <w:r>
        <w:t>3. Questions for the Hyperscience team</w:t>
      </w:r>
    </w:p>
    <w:p>
      <w:pPr>
        <w:spacing w:after="160"/>
      </w:pPr>
      <w:r>
        <w:t>Hyperscience publicly supports Kubernetes and NVIDIA A10, but the exact release/use-case matrix is what determines the driver, CUDA, node labels, and GPU allocation.</w:t>
      </w:r>
    </w:p>
    <w:p>
      <w:pPr>
        <w:spacing w:after="80" w:line="300" w:lineRule="auto"/>
        <w:numPr>
          <w:ilvl w:val="0"/>
          <w:numId w:val="13"/>
        </w:numPr>
      </w:pPr>
      <w:r>
        <w:rPr>
          <w:rFonts w:ascii="Calibri" w:hAnsi="Calibri"/>
          <w:b/>
          <w:i w:val="0"/>
          <w:color w:val="111111"/>
          <w:sz w:val="22"/>
        </w:rPr>
        <w:t xml:space="preserve">OKE support: </w:t>
      </w:r>
      <w:r>
        <w:rPr>
          <w:rFonts w:ascii="Calibri" w:hAnsi="Calibri"/>
          <w:b w:val="0"/>
          <w:i w:val="0"/>
          <w:color w:val="111111"/>
          <w:sz w:val="22"/>
        </w:rPr>
        <w:t>Will Hyperscience support the selected release on Oracle Kubernetes Engine? Are there any OCI- or OKE-specific exclusions compared with the published AWS, GCP, and Azure examples?</w:t>
      </w:r>
    </w:p>
    <w:p>
      <w:pPr>
        <w:spacing w:after="80" w:line="300" w:lineRule="auto"/>
        <w:numPr>
          <w:ilvl w:val="0"/>
          <w:numId w:val="13"/>
        </w:numPr>
      </w:pPr>
      <w:r>
        <w:rPr>
          <w:rFonts w:ascii="Calibri" w:hAnsi="Calibri"/>
          <w:b/>
          <w:i w:val="0"/>
          <w:color w:val="111111"/>
          <w:sz w:val="22"/>
        </w:rPr>
        <w:t xml:space="preserve">Exact versions: </w:t>
      </w:r>
      <w:r>
        <w:rPr>
          <w:rFonts w:ascii="Calibri" w:hAnsi="Calibri"/>
          <w:b w:val="0"/>
          <w:i w:val="0"/>
          <w:color w:val="111111"/>
          <w:sz w:val="22"/>
        </w:rPr>
        <w:t>Which Hyperscience release, Kubernetes minor version, Helm chart/hsk8s version, container runtime, and HyperOperator version should be pinned?</w:t>
      </w:r>
    </w:p>
    <w:p>
      <w:pPr>
        <w:spacing w:after="80" w:line="300" w:lineRule="auto"/>
        <w:numPr>
          <w:ilvl w:val="0"/>
          <w:numId w:val="13"/>
        </w:numPr>
      </w:pPr>
      <w:r>
        <w:rPr>
          <w:rFonts w:ascii="Calibri" w:hAnsi="Calibri"/>
          <w:b/>
          <w:i w:val="0"/>
          <w:color w:val="111111"/>
          <w:sz w:val="22"/>
        </w:rPr>
        <w:t xml:space="preserve">Node OS: </w:t>
      </w:r>
      <w:r>
        <w:rPr>
          <w:rFonts w:ascii="Calibri" w:hAnsi="Calibri"/>
          <w:b w:val="0"/>
          <w:i w:val="0"/>
          <w:color w:val="111111"/>
          <w:sz w:val="22"/>
        </w:rPr>
        <w:t>Does Hyperscience impose any Kubernetes worker-node OS requirement? Is an OKE Oracle Linux 9 GPU image supported? Do not rely on VM/Podman OS support as the answer for Kubernetes.</w:t>
      </w:r>
    </w:p>
    <w:p>
      <w:pPr>
        <w:spacing w:after="80" w:line="300" w:lineRule="auto"/>
        <w:numPr>
          <w:ilvl w:val="0"/>
          <w:numId w:val="13"/>
        </w:numPr>
      </w:pPr>
      <w:r>
        <w:rPr>
          <w:rFonts w:ascii="Calibri" w:hAnsi="Calibri"/>
          <w:b/>
          <w:i w:val="0"/>
          <w:color w:val="111111"/>
          <w:sz w:val="22"/>
        </w:rPr>
        <w:t xml:space="preserve">A10 use case: </w:t>
      </w:r>
      <w:r>
        <w:rPr>
          <w:rFonts w:ascii="Calibri" w:hAnsi="Calibri"/>
          <w:b w:val="0"/>
          <w:i w:val="0"/>
          <w:color w:val="111111"/>
          <w:sz w:val="22"/>
        </w:rPr>
        <w:t>Which of our workflows require GPU: Long-form Extraction training, Field/Table Identification, ORCA model training, ORCA VLM inference, or another component?</w:t>
      </w:r>
    </w:p>
    <w:p>
      <w:pPr>
        <w:spacing w:after="80" w:line="300" w:lineRule="auto"/>
        <w:numPr>
          <w:ilvl w:val="0"/>
          <w:numId w:val="13"/>
        </w:numPr>
      </w:pPr>
      <w:r>
        <w:rPr>
          <w:rFonts w:ascii="Calibri" w:hAnsi="Calibri"/>
          <w:b/>
          <w:i w:val="0"/>
          <w:color w:val="111111"/>
          <w:sz w:val="22"/>
        </w:rPr>
        <w:t xml:space="preserve">Two GPUs: </w:t>
      </w:r>
      <w:r>
        <w:rPr>
          <w:rFonts w:ascii="Calibri" w:hAnsi="Calibri"/>
          <w:b w:val="0"/>
          <w:i w:val="0"/>
          <w:color w:val="111111"/>
          <w:sz w:val="22"/>
        </w:rPr>
        <w:t>Can a Hyperscience trainer or application pod use both A10 GPUs on VM.GPU.A10.2? If yes, does it aggregate usable model memory, and what pod resource/affinity configuration is required?</w:t>
      </w:r>
    </w:p>
    <w:p>
      <w:pPr>
        <w:spacing w:after="80" w:line="300" w:lineRule="auto"/>
        <w:numPr>
          <w:ilvl w:val="0"/>
          <w:numId w:val="13"/>
        </w:numPr>
      </w:pPr>
      <w:r>
        <w:rPr>
          <w:rFonts w:ascii="Calibri" w:hAnsi="Calibri"/>
          <w:b/>
          <w:i w:val="0"/>
          <w:color w:val="111111"/>
          <w:sz w:val="22"/>
        </w:rPr>
        <w:t xml:space="preserve">Driver/CUDA: </w:t>
      </w:r>
      <w:r>
        <w:rPr>
          <w:rFonts w:ascii="Calibri" w:hAnsi="Calibri"/>
          <w:b w:val="0"/>
          <w:i w:val="0"/>
          <w:color w:val="111111"/>
          <w:sz w:val="22"/>
        </w:rPr>
        <w:t>For the exact release and use case, confirm the required NVIDIA driver and CUDA runtime. Is the Oracle-provided GPU image/driver combination certified?</w:t>
      </w:r>
    </w:p>
    <w:p>
      <w:pPr>
        <w:spacing w:after="80" w:line="300" w:lineRule="auto"/>
        <w:numPr>
          <w:ilvl w:val="0"/>
          <w:numId w:val="13"/>
        </w:numPr>
      </w:pPr>
      <w:r>
        <w:rPr>
          <w:rFonts w:ascii="Calibri" w:hAnsi="Calibri"/>
          <w:b/>
          <w:i w:val="0"/>
          <w:color w:val="111111"/>
          <w:sz w:val="22"/>
        </w:rPr>
        <w:t xml:space="preserve">Node groups: </w:t>
      </w:r>
      <w:r>
        <w:rPr>
          <w:rFonts w:ascii="Calibri" w:hAnsi="Calibri"/>
          <w:b w:val="0"/>
          <w:i w:val="0"/>
          <w:color w:val="111111"/>
          <w:sz w:val="22"/>
        </w:rPr>
        <w:t>Confirm required counts and labels for platform, trainer, and GPU-enabled application nodes; confirm whether GPU trainer and GPU application workloads may share a node pool.</w:t>
      </w:r>
    </w:p>
    <w:p>
      <w:pPr>
        <w:spacing w:after="80" w:line="300" w:lineRule="auto"/>
        <w:numPr>
          <w:ilvl w:val="0"/>
          <w:numId w:val="13"/>
        </w:numPr>
      </w:pPr>
      <w:r>
        <w:rPr>
          <w:rFonts w:ascii="Calibri" w:hAnsi="Calibri"/>
          <w:b/>
          <w:i w:val="0"/>
          <w:color w:val="111111"/>
          <w:sz w:val="22"/>
        </w:rPr>
        <w:t xml:space="preserve">Database: </w:t>
      </w:r>
      <w:r>
        <w:rPr>
          <w:rFonts w:ascii="Calibri" w:hAnsi="Calibri"/>
          <w:b w:val="0"/>
          <w:i w:val="0"/>
          <w:color w:val="111111"/>
          <w:sz w:val="22"/>
        </w:rPr>
        <w:t>Which database engines and versions are supported on OCI? May we use an OCI managed database, and what availability, privilege, connection-pooling, encryption, and backup requirements apply?</w:t>
      </w:r>
    </w:p>
    <w:p>
      <w:pPr>
        <w:spacing w:after="80" w:line="300" w:lineRule="auto"/>
        <w:numPr>
          <w:ilvl w:val="0"/>
          <w:numId w:val="13"/>
        </w:numPr>
      </w:pPr>
      <w:r>
        <w:rPr>
          <w:rFonts w:ascii="Calibri" w:hAnsi="Calibri"/>
          <w:b/>
          <w:i w:val="0"/>
          <w:color w:val="111111"/>
          <w:sz w:val="22"/>
        </w:rPr>
        <w:t xml:space="preserve">File storage: </w:t>
      </w:r>
      <w:r>
        <w:rPr>
          <w:rFonts w:ascii="Calibri" w:hAnsi="Calibri"/>
          <w:b w:val="0"/>
          <w:i w:val="0"/>
          <w:color w:val="111111"/>
          <w:sz w:val="22"/>
        </w:rPr>
        <w:t>Is OCI Object Storage supported natively or through its S3-compatible interface? If not, which NFS/CIFS or persistent-volume pattern is supported?</w:t>
      </w:r>
    </w:p>
    <w:p>
      <w:pPr>
        <w:spacing w:after="80" w:line="300" w:lineRule="auto"/>
        <w:numPr>
          <w:ilvl w:val="0"/>
          <w:numId w:val="13"/>
        </w:numPr>
      </w:pPr>
      <w:r>
        <w:rPr>
          <w:rFonts w:ascii="Calibri" w:hAnsi="Calibri"/>
          <w:b/>
          <w:i w:val="0"/>
          <w:color w:val="111111"/>
          <w:sz w:val="22"/>
        </w:rPr>
        <w:t xml:space="preserve">Registry/artifacts: </w:t>
      </w:r>
      <w:r>
        <w:rPr>
          <w:rFonts w:ascii="Calibri" w:hAnsi="Calibri"/>
          <w:b w:val="0"/>
          <w:i w:val="0"/>
          <w:color w:val="111111"/>
          <w:sz w:val="22"/>
        </w:rPr>
        <w:t>Is OCI Container Registry accepted as the internal Docker Registry HTTP API V2 endpoint? What four repositories, image-retention rules, and offline synchronization process are required?</w:t>
      </w:r>
    </w:p>
    <w:p>
      <w:pPr>
        <w:spacing w:after="80" w:line="300" w:lineRule="auto"/>
        <w:numPr>
          <w:ilvl w:val="0"/>
          <w:numId w:val="13"/>
        </w:numPr>
      </w:pPr>
      <w:r>
        <w:rPr>
          <w:rFonts w:ascii="Calibri" w:hAnsi="Calibri"/>
          <w:b/>
          <w:i w:val="0"/>
          <w:color w:val="111111"/>
          <w:sz w:val="22"/>
        </w:rPr>
        <w:t xml:space="preserve">Network/license: </w:t>
      </w:r>
      <w:r>
        <w:rPr>
          <w:rFonts w:ascii="Calibri" w:hAnsi="Calibri"/>
          <w:b w:val="0"/>
          <w:i w:val="0"/>
          <w:color w:val="111111"/>
          <w:sz w:val="22"/>
        </w:rPr>
        <w:t>List required outbound destinations, ports, TLS inspection exceptions, FQDN/ingress requirements, Cloudsmith/support access, and license behavior during failover.</w:t>
      </w:r>
    </w:p>
    <w:p>
      <w:pPr>
        <w:spacing w:after="80" w:line="300" w:lineRule="auto"/>
        <w:numPr>
          <w:ilvl w:val="0"/>
          <w:numId w:val="13"/>
        </w:numPr>
      </w:pPr>
      <w:r>
        <w:rPr>
          <w:rFonts w:ascii="Calibri" w:hAnsi="Calibri"/>
          <w:b/>
          <w:i w:val="0"/>
          <w:color w:val="111111"/>
          <w:sz w:val="22"/>
        </w:rPr>
        <w:t xml:space="preserve">Security context: </w:t>
      </w:r>
      <w:r>
        <w:rPr>
          <w:rFonts w:ascii="Calibri" w:hAnsi="Calibri"/>
          <w:b w:val="0"/>
          <w:i w:val="0"/>
          <w:color w:val="111111"/>
          <w:sz w:val="22"/>
        </w:rPr>
        <w:t>Confirm required SETUID/SETGID, fsGroup, allowPrivilegeEscalation, readOnlyRootFilesystem, and non-root settings, and provide the minimum admission-policy exceptions.</w:t>
      </w:r>
    </w:p>
    <w:p>
      <w:pPr>
        <w:spacing w:after="80" w:line="300" w:lineRule="auto"/>
        <w:numPr>
          <w:ilvl w:val="0"/>
          <w:numId w:val="13"/>
        </w:numPr>
      </w:pPr>
      <w:r>
        <w:rPr>
          <w:rFonts w:ascii="Calibri" w:hAnsi="Calibri"/>
          <w:b/>
          <w:i w:val="0"/>
          <w:color w:val="111111"/>
          <w:sz w:val="22"/>
        </w:rPr>
        <w:t xml:space="preserve">Sizing/licensing: </w:t>
      </w:r>
      <w:r>
        <w:rPr>
          <w:rFonts w:ascii="Calibri" w:hAnsi="Calibri"/>
          <w:b w:val="0"/>
          <w:i w:val="0"/>
          <w:color w:val="111111"/>
          <w:sz w:val="22"/>
        </w:rPr>
        <w:t>Confirm whether vendor sizing counts OCI 30 OCPUs as 60 vCPUs/threads, and explain license metrics for platform, trainer, GPU application, and standby capacity.</w:t>
      </w:r>
    </w:p>
    <w:p>
      <w:pPr>
        <w:spacing w:after="80" w:line="300" w:lineRule="auto"/>
        <w:numPr>
          <w:ilvl w:val="0"/>
          <w:numId w:val="13"/>
        </w:numPr>
      </w:pPr>
      <w:r>
        <w:rPr>
          <w:rFonts w:ascii="Calibri" w:hAnsi="Calibri"/>
          <w:b/>
          <w:i w:val="0"/>
          <w:color w:val="111111"/>
          <w:sz w:val="22"/>
        </w:rPr>
        <w:t xml:space="preserve">POC acceptance: </w:t>
      </w:r>
      <w:r>
        <w:rPr>
          <w:rFonts w:ascii="Calibri" w:hAnsi="Calibri"/>
          <w:b w:val="0"/>
          <w:i w:val="0"/>
          <w:color w:val="111111"/>
          <w:sz w:val="22"/>
        </w:rPr>
        <w:t>Agree on document types, volumes, concurrent jobs, accuracy/throughput targets, GPU utilization evidence, failover tests, and success thresholds.</w:t>
      </w:r>
    </w:p>
    <w:p>
      <w:pPr>
        <w:pStyle w:val="Heading1"/>
      </w:pPr>
      <w:r>
        <w:t>4. Joint architecture decisions</w:t>
      </w:r>
    </w:p>
    <w:p>
      <w:pPr>
        <w:spacing w:after="80" w:line="300" w:lineRule="auto"/>
        <w:numPr>
          <w:ilvl w:val="0"/>
          <w:numId w:val="14"/>
        </w:numPr>
      </w:pPr>
      <w:r>
        <w:rPr>
          <w:rFonts w:ascii="Calibri" w:hAnsi="Calibri"/>
          <w:b/>
          <w:i w:val="0"/>
          <w:color w:val="111111"/>
          <w:sz w:val="22"/>
        </w:rPr>
        <w:t xml:space="preserve">Cluster boundary: </w:t>
      </w:r>
      <w:r>
        <w:rPr>
          <w:rFonts w:ascii="Calibri" w:hAnsi="Calibri"/>
          <w:b w:val="0"/>
          <w:i w:val="0"/>
          <w:color w:val="111111"/>
          <w:sz w:val="22"/>
        </w:rPr>
        <w:t>One shared OKE cluster with separate namespaces/node pools, or separate clusters per application and environment? Identify the support, upgrade, security, and failure-isolation rationale.</w:t>
      </w:r>
    </w:p>
    <w:p>
      <w:pPr>
        <w:spacing w:after="80" w:line="300" w:lineRule="auto"/>
        <w:numPr>
          <w:ilvl w:val="0"/>
          <w:numId w:val="14"/>
        </w:numPr>
      </w:pPr>
      <w:r>
        <w:rPr>
          <w:rFonts w:ascii="Calibri" w:hAnsi="Calibri"/>
          <w:b/>
          <w:i w:val="0"/>
          <w:color w:val="111111"/>
          <w:sz w:val="22"/>
        </w:rPr>
        <w:t xml:space="preserve">GPU placement: </w:t>
      </w:r>
      <w:r>
        <w:rPr>
          <w:rFonts w:ascii="Calibri" w:hAnsi="Calibri"/>
          <w:b w:val="0"/>
          <w:i w:val="0"/>
          <w:color w:val="111111"/>
          <w:sz w:val="22"/>
        </w:rPr>
        <w:t>Should A10.2 be reserved only for confirmed GPU consumers, with ordinary platform pods on lower-cost CPU shapes?</w:t>
      </w:r>
    </w:p>
    <w:p>
      <w:pPr>
        <w:spacing w:after="80" w:line="300" w:lineRule="auto"/>
        <w:numPr>
          <w:ilvl w:val="0"/>
          <w:numId w:val="14"/>
        </w:numPr>
      </w:pPr>
      <w:r>
        <w:rPr>
          <w:rFonts w:ascii="Calibri" w:hAnsi="Calibri"/>
          <w:b/>
          <w:i w:val="0"/>
          <w:color w:val="111111"/>
          <w:sz w:val="22"/>
        </w:rPr>
        <w:t xml:space="preserve">Environment isolation: </w:t>
      </w:r>
      <w:r>
        <w:rPr>
          <w:rFonts w:ascii="Calibri" w:hAnsi="Calibri"/>
          <w:b w:val="0"/>
          <w:i w:val="0"/>
          <w:color w:val="111111"/>
          <w:sz w:val="22"/>
        </w:rPr>
        <w:t>Confirm separate development, test, and production compartments/clusters/node pools, and whether any production resources may be shared.</w:t>
      </w:r>
    </w:p>
    <w:p>
      <w:pPr>
        <w:spacing w:after="80" w:line="300" w:lineRule="auto"/>
        <w:numPr>
          <w:ilvl w:val="0"/>
          <w:numId w:val="14"/>
        </w:numPr>
      </w:pPr>
      <w:r>
        <w:rPr>
          <w:rFonts w:ascii="Calibri" w:hAnsi="Calibri"/>
          <w:b/>
          <w:i w:val="0"/>
          <w:color w:val="111111"/>
          <w:sz w:val="22"/>
        </w:rPr>
        <w:t xml:space="preserve">Storage ownership: </w:t>
      </w:r>
      <w:r>
        <w:rPr>
          <w:rFonts w:ascii="Calibri" w:hAnsi="Calibri"/>
          <w:b w:val="0"/>
          <w:i w:val="0"/>
          <w:color w:val="111111"/>
          <w:sz w:val="22"/>
        </w:rPr>
        <w:t>For every persistent dataset, identify the system of record, interface, encryption key, backup owner, retention, restore method, RPO, and RTO.</w:t>
      </w:r>
    </w:p>
    <w:p>
      <w:pPr>
        <w:spacing w:after="80" w:line="300" w:lineRule="auto"/>
        <w:numPr>
          <w:ilvl w:val="0"/>
          <w:numId w:val="14"/>
        </w:numPr>
      </w:pPr>
      <w:r>
        <w:rPr>
          <w:rFonts w:ascii="Calibri" w:hAnsi="Calibri"/>
          <w:b/>
          <w:i w:val="0"/>
          <w:color w:val="111111"/>
          <w:sz w:val="22"/>
        </w:rPr>
        <w:t xml:space="preserve">Ingress and identity: </w:t>
      </w:r>
      <w:r>
        <w:rPr>
          <w:rFonts w:ascii="Calibri" w:hAnsi="Calibri"/>
          <w:b w:val="0"/>
          <w:i w:val="0"/>
          <w:color w:val="111111"/>
          <w:sz w:val="22"/>
        </w:rPr>
        <w:t>Confirm OCI Load Balancer/ingress controller, TLS termination, DNS/FQDN, SSO/identity provider, service-to-service authentication, and certificate ownership.</w:t>
      </w:r>
    </w:p>
    <w:p>
      <w:pPr>
        <w:spacing w:after="80" w:line="300" w:lineRule="auto"/>
        <w:numPr>
          <w:ilvl w:val="0"/>
          <w:numId w:val="14"/>
        </w:numPr>
      </w:pPr>
      <w:r>
        <w:rPr>
          <w:rFonts w:ascii="Calibri" w:hAnsi="Calibri"/>
          <w:b/>
          <w:i w:val="0"/>
          <w:color w:val="111111"/>
          <w:sz w:val="22"/>
        </w:rPr>
        <w:t xml:space="preserve">Disconnected operations: </w:t>
      </w:r>
      <w:r>
        <w:rPr>
          <w:rFonts w:ascii="Calibri" w:hAnsi="Calibri"/>
          <w:b w:val="0"/>
          <w:i w:val="0"/>
          <w:color w:val="111111"/>
          <w:sz w:val="22"/>
        </w:rPr>
        <w:t>Can installation, upgrade, model delivery, vulnerability remediation, and support operate with restricted or no direct internet egress?</w:t>
      </w:r>
    </w:p>
    <w:p>
      <w:pPr>
        <w:spacing w:after="80" w:line="300" w:lineRule="auto"/>
        <w:numPr>
          <w:ilvl w:val="0"/>
          <w:numId w:val="14"/>
        </w:numPr>
      </w:pPr>
      <w:r>
        <w:rPr>
          <w:rFonts w:ascii="Calibri" w:hAnsi="Calibri"/>
          <w:b/>
          <w:i w:val="0"/>
          <w:color w:val="111111"/>
          <w:sz w:val="22"/>
        </w:rPr>
        <w:t xml:space="preserve">Observability: </w:t>
      </w:r>
      <w:r>
        <w:rPr>
          <w:rFonts w:ascii="Calibri" w:hAnsi="Calibri"/>
          <w:b w:val="0"/>
          <w:i w:val="0"/>
          <w:color w:val="111111"/>
          <w:sz w:val="22"/>
        </w:rPr>
        <w:t>Define required product logs, audit events, metrics, GPU telemetry, health checks, alert thresholds, and support-bundle handling.</w:t>
      </w:r>
    </w:p>
    <w:p>
      <w:pPr>
        <w:spacing w:after="80" w:line="300" w:lineRule="auto"/>
        <w:numPr>
          <w:ilvl w:val="0"/>
          <w:numId w:val="14"/>
        </w:numPr>
      </w:pPr>
      <w:r>
        <w:rPr>
          <w:rFonts w:ascii="Calibri" w:hAnsi="Calibri"/>
          <w:b/>
          <w:i w:val="0"/>
          <w:color w:val="111111"/>
          <w:sz w:val="22"/>
        </w:rPr>
        <w:t xml:space="preserve">Support handoff: </w:t>
      </w:r>
      <w:r>
        <w:rPr>
          <w:rFonts w:ascii="Calibri" w:hAnsi="Calibri"/>
          <w:b w:val="0"/>
          <w:i w:val="0"/>
          <w:color w:val="111111"/>
          <w:sz w:val="22"/>
        </w:rPr>
        <w:t>Which team owns Kubernetes, OS, NVIDIA drivers, the GPU operator/device plug-in, application charts, database, storage, and first-response triage?</w:t>
      </w:r>
    </w:p>
    <w:p>
      <w:pPr>
        <w:spacing w:after="80" w:line="300" w:lineRule="auto"/>
        <w:numPr>
          <w:ilvl w:val="0"/>
          <w:numId w:val="14"/>
        </w:numPr>
      </w:pPr>
      <w:r>
        <w:rPr>
          <w:rFonts w:ascii="Calibri" w:hAnsi="Calibri"/>
          <w:b/>
          <w:i w:val="0"/>
          <w:color w:val="111111"/>
          <w:sz w:val="22"/>
        </w:rPr>
        <w:t xml:space="preserve">Vendor services: </w:t>
      </w:r>
      <w:r>
        <w:rPr>
          <w:rFonts w:ascii="Calibri" w:hAnsi="Calibri"/>
          <w:b w:val="0"/>
          <w:i w:val="0"/>
          <w:color w:val="111111"/>
          <w:sz w:val="22"/>
        </w:rPr>
        <w:t>How many vendor/partner Kubernetes SME hours are required for design review, install, POC, production cutover, and knowledge transfer?</w:t>
      </w:r>
    </w:p>
    <w:p>
      <w:pPr>
        <w:pStyle w:val="Heading1"/>
      </w:pPr>
      <w:r>
        <w:t>Proposed POC acceptance gates</w:t>
      </w:r>
    </w:p>
    <w:p>
      <w:pPr>
        <w:spacing w:after="80" w:line="300" w:lineRule="auto"/>
        <w:numPr>
          <w:ilvl w:val="0"/>
          <w:numId w:val="11"/>
        </w:numPr>
      </w:pPr>
      <w:r>
        <w:rPr>
          <w:rFonts w:ascii="Calibri" w:hAnsi="Calibri"/>
          <w:b w:val="0"/>
          <w:i w:val="0"/>
          <w:color w:val="111111"/>
          <w:sz w:val="22"/>
        </w:rPr>
        <w:t>Platform: A10.2 is available in the target availability domain; each node reports two healthy NVIDIA A10 devices; Kubernetes advertises the expected GPU resources.</w:t>
      </w:r>
    </w:p>
    <w:p>
      <w:pPr>
        <w:spacing w:after="80" w:line="300" w:lineRule="auto"/>
        <w:numPr>
          <w:ilvl w:val="0"/>
          <w:numId w:val="11"/>
        </w:numPr>
      </w:pPr>
      <w:r>
        <w:rPr>
          <w:rFonts w:ascii="Calibri" w:hAnsi="Calibri"/>
          <w:b w:val="0"/>
          <w:i w:val="0"/>
          <w:color w:val="111111"/>
          <w:sz w:val="22"/>
        </w:rPr>
        <w:t>Compatibility: signed matrix records application, chart, Kubernetes, node OS/image, kernel, container runtime, driver, CUDA, database, storage, ingress, and registry versions.</w:t>
      </w:r>
    </w:p>
    <w:p>
      <w:pPr>
        <w:spacing w:after="80" w:line="300" w:lineRule="auto"/>
        <w:numPr>
          <w:ilvl w:val="0"/>
          <w:numId w:val="11"/>
        </w:numPr>
      </w:pPr>
      <w:r>
        <w:rPr>
          <w:rFonts w:ascii="Calibri" w:hAnsi="Calibri"/>
          <w:b w:val="0"/>
          <w:i w:val="0"/>
          <w:color w:val="111111"/>
          <w:sz w:val="22"/>
        </w:rPr>
        <w:t>Functionality: representative DataWalk ingestion/graph workloads and Hyperscience training/inference workflows complete successfully.</w:t>
      </w:r>
    </w:p>
    <w:p>
      <w:pPr>
        <w:spacing w:after="80" w:line="300" w:lineRule="auto"/>
        <w:numPr>
          <w:ilvl w:val="0"/>
          <w:numId w:val="11"/>
        </w:numPr>
      </w:pPr>
      <w:r>
        <w:rPr>
          <w:rFonts w:ascii="Calibri" w:hAnsi="Calibri"/>
          <w:b w:val="0"/>
          <w:i w:val="0"/>
          <w:color w:val="111111"/>
          <w:sz w:val="22"/>
        </w:rPr>
        <w:t>Performance: agreed throughput, latency, concurrency, accuracy, CPU/RAM, GPU memory/utilization, storage latency, and network targets are met.</w:t>
      </w:r>
    </w:p>
    <w:p>
      <w:pPr>
        <w:spacing w:after="80" w:line="300" w:lineRule="auto"/>
        <w:numPr>
          <w:ilvl w:val="0"/>
          <w:numId w:val="11"/>
        </w:numPr>
      </w:pPr>
      <w:r>
        <w:rPr>
          <w:rFonts w:ascii="Calibri" w:hAnsi="Calibri"/>
          <w:b w:val="0"/>
          <w:i w:val="0"/>
          <w:color w:val="111111"/>
          <w:sz w:val="22"/>
        </w:rPr>
        <w:t>Resilience: node drain, pod restart, node loss, backup, restore, and application recovery meet agreed RPO/RTO targets.</w:t>
      </w:r>
    </w:p>
    <w:p>
      <w:pPr>
        <w:spacing w:after="80" w:line="300" w:lineRule="auto"/>
        <w:numPr>
          <w:ilvl w:val="0"/>
          <w:numId w:val="11"/>
        </w:numPr>
      </w:pPr>
      <w:r>
        <w:rPr>
          <w:rFonts w:ascii="Calibri" w:hAnsi="Calibri"/>
          <w:b w:val="0"/>
          <w:i w:val="0"/>
          <w:color w:val="111111"/>
          <w:sz w:val="22"/>
        </w:rPr>
        <w:t>Security: private endpoints, least privilege, vulnerability scanning, encryption, audit logging, egress controls, and required pod-security exceptions pass review.</w:t>
      </w:r>
    </w:p>
    <w:p>
      <w:pPr>
        <w:spacing w:after="80" w:line="300" w:lineRule="auto"/>
        <w:numPr>
          <w:ilvl w:val="0"/>
          <w:numId w:val="11"/>
        </w:numPr>
      </w:pPr>
      <w:r>
        <w:rPr>
          <w:rFonts w:ascii="Calibri" w:hAnsi="Calibri"/>
          <w:b w:val="0"/>
          <w:i w:val="0"/>
          <w:color w:val="111111"/>
          <w:sz w:val="22"/>
        </w:rPr>
        <w:t>Operations: monitoring, alerting, patching, upgrade, rollback, evidence retention, and vendor escalation procedures are demonstrated.</w:t>
      </w:r>
    </w:p>
    <w:p>
      <w:pPr>
        <w:pStyle w:val="Heading1"/>
      </w:pPr>
      <w:r>
        <w:t>5. Decisions and actions to capture before ending</w:t>
      </w:r>
    </w:p>
    <w:tbl>
      <w:tblPr>
        <w:tblStyle w:val="TableGrid"/>
        <w:tblW w:type="dxa" w:w="9360"/>
        <w:jc w:val="left"/>
        <w:tblLayout w:type="fixed"/>
        <w:tblLook w:firstColumn="1" w:firstRow="1" w:lastColumn="0" w:lastRow="0" w:noHBand="0" w:noVBand="1" w:val="04A0"/>
        <w:tblInd w:w="120" w:type="dxa"/>
      </w:tblPr>
      <w:tblGrid>
        <w:gridCol w:w="5000"/>
        <w:gridCol w:w="1600"/>
        <w:gridCol w:w="1400"/>
        <w:gridCol w:w="1360"/>
      </w:tblGrid>
      <w:tr>
        <w:trPr>
          <w:tblHeader w:val="true"/>
        </w:trPr>
        <w:tc>
          <w:tcPr>
            <w:tcW w:type="dxa" w:w="5000"/>
            <w:tcMar>
              <w:top w:w="100" w:type="dxa"/>
              <w:start w:w="120" w:type="dxa"/>
              <w:bottom w:w="100" w:type="dxa"/>
              <w:end w:w="120" w:type="dxa"/>
            </w:tcMar>
            <w:vAlign w:val="center"/>
            <w:shd w:fill="F2F2F2"/>
          </w:tcPr>
          <w:p>
            <w:r>
              <w:rPr>
                <w:rFonts w:ascii="Calibri" w:hAnsi="Calibri"/>
                <w:b/>
                <w:i w:val="0"/>
                <w:color w:val="111111"/>
                <w:sz w:val="20"/>
              </w:rPr>
              <w:t>Decision / action</w:t>
            </w:r>
          </w:p>
        </w:tc>
        <w:tc>
          <w:tcPr>
            <w:tcW w:type="dxa" w:w="1600"/>
            <w:tcMar>
              <w:top w:w="100" w:type="dxa"/>
              <w:start w:w="120" w:type="dxa"/>
              <w:bottom w:w="100" w:type="dxa"/>
              <w:end w:w="120" w:type="dxa"/>
            </w:tcMar>
            <w:vAlign w:val="center"/>
            <w:shd w:fill="F2F2F2"/>
          </w:tcPr>
          <w:p>
            <w:r>
              <w:rPr>
                <w:rFonts w:ascii="Calibri" w:hAnsi="Calibri"/>
                <w:b/>
                <w:i w:val="0"/>
                <w:color w:val="111111"/>
                <w:sz w:val="20"/>
              </w:rPr>
              <w:t>Status</w:t>
            </w:r>
          </w:p>
        </w:tc>
        <w:tc>
          <w:tcPr>
            <w:tcW w:type="dxa" w:w="1400"/>
            <w:tcMar>
              <w:top w:w="100" w:type="dxa"/>
              <w:start w:w="120" w:type="dxa"/>
              <w:bottom w:w="100" w:type="dxa"/>
              <w:end w:w="120" w:type="dxa"/>
            </w:tcMar>
            <w:vAlign w:val="center"/>
            <w:shd w:fill="F2F2F2"/>
          </w:tcPr>
          <w:p>
            <w:r>
              <w:rPr>
                <w:rFonts w:ascii="Calibri" w:hAnsi="Calibri"/>
                <w:b/>
                <w:i w:val="0"/>
                <w:color w:val="111111"/>
                <w:sz w:val="20"/>
              </w:rPr>
              <w:t>Owner</w:t>
            </w:r>
          </w:p>
        </w:tc>
        <w:tc>
          <w:tcPr>
            <w:tcW w:type="dxa" w:w="1360"/>
            <w:tcMar>
              <w:top w:w="100" w:type="dxa"/>
              <w:start w:w="120" w:type="dxa"/>
              <w:bottom w:w="100" w:type="dxa"/>
              <w:end w:w="120" w:type="dxa"/>
            </w:tcMar>
            <w:vAlign w:val="center"/>
            <w:shd w:fill="F2F2F2"/>
          </w:tcPr>
          <w:p>
            <w:r>
              <w:rPr>
                <w:rFonts w:ascii="Calibri" w:hAnsi="Calibri"/>
                <w:b/>
                <w:i w:val="0"/>
                <w:color w:val="111111"/>
                <w:sz w:val="20"/>
              </w:rPr>
              <w:t>Due date</w:t>
            </w:r>
          </w:p>
        </w:tc>
      </w:tr>
      <w:tr>
        <w:tc>
          <w:tcPr>
            <w:tcW w:type="dxa" w:w="5000"/>
            <w:tcMar>
              <w:top w:w="120" w:type="dxa"/>
              <w:start w:w="120" w:type="dxa"/>
              <w:bottom w:w="120" w:type="dxa"/>
              <w:end w:w="120" w:type="dxa"/>
            </w:tcMar>
          </w:tcPr>
          <w:p>
            <w:r>
              <w:rPr>
                <w:rFonts w:ascii="Calibri" w:hAnsi="Calibri"/>
                <w:b w:val="0"/>
                <w:i w:val="0"/>
                <w:color w:val="111111"/>
                <w:sz w:val="20"/>
              </w:rPr>
              <w:t>Managed OKE accepted by both vendors</w:t>
            </w:r>
          </w:p>
        </w:tc>
        <w:tc>
          <w:tcPr>
            <w:tcW w:type="dxa" w:w="1600"/>
            <w:tcMar>
              <w:top w:w="120" w:type="dxa"/>
              <w:start w:w="120" w:type="dxa"/>
              <w:bottom w:w="120" w:type="dxa"/>
              <w:end w:w="120" w:type="dxa"/>
            </w:tcMar>
          </w:tcPr>
          <w:p>
            <w:r>
              <w:rPr>
                <w:rFonts w:ascii="Calibri" w:hAnsi="Calibri"/>
                <w:b w:val="0"/>
                <w:i w:val="0"/>
                <w:color w:val="111111"/>
                <w:sz w:val="20"/>
              </w:rPr>
              <w:t xml:space="preserve"> </w:t>
            </w:r>
          </w:p>
        </w:tc>
        <w:tc>
          <w:tcPr>
            <w:tcW w:type="dxa" w:w="1400"/>
            <w:tcMar>
              <w:top w:w="120" w:type="dxa"/>
              <w:start w:w="120" w:type="dxa"/>
              <w:bottom w:w="120" w:type="dxa"/>
              <w:end w:w="120" w:type="dxa"/>
            </w:tcMar>
          </w:tcPr>
          <w:p>
            <w:r>
              <w:rPr>
                <w:rFonts w:ascii="Calibri" w:hAnsi="Calibri"/>
                <w:b w:val="0"/>
                <w:i w:val="0"/>
                <w:color w:val="111111"/>
                <w:sz w:val="20"/>
              </w:rPr>
              <w:t xml:space="preserve"> </w:t>
            </w:r>
          </w:p>
        </w:tc>
        <w:tc>
          <w:tcPr>
            <w:tcW w:type="dxa" w:w="1360"/>
            <w:tcMar>
              <w:top w:w="120" w:type="dxa"/>
              <w:start w:w="120" w:type="dxa"/>
              <w:bottom w:w="120" w:type="dxa"/>
              <w:end w:w="120" w:type="dxa"/>
            </w:tcMar>
          </w:tcPr>
          <w:p>
            <w:r>
              <w:rPr>
                <w:rFonts w:ascii="Calibri" w:hAnsi="Calibri"/>
                <w:b w:val="0"/>
                <w:i w:val="0"/>
                <w:color w:val="111111"/>
                <w:sz w:val="20"/>
              </w:rPr>
              <w:t xml:space="preserve"> </w:t>
            </w:r>
          </w:p>
        </w:tc>
      </w:tr>
      <w:tr>
        <w:tc>
          <w:tcPr>
            <w:tcW w:type="dxa" w:w="5000"/>
            <w:tcMar>
              <w:top w:w="120" w:type="dxa"/>
              <w:start w:w="120" w:type="dxa"/>
              <w:bottom w:w="120" w:type="dxa"/>
              <w:end w:w="120" w:type="dxa"/>
            </w:tcMar>
          </w:tcPr>
          <w:p>
            <w:r>
              <w:rPr>
                <w:rFonts w:ascii="Calibri" w:hAnsi="Calibri"/>
                <w:b w:val="0"/>
                <w:i w:val="0"/>
                <w:color w:val="111111"/>
                <w:sz w:val="20"/>
              </w:rPr>
              <w:t>Worker-node OS/image approved</w:t>
            </w:r>
          </w:p>
        </w:tc>
        <w:tc>
          <w:tcPr>
            <w:tcW w:type="dxa" w:w="1600"/>
            <w:tcMar>
              <w:top w:w="120" w:type="dxa"/>
              <w:start w:w="120" w:type="dxa"/>
              <w:bottom w:w="120" w:type="dxa"/>
              <w:end w:w="120" w:type="dxa"/>
            </w:tcMar>
          </w:tcPr>
          <w:p>
            <w:r>
              <w:rPr>
                <w:rFonts w:ascii="Calibri" w:hAnsi="Calibri"/>
                <w:b w:val="0"/>
                <w:i w:val="0"/>
                <w:color w:val="111111"/>
                <w:sz w:val="20"/>
              </w:rPr>
              <w:t xml:space="preserve"> </w:t>
            </w:r>
          </w:p>
        </w:tc>
        <w:tc>
          <w:tcPr>
            <w:tcW w:type="dxa" w:w="1400"/>
            <w:tcMar>
              <w:top w:w="120" w:type="dxa"/>
              <w:start w:w="120" w:type="dxa"/>
              <w:bottom w:w="120" w:type="dxa"/>
              <w:end w:w="120" w:type="dxa"/>
            </w:tcMar>
          </w:tcPr>
          <w:p>
            <w:r>
              <w:rPr>
                <w:rFonts w:ascii="Calibri" w:hAnsi="Calibri"/>
                <w:b w:val="0"/>
                <w:i w:val="0"/>
                <w:color w:val="111111"/>
                <w:sz w:val="20"/>
              </w:rPr>
              <w:t xml:space="preserve"> </w:t>
            </w:r>
          </w:p>
        </w:tc>
        <w:tc>
          <w:tcPr>
            <w:tcW w:type="dxa" w:w="1360"/>
            <w:tcMar>
              <w:top w:w="120" w:type="dxa"/>
              <w:start w:w="120" w:type="dxa"/>
              <w:bottom w:w="120" w:type="dxa"/>
              <w:end w:w="120" w:type="dxa"/>
            </w:tcMar>
          </w:tcPr>
          <w:p>
            <w:r>
              <w:rPr>
                <w:rFonts w:ascii="Calibri" w:hAnsi="Calibri"/>
                <w:b w:val="0"/>
                <w:i w:val="0"/>
                <w:color w:val="111111"/>
                <w:sz w:val="20"/>
              </w:rPr>
              <w:t xml:space="preserve"> </w:t>
            </w:r>
          </w:p>
        </w:tc>
      </w:tr>
      <w:tr>
        <w:tc>
          <w:tcPr>
            <w:tcW w:type="dxa" w:w="5000"/>
            <w:tcMar>
              <w:top w:w="120" w:type="dxa"/>
              <w:start w:w="120" w:type="dxa"/>
              <w:bottom w:w="120" w:type="dxa"/>
              <w:end w:w="120" w:type="dxa"/>
            </w:tcMar>
          </w:tcPr>
          <w:p>
            <w:r>
              <w:rPr>
                <w:rFonts w:ascii="Calibri" w:hAnsi="Calibri"/>
                <w:b w:val="0"/>
                <w:i w:val="0"/>
                <w:color w:val="111111"/>
                <w:sz w:val="20"/>
              </w:rPr>
              <w:t>Version matrix approved</w:t>
            </w:r>
          </w:p>
        </w:tc>
        <w:tc>
          <w:tcPr>
            <w:tcW w:type="dxa" w:w="1600"/>
            <w:tcMar>
              <w:top w:w="120" w:type="dxa"/>
              <w:start w:w="120" w:type="dxa"/>
              <w:bottom w:w="120" w:type="dxa"/>
              <w:end w:w="120" w:type="dxa"/>
            </w:tcMar>
          </w:tcPr>
          <w:p>
            <w:r>
              <w:rPr>
                <w:rFonts w:ascii="Calibri" w:hAnsi="Calibri"/>
                <w:b w:val="0"/>
                <w:i w:val="0"/>
                <w:color w:val="111111"/>
                <w:sz w:val="20"/>
              </w:rPr>
              <w:t xml:space="preserve"> </w:t>
            </w:r>
          </w:p>
        </w:tc>
        <w:tc>
          <w:tcPr>
            <w:tcW w:type="dxa" w:w="1400"/>
            <w:tcMar>
              <w:top w:w="120" w:type="dxa"/>
              <w:start w:w="120" w:type="dxa"/>
              <w:bottom w:w="120" w:type="dxa"/>
              <w:end w:w="120" w:type="dxa"/>
            </w:tcMar>
          </w:tcPr>
          <w:p>
            <w:r>
              <w:rPr>
                <w:rFonts w:ascii="Calibri" w:hAnsi="Calibri"/>
                <w:b w:val="0"/>
                <w:i w:val="0"/>
                <w:color w:val="111111"/>
                <w:sz w:val="20"/>
              </w:rPr>
              <w:t xml:space="preserve"> </w:t>
            </w:r>
          </w:p>
        </w:tc>
        <w:tc>
          <w:tcPr>
            <w:tcW w:type="dxa" w:w="1360"/>
            <w:tcMar>
              <w:top w:w="120" w:type="dxa"/>
              <w:start w:w="120" w:type="dxa"/>
              <w:bottom w:w="120" w:type="dxa"/>
              <w:end w:w="120" w:type="dxa"/>
            </w:tcMar>
          </w:tcPr>
          <w:p>
            <w:r>
              <w:rPr>
                <w:rFonts w:ascii="Calibri" w:hAnsi="Calibri"/>
                <w:b w:val="0"/>
                <w:i w:val="0"/>
                <w:color w:val="111111"/>
                <w:sz w:val="20"/>
              </w:rPr>
              <w:t xml:space="preserve"> </w:t>
            </w:r>
          </w:p>
        </w:tc>
      </w:tr>
      <w:tr>
        <w:tc>
          <w:tcPr>
            <w:tcW w:type="dxa" w:w="5000"/>
            <w:tcMar>
              <w:top w:w="120" w:type="dxa"/>
              <w:start w:w="120" w:type="dxa"/>
              <w:bottom w:w="120" w:type="dxa"/>
              <w:end w:w="120" w:type="dxa"/>
            </w:tcMar>
          </w:tcPr>
          <w:p>
            <w:r>
              <w:rPr>
                <w:rFonts w:ascii="Calibri" w:hAnsi="Calibri"/>
                <w:b w:val="0"/>
                <w:i w:val="0"/>
                <w:color w:val="111111"/>
                <w:sz w:val="20"/>
              </w:rPr>
              <w:t>DataWalk GPU use confirmed or removed</w:t>
            </w:r>
          </w:p>
        </w:tc>
        <w:tc>
          <w:tcPr>
            <w:tcW w:type="dxa" w:w="1600"/>
            <w:tcMar>
              <w:top w:w="120" w:type="dxa"/>
              <w:start w:w="120" w:type="dxa"/>
              <w:bottom w:w="120" w:type="dxa"/>
              <w:end w:w="120" w:type="dxa"/>
            </w:tcMar>
          </w:tcPr>
          <w:p>
            <w:r>
              <w:rPr>
                <w:rFonts w:ascii="Calibri" w:hAnsi="Calibri"/>
                <w:b w:val="0"/>
                <w:i w:val="0"/>
                <w:color w:val="111111"/>
                <w:sz w:val="20"/>
              </w:rPr>
              <w:t xml:space="preserve"> </w:t>
            </w:r>
          </w:p>
        </w:tc>
        <w:tc>
          <w:tcPr>
            <w:tcW w:type="dxa" w:w="1400"/>
            <w:tcMar>
              <w:top w:w="120" w:type="dxa"/>
              <w:start w:w="120" w:type="dxa"/>
              <w:bottom w:w="120" w:type="dxa"/>
              <w:end w:w="120" w:type="dxa"/>
            </w:tcMar>
          </w:tcPr>
          <w:p>
            <w:r>
              <w:rPr>
                <w:rFonts w:ascii="Calibri" w:hAnsi="Calibri"/>
                <w:b w:val="0"/>
                <w:i w:val="0"/>
                <w:color w:val="111111"/>
                <w:sz w:val="20"/>
              </w:rPr>
              <w:t xml:space="preserve"> </w:t>
            </w:r>
          </w:p>
        </w:tc>
        <w:tc>
          <w:tcPr>
            <w:tcW w:type="dxa" w:w="1360"/>
            <w:tcMar>
              <w:top w:w="120" w:type="dxa"/>
              <w:start w:w="120" w:type="dxa"/>
              <w:bottom w:w="120" w:type="dxa"/>
              <w:end w:w="120" w:type="dxa"/>
            </w:tcMar>
          </w:tcPr>
          <w:p>
            <w:r>
              <w:rPr>
                <w:rFonts w:ascii="Calibri" w:hAnsi="Calibri"/>
                <w:b w:val="0"/>
                <w:i w:val="0"/>
                <w:color w:val="111111"/>
                <w:sz w:val="20"/>
              </w:rPr>
              <w:t xml:space="preserve"> </w:t>
            </w:r>
          </w:p>
        </w:tc>
      </w:tr>
      <w:tr>
        <w:tc>
          <w:tcPr>
            <w:tcW w:type="dxa" w:w="5000"/>
            <w:tcMar>
              <w:top w:w="120" w:type="dxa"/>
              <w:start w:w="120" w:type="dxa"/>
              <w:bottom w:w="120" w:type="dxa"/>
              <w:end w:w="120" w:type="dxa"/>
            </w:tcMar>
          </w:tcPr>
          <w:p>
            <w:r>
              <w:rPr>
                <w:rFonts w:ascii="Calibri" w:hAnsi="Calibri"/>
                <w:b w:val="0"/>
                <w:i w:val="0"/>
                <w:color w:val="111111"/>
                <w:sz w:val="20"/>
              </w:rPr>
              <w:t>Hyperscience GPU topology confirmed</w:t>
            </w:r>
          </w:p>
        </w:tc>
        <w:tc>
          <w:tcPr>
            <w:tcW w:type="dxa" w:w="1600"/>
            <w:tcMar>
              <w:top w:w="120" w:type="dxa"/>
              <w:start w:w="120" w:type="dxa"/>
              <w:bottom w:w="120" w:type="dxa"/>
              <w:end w:w="120" w:type="dxa"/>
            </w:tcMar>
          </w:tcPr>
          <w:p>
            <w:r>
              <w:rPr>
                <w:rFonts w:ascii="Calibri" w:hAnsi="Calibri"/>
                <w:b w:val="0"/>
                <w:i w:val="0"/>
                <w:color w:val="111111"/>
                <w:sz w:val="20"/>
              </w:rPr>
              <w:t xml:space="preserve"> </w:t>
            </w:r>
          </w:p>
        </w:tc>
        <w:tc>
          <w:tcPr>
            <w:tcW w:type="dxa" w:w="1400"/>
            <w:tcMar>
              <w:top w:w="120" w:type="dxa"/>
              <w:start w:w="120" w:type="dxa"/>
              <w:bottom w:w="120" w:type="dxa"/>
              <w:end w:w="120" w:type="dxa"/>
            </w:tcMar>
          </w:tcPr>
          <w:p>
            <w:r>
              <w:rPr>
                <w:rFonts w:ascii="Calibri" w:hAnsi="Calibri"/>
                <w:b w:val="0"/>
                <w:i w:val="0"/>
                <w:color w:val="111111"/>
                <w:sz w:val="20"/>
              </w:rPr>
              <w:t xml:space="preserve"> </w:t>
            </w:r>
          </w:p>
        </w:tc>
        <w:tc>
          <w:tcPr>
            <w:tcW w:type="dxa" w:w="1360"/>
            <w:tcMar>
              <w:top w:w="120" w:type="dxa"/>
              <w:start w:w="120" w:type="dxa"/>
              <w:bottom w:w="120" w:type="dxa"/>
              <w:end w:w="120" w:type="dxa"/>
            </w:tcMar>
          </w:tcPr>
          <w:p>
            <w:r>
              <w:rPr>
                <w:rFonts w:ascii="Calibri" w:hAnsi="Calibri"/>
                <w:b w:val="0"/>
                <w:i w:val="0"/>
                <w:color w:val="111111"/>
                <w:sz w:val="20"/>
              </w:rPr>
              <w:t xml:space="preserve"> </w:t>
            </w:r>
          </w:p>
        </w:tc>
      </w:tr>
      <w:tr>
        <w:tc>
          <w:tcPr>
            <w:tcW w:type="dxa" w:w="5000"/>
            <w:tcMar>
              <w:top w:w="120" w:type="dxa"/>
              <w:start w:w="120" w:type="dxa"/>
              <w:bottom w:w="120" w:type="dxa"/>
              <w:end w:w="120" w:type="dxa"/>
            </w:tcMar>
          </w:tcPr>
          <w:p>
            <w:r>
              <w:rPr>
                <w:rFonts w:ascii="Calibri" w:hAnsi="Calibri"/>
                <w:b w:val="0"/>
                <w:i w:val="0"/>
                <w:color w:val="111111"/>
                <w:sz w:val="20"/>
              </w:rPr>
              <w:t>Database/storage/registry interfaces approved</w:t>
            </w:r>
          </w:p>
        </w:tc>
        <w:tc>
          <w:tcPr>
            <w:tcW w:type="dxa" w:w="1600"/>
            <w:tcMar>
              <w:top w:w="120" w:type="dxa"/>
              <w:start w:w="120" w:type="dxa"/>
              <w:bottom w:w="120" w:type="dxa"/>
              <w:end w:w="120" w:type="dxa"/>
            </w:tcMar>
          </w:tcPr>
          <w:p>
            <w:r>
              <w:rPr>
                <w:rFonts w:ascii="Calibri" w:hAnsi="Calibri"/>
                <w:b w:val="0"/>
                <w:i w:val="0"/>
                <w:color w:val="111111"/>
                <w:sz w:val="20"/>
              </w:rPr>
              <w:t xml:space="preserve"> </w:t>
            </w:r>
          </w:p>
        </w:tc>
        <w:tc>
          <w:tcPr>
            <w:tcW w:type="dxa" w:w="1400"/>
            <w:tcMar>
              <w:top w:w="120" w:type="dxa"/>
              <w:start w:w="120" w:type="dxa"/>
              <w:bottom w:w="120" w:type="dxa"/>
              <w:end w:w="120" w:type="dxa"/>
            </w:tcMar>
          </w:tcPr>
          <w:p>
            <w:r>
              <w:rPr>
                <w:rFonts w:ascii="Calibri" w:hAnsi="Calibri"/>
                <w:b w:val="0"/>
                <w:i w:val="0"/>
                <w:color w:val="111111"/>
                <w:sz w:val="20"/>
              </w:rPr>
              <w:t xml:space="preserve"> </w:t>
            </w:r>
          </w:p>
        </w:tc>
        <w:tc>
          <w:tcPr>
            <w:tcW w:type="dxa" w:w="1360"/>
            <w:tcMar>
              <w:top w:w="120" w:type="dxa"/>
              <w:start w:w="120" w:type="dxa"/>
              <w:bottom w:w="120" w:type="dxa"/>
              <w:end w:w="120" w:type="dxa"/>
            </w:tcMar>
          </w:tcPr>
          <w:p>
            <w:r>
              <w:rPr>
                <w:rFonts w:ascii="Calibri" w:hAnsi="Calibri"/>
                <w:b w:val="0"/>
                <w:i w:val="0"/>
                <w:color w:val="111111"/>
                <w:sz w:val="20"/>
              </w:rPr>
              <w:t xml:space="preserve"> </w:t>
            </w:r>
          </w:p>
        </w:tc>
      </w:tr>
      <w:tr>
        <w:tc>
          <w:tcPr>
            <w:tcW w:type="dxa" w:w="5000"/>
            <w:tcMar>
              <w:top w:w="120" w:type="dxa"/>
              <w:start w:w="120" w:type="dxa"/>
              <w:bottom w:w="120" w:type="dxa"/>
              <w:end w:w="120" w:type="dxa"/>
            </w:tcMar>
          </w:tcPr>
          <w:p>
            <w:r>
              <w:rPr>
                <w:rFonts w:ascii="Calibri" w:hAnsi="Calibri"/>
                <w:b w:val="0"/>
                <w:i w:val="0"/>
                <w:color w:val="111111"/>
                <w:sz w:val="20"/>
              </w:rPr>
              <w:t>Security exceptions documented</w:t>
            </w:r>
          </w:p>
        </w:tc>
        <w:tc>
          <w:tcPr>
            <w:tcW w:type="dxa" w:w="1600"/>
            <w:tcMar>
              <w:top w:w="120" w:type="dxa"/>
              <w:start w:w="120" w:type="dxa"/>
              <w:bottom w:w="120" w:type="dxa"/>
              <w:end w:w="120" w:type="dxa"/>
            </w:tcMar>
          </w:tcPr>
          <w:p>
            <w:r>
              <w:rPr>
                <w:rFonts w:ascii="Calibri" w:hAnsi="Calibri"/>
                <w:b w:val="0"/>
                <w:i w:val="0"/>
                <w:color w:val="111111"/>
                <w:sz w:val="20"/>
              </w:rPr>
              <w:t xml:space="preserve"> </w:t>
            </w:r>
          </w:p>
        </w:tc>
        <w:tc>
          <w:tcPr>
            <w:tcW w:type="dxa" w:w="1400"/>
            <w:tcMar>
              <w:top w:w="120" w:type="dxa"/>
              <w:start w:w="120" w:type="dxa"/>
              <w:bottom w:w="120" w:type="dxa"/>
              <w:end w:w="120" w:type="dxa"/>
            </w:tcMar>
          </w:tcPr>
          <w:p>
            <w:r>
              <w:rPr>
                <w:rFonts w:ascii="Calibri" w:hAnsi="Calibri"/>
                <w:b w:val="0"/>
                <w:i w:val="0"/>
                <w:color w:val="111111"/>
                <w:sz w:val="20"/>
              </w:rPr>
              <w:t xml:space="preserve"> </w:t>
            </w:r>
          </w:p>
        </w:tc>
        <w:tc>
          <w:tcPr>
            <w:tcW w:type="dxa" w:w="1360"/>
            <w:tcMar>
              <w:top w:w="120" w:type="dxa"/>
              <w:start w:w="120" w:type="dxa"/>
              <w:bottom w:w="120" w:type="dxa"/>
              <w:end w:w="120" w:type="dxa"/>
            </w:tcMar>
          </w:tcPr>
          <w:p>
            <w:r>
              <w:rPr>
                <w:rFonts w:ascii="Calibri" w:hAnsi="Calibri"/>
                <w:b w:val="0"/>
                <w:i w:val="0"/>
                <w:color w:val="111111"/>
                <w:sz w:val="20"/>
              </w:rPr>
              <w:t xml:space="preserve"> </w:t>
            </w:r>
          </w:p>
        </w:tc>
      </w:tr>
      <w:tr>
        <w:tc>
          <w:tcPr>
            <w:tcW w:type="dxa" w:w="5000"/>
            <w:tcMar>
              <w:top w:w="120" w:type="dxa"/>
              <w:start w:w="120" w:type="dxa"/>
              <w:bottom w:w="120" w:type="dxa"/>
              <w:end w:w="120" w:type="dxa"/>
            </w:tcMar>
          </w:tcPr>
          <w:p>
            <w:r>
              <w:rPr>
                <w:rFonts w:ascii="Calibri" w:hAnsi="Calibri"/>
                <w:b w:val="0"/>
                <w:i w:val="0"/>
                <w:color w:val="111111"/>
                <w:sz w:val="20"/>
              </w:rPr>
              <w:t>POC success criteria accepted</w:t>
            </w:r>
          </w:p>
        </w:tc>
        <w:tc>
          <w:tcPr>
            <w:tcW w:type="dxa" w:w="1600"/>
            <w:tcMar>
              <w:top w:w="120" w:type="dxa"/>
              <w:start w:w="120" w:type="dxa"/>
              <w:bottom w:w="120" w:type="dxa"/>
              <w:end w:w="120" w:type="dxa"/>
            </w:tcMar>
          </w:tcPr>
          <w:p>
            <w:r>
              <w:rPr>
                <w:rFonts w:ascii="Calibri" w:hAnsi="Calibri"/>
                <w:b w:val="0"/>
                <w:i w:val="0"/>
                <w:color w:val="111111"/>
                <w:sz w:val="20"/>
              </w:rPr>
              <w:t xml:space="preserve"> </w:t>
            </w:r>
          </w:p>
        </w:tc>
        <w:tc>
          <w:tcPr>
            <w:tcW w:type="dxa" w:w="1400"/>
            <w:tcMar>
              <w:top w:w="120" w:type="dxa"/>
              <w:start w:w="120" w:type="dxa"/>
              <w:bottom w:w="120" w:type="dxa"/>
              <w:end w:w="120" w:type="dxa"/>
            </w:tcMar>
          </w:tcPr>
          <w:p>
            <w:r>
              <w:rPr>
                <w:rFonts w:ascii="Calibri" w:hAnsi="Calibri"/>
                <w:b w:val="0"/>
                <w:i w:val="0"/>
                <w:color w:val="111111"/>
                <w:sz w:val="20"/>
              </w:rPr>
              <w:t xml:space="preserve"> </w:t>
            </w:r>
          </w:p>
        </w:tc>
        <w:tc>
          <w:tcPr>
            <w:tcW w:type="dxa" w:w="1360"/>
            <w:tcMar>
              <w:top w:w="120" w:type="dxa"/>
              <w:start w:w="120" w:type="dxa"/>
              <w:bottom w:w="120" w:type="dxa"/>
              <w:end w:w="120" w:type="dxa"/>
            </w:tcMar>
          </w:tcPr>
          <w:p>
            <w:r>
              <w:rPr>
                <w:rFonts w:ascii="Calibri" w:hAnsi="Calibri"/>
                <w:b w:val="0"/>
                <w:i w:val="0"/>
                <w:color w:val="111111"/>
                <w:sz w:val="20"/>
              </w:rPr>
              <w:t xml:space="preserve"> </w:t>
            </w:r>
          </w:p>
        </w:tc>
      </w:tr>
      <w:tr>
        <w:tc>
          <w:tcPr>
            <w:tcW w:type="dxa" w:w="5000"/>
            <w:tcMar>
              <w:top w:w="120" w:type="dxa"/>
              <w:start w:w="120" w:type="dxa"/>
              <w:bottom w:w="120" w:type="dxa"/>
              <w:end w:w="120" w:type="dxa"/>
            </w:tcMar>
          </w:tcPr>
          <w:p>
            <w:r>
              <w:rPr>
                <w:rFonts w:ascii="Calibri" w:hAnsi="Calibri"/>
                <w:b w:val="0"/>
                <w:i w:val="0"/>
                <w:color w:val="111111"/>
                <w:sz w:val="20"/>
              </w:rPr>
              <w:t>Vendor written follow-up date committed</w:t>
            </w:r>
          </w:p>
        </w:tc>
        <w:tc>
          <w:tcPr>
            <w:tcW w:type="dxa" w:w="1600"/>
            <w:tcMar>
              <w:top w:w="120" w:type="dxa"/>
              <w:start w:w="120" w:type="dxa"/>
              <w:bottom w:w="120" w:type="dxa"/>
              <w:end w:w="120" w:type="dxa"/>
            </w:tcMar>
          </w:tcPr>
          <w:p>
            <w:r>
              <w:rPr>
                <w:rFonts w:ascii="Calibri" w:hAnsi="Calibri"/>
                <w:b w:val="0"/>
                <w:i w:val="0"/>
                <w:color w:val="111111"/>
                <w:sz w:val="20"/>
              </w:rPr>
              <w:t xml:space="preserve"> </w:t>
            </w:r>
          </w:p>
        </w:tc>
        <w:tc>
          <w:tcPr>
            <w:tcW w:type="dxa" w:w="1400"/>
            <w:tcMar>
              <w:top w:w="120" w:type="dxa"/>
              <w:start w:w="120" w:type="dxa"/>
              <w:bottom w:w="120" w:type="dxa"/>
              <w:end w:w="120" w:type="dxa"/>
            </w:tcMar>
          </w:tcPr>
          <w:p>
            <w:r>
              <w:rPr>
                <w:rFonts w:ascii="Calibri" w:hAnsi="Calibri"/>
                <w:b w:val="0"/>
                <w:i w:val="0"/>
                <w:color w:val="111111"/>
                <w:sz w:val="20"/>
              </w:rPr>
              <w:t xml:space="preserve"> </w:t>
            </w:r>
          </w:p>
        </w:tc>
        <w:tc>
          <w:tcPr>
            <w:tcW w:type="dxa" w:w="1360"/>
            <w:tcMar>
              <w:top w:w="120" w:type="dxa"/>
              <w:start w:w="120" w:type="dxa"/>
              <w:bottom w:w="120" w:type="dxa"/>
              <w:end w:w="120" w:type="dxa"/>
            </w:tcMar>
          </w:tcPr>
          <w:p>
            <w:r>
              <w:rPr>
                <w:rFonts w:ascii="Calibri" w:hAnsi="Calibri"/>
                <w:b w:val="0"/>
                <w:i w:val="0"/>
                <w:color w:val="111111"/>
                <w:sz w:val="20"/>
              </w:rPr>
              <w:t xml:space="preserve"> </w:t>
            </w:r>
          </w:p>
        </w:tc>
      </w:tr>
    </w:tbl>
    <w:p>
      <w:pPr>
        <w:pStyle w:val="Heading2"/>
      </w:pPr>
      <w:r>
        <w:t>Close with these commitments</w:t>
      </w:r>
    </w:p>
    <w:p>
      <w:pPr>
        <w:spacing w:after="80" w:line="300" w:lineRule="auto"/>
        <w:numPr>
          <w:ilvl w:val="0"/>
          <w:numId w:val="11"/>
        </w:numPr>
      </w:pPr>
      <w:r>
        <w:rPr>
          <w:rFonts w:ascii="Calibri" w:hAnsi="Calibri"/>
          <w:b w:val="0"/>
          <w:i w:val="0"/>
          <w:color w:val="111111"/>
          <w:sz w:val="22"/>
        </w:rPr>
        <w:t>Each vendor will provide written confirmation—not only verbal guidance—for OS, Kubernetes, GPU, storage, and supportability decisions.</w:t>
      </w:r>
    </w:p>
    <w:p>
      <w:pPr>
        <w:spacing w:after="80" w:line="300" w:lineRule="auto"/>
        <w:numPr>
          <w:ilvl w:val="0"/>
          <w:numId w:val="11"/>
        </w:numPr>
      </w:pPr>
      <w:r>
        <w:rPr>
          <w:rFonts w:ascii="Calibri" w:hAnsi="Calibri"/>
          <w:b w:val="0"/>
          <w:i w:val="0"/>
          <w:color w:val="111111"/>
          <w:sz w:val="22"/>
        </w:rPr>
        <w:t>One owner and due date will be assigned to every open item.</w:t>
      </w:r>
    </w:p>
    <w:p>
      <w:pPr>
        <w:spacing w:after="80" w:line="300" w:lineRule="auto"/>
        <w:numPr>
          <w:ilvl w:val="0"/>
          <w:numId w:val="11"/>
        </w:numPr>
      </w:pPr>
      <w:r>
        <w:rPr>
          <w:rFonts w:ascii="Calibri" w:hAnsi="Calibri"/>
          <w:b w:val="0"/>
          <w:i w:val="0"/>
          <w:color w:val="111111"/>
          <w:sz w:val="22"/>
        </w:rPr>
        <w:t>No production build will start until the joint version matrix and POC gates are approved.</w:t>
      </w:r>
    </w:p>
    <w:p>
      <w:pPr>
        <w:pStyle w:val="Heading1"/>
      </w:pPr>
      <w:r>
        <w:t>Official source links</w:t>
      </w:r>
    </w:p>
    <w:p>
      <w:pPr>
        <w:spacing w:after="120"/>
        <w:ind w:left="288"/>
      </w:pPr>
      <w:hyperlink r:id="rId11">
        <w:r>
          <w:rPr>
            <w:color w:val="111111"/>
            <w:u w:val="single"/>
          </w:rPr>
          <w:t>Oracle — Managing Specialized Hardware Devices on Worker Nodes</w:t>
        </w:r>
      </w:hyperlink>
      <w:r>
        <w:rPr>
          <w:rFonts w:ascii="Calibri" w:hAnsi="Calibri"/>
          <w:b w:val="0"/>
          <w:i w:val="0"/>
          <w:color w:val="555555"/>
          <w:sz w:val="21"/>
        </w:rPr>
        <w:t xml:space="preserve"> — Explicitly uses VM.GPU.A10.2 as an OKE GPU node-pool example and describes GPU resource advertising/allocation.</w:t>
      </w:r>
    </w:p>
    <w:p>
      <w:pPr>
        <w:spacing w:after="120"/>
        <w:ind w:left="288"/>
      </w:pPr>
      <w:hyperlink r:id="rId12">
        <w:r>
          <w:rPr>
            <w:color w:val="111111"/>
            <w:u w:val="single"/>
          </w:rPr>
          <w:t>Oracle — Supported Images and Shapes for OKE Worker Nodes</w:t>
        </w:r>
      </w:hyperlink>
      <w:r>
        <w:rPr>
          <w:rFonts w:ascii="Calibri" w:hAnsi="Calibri"/>
          <w:b w:val="0"/>
          <w:i w:val="0"/>
          <w:color w:val="555555"/>
          <w:sz w:val="21"/>
        </w:rPr>
        <w:t xml:space="preserve"> — Defines the supported image and shape boundary for managed and self-managed OKE nodes.</w:t>
      </w:r>
    </w:p>
    <w:p>
      <w:pPr>
        <w:spacing w:after="120"/>
        <w:ind w:left="288"/>
      </w:pPr>
      <w:hyperlink r:id="rId13">
        <w:r>
          <w:rPr>
            <w:color w:val="111111"/>
            <w:u w:val="single"/>
          </w:rPr>
          <w:t>Oracle — Compute Shapes</w:t>
        </w:r>
      </w:hyperlink>
      <w:r>
        <w:rPr>
          <w:rFonts w:ascii="Calibri" w:hAnsi="Calibri"/>
          <w:b w:val="0"/>
          <w:i w:val="0"/>
          <w:color w:val="555555"/>
          <w:sz w:val="21"/>
        </w:rPr>
        <w:t xml:space="preserve"> — Lists VM.GPU.A10.2 hardware specifications.</w:t>
      </w:r>
    </w:p>
    <w:p>
      <w:pPr>
        <w:spacing w:after="120"/>
        <w:ind w:left="288"/>
      </w:pPr>
      <w:hyperlink r:id="rId14">
        <w:r>
          <w:rPr>
            <w:color w:val="111111"/>
            <w:u w:val="single"/>
          </w:rPr>
          <w:t>DataWalk — Preparing for DataWalk on Containers</w:t>
        </w:r>
      </w:hyperlink>
      <w:r>
        <w:rPr>
          <w:rFonts w:ascii="Calibri" w:hAnsi="Calibri"/>
          <w:b w:val="0"/>
          <w:i w:val="0"/>
          <w:color w:val="555555"/>
          <w:sz w:val="21"/>
        </w:rPr>
        <w:t xml:space="preserve"> — States the container transition, RHEL 8.10 / Rocky Linux 8 minimum, DS requirement, and Kubernetes skills requirement.</w:t>
      </w:r>
    </w:p>
    <w:p>
      <w:pPr>
        <w:spacing w:after="120"/>
        <w:ind w:left="288"/>
      </w:pPr>
      <w:hyperlink r:id="rId15">
        <w:r>
          <w:rPr>
            <w:color w:val="111111"/>
            <w:u w:val="single"/>
          </w:rPr>
          <w:t>Hyperscience — Kubernetes Installation Overview</w:t>
        </w:r>
      </w:hyperlink>
      <w:r>
        <w:rPr>
          <w:rFonts w:ascii="Calibri" w:hAnsi="Calibri"/>
          <w:b w:val="0"/>
          <w:i w:val="0"/>
          <w:color w:val="555555"/>
          <w:sz w:val="21"/>
        </w:rPr>
        <w:t xml:space="preserve"> — Covers existing-cluster requirements, supported Kubernetes calendar, node groups, external services, GPU use cases, A10 support, CUDA, and drivers.</w:t>
      </w:r>
    </w:p>
    <w:p>
      <w:pPr>
        <w:spacing w:after="120"/>
        <w:ind w:left="288"/>
      </w:pPr>
      <w:hyperlink r:id="rId16">
        <w:r>
          <w:rPr>
            <w:color w:val="111111"/>
            <w:u w:val="single"/>
          </w:rPr>
          <w:t>Hyperscience — TVE (POC) Infrastructure Requirements</w:t>
        </w:r>
      </w:hyperlink>
      <w:r>
        <w:rPr>
          <w:rFonts w:ascii="Calibri" w:hAnsi="Calibri"/>
          <w:b w:val="0"/>
          <w:i w:val="0"/>
          <w:color w:val="555555"/>
          <w:sz w:val="21"/>
        </w:rPr>
        <w:t xml:space="preserve"> — Useful for VM-based evaluation requirements; it should not be treated as proof of Kubernetes worker-node OS support.</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2F2F2"/>
          </w:tcPr>
          <w:p>
            <w:pPr>
              <w:spacing w:after="0" w:line="276" w:lineRule="auto"/>
            </w:pPr>
            <w:r>
              <w:rPr>
                <w:rFonts w:ascii="Calibri" w:hAnsi="Calibri"/>
                <w:b/>
                <w:i w:val="0"/>
                <w:color w:val="111111"/>
                <w:sz w:val="21"/>
              </w:rPr>
              <w:t xml:space="preserve">MEETING EXIT TEST  </w:t>
            </w:r>
            <w:r>
              <w:rPr>
                <w:rFonts w:ascii="Calibri" w:hAnsi="Calibri"/>
                <w:b w:val="0"/>
                <w:i w:val="0"/>
                <w:color w:val="111111"/>
                <w:sz w:val="21"/>
              </w:rPr>
              <w:t>If either vendor cannot provide a clear written answer on OKE support and worker-node OS, keep the architecture at POC status and schedule a focused technical support session before procurement or production provisioning.</w:t>
            </w:r>
          </w:p>
        </w:tc>
      </w:tr>
    </w:tbl>
    <w:p>
      <w:pPr>
        <w:spacing w:after="0"/>
      </w:pP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b w:val="0"/>
        <w:i w:val="0"/>
        <w:color w:val="555555"/>
        <w:sz w:val="18"/>
      </w:rPr>
      <w:t xml:space="preserve">Project meeting brief  |  </w:t>
    </w:r>
    <w:r>
      <w:rPr>
        <w:rFonts w:ascii="Calibri" w:hAnsi="Calibri"/>
        <w:b w:val="0"/>
        <w:i w:val="0"/>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Pr>
    <w:r>
      <w:rPr>
        <w:rFonts w:ascii="Calibri" w:hAnsi="Calibri"/>
        <w:b/>
        <w:i w:val="0"/>
        <w:color w:val="555555"/>
        <w:sz w:val="18"/>
      </w:rPr>
      <w:t>DW + HS Vendor Validation  |  OCI A10.2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spacing w:after="80" w:line="300" w:lineRule="auto"/>
      </w:pPr>
    </w:lvl>
  </w:abstractNum>
  <w:num w:numId="10">
    <w:abstractNumId w:val="9"/>
  </w: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0"/>
        <w:spacing w:after="80" w:line="30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0"/>
        <w:spacing w:after="80" w:line="300" w:lineRule="auto"/>
      </w:pPr>
    </w:lvl>
  </w:abstractNum>
  <w:num w:numId="13">
    <w:abstractNumId w:val="12"/>
  </w:num>
  <w:abstractNum w:abstractNumId="13">
    <w:multiLevelType w:val="singleLevel"/>
    <w:lvl w:ilvl="0">
      <w:start w:val="1"/>
      <w:numFmt w:val="decimal"/>
      <w:lvlText w:val="%1."/>
      <w:lvlJc w:val="left"/>
      <w:pPr>
        <w:tabs>
          <w:tab w:val="num" w:pos="540"/>
        </w:tabs>
        <w:ind w:left="540" w:hanging="270"/>
        <w:spacing w:after="80" w:line="300" w:lineRule="auto"/>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1111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5555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80"/>
    </w:pPr>
    <w:rPr>
      <w:rFonts w:ascii="Calibri" w:hAnsi="Calibri"/>
      <w:color w:val="55555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oracle.com/en-us/iaas/Content/ContEng/Tasks/contengmanagingspecializedhardwaredevices.htm" TargetMode="External"/><Relationship Id="rId12" Type="http://schemas.openxmlformats.org/officeDocument/2006/relationships/hyperlink" Target="https://docs.oracle.com/en-us/iaas/Content/ContEng/Reference/contengimagesshapes.htm" TargetMode="External"/><Relationship Id="rId13" Type="http://schemas.openxmlformats.org/officeDocument/2006/relationships/hyperlink" Target="https://docs.oracle.com/en-us/iaas/Content/Compute/References/computeshapes.htm" TargetMode="External"/><Relationship Id="rId14" Type="http://schemas.openxmlformats.org/officeDocument/2006/relationships/hyperlink" Target="https://datawalk.com/preparing-for-datawalk-on-containers/" TargetMode="External"/><Relationship Id="rId15" Type="http://schemas.openxmlformats.org/officeDocument/2006/relationships/hyperlink" Target="https://help.hyperscience.ai/deployment/docs/kubernetes-installation-overview" TargetMode="External"/><Relationship Id="rId16" Type="http://schemas.openxmlformats.org/officeDocument/2006/relationships/hyperlink" Target="https://help.hyperscience.ai/deployment/docs/tve-poc-infrastructure-requir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DataWalk + Hyperscience OCI A10.2 Vendor Validation Meeting Brief</dc:title>
  <dc:subject>Meeting preparation and validation questions for OCI VM.GPU.A10.2 and Kubernetes</dc:subject>
  <dc:creator>Project Architecture Team</dc:creator>
  <cp:keywords>OCI, OKE, A10.2, DataWalk, Hyperscience, Kubernetes, vendor validation</cp:keywords>
  <dc:description>Prepared for technical vendor validation. Verify version-specific requirements before production use.</dc:description>
  <cp:lastModifiedBy/>
  <cp:revision>1</cp:revision>
  <dcterms:created xsi:type="dcterms:W3CDTF">2013-12-23T23:15:00Z</dcterms:created>
  <dcterms:modified xsi:type="dcterms:W3CDTF">2013-12-23T23:15:00Z</dcterms:modified>
  <cp:category/>
</cp:coreProperties>
</file>