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00"/>
        <w:jc w:val="center"/>
      </w:pPr>
      <w:r>
        <w:rPr>
          <w:rFonts w:ascii="Aptos Display" w:hAnsi="Aptos Display"/>
          <w:b/>
          <w:color w:val="000000"/>
          <w:sz w:val="56"/>
        </w:rPr>
        <w:t>DataWalk OCI POC</w:t>
      </w:r>
    </w:p>
    <w:p>
      <w:pPr>
        <w:jc w:val="center"/>
      </w:pPr>
      <w:r>
        <w:rPr>
          <w:rFonts w:ascii="Aptos Display" w:hAnsi="Aptos Display"/>
          <w:b/>
          <w:sz w:val="44"/>
        </w:rPr>
        <w:t>Infrastructure Build Runbook</w:t>
      </w:r>
    </w:p>
    <w:p>
      <w:pPr>
        <w:jc w:val="center"/>
      </w:pPr>
      <w:r>
        <w:t>Dedicated DataWalk Dev-equivalent environment on OCI E6 Flex compute</w:t>
        <w:br/>
      </w:r>
      <w:r>
        <w:rPr>
          <w:i/>
        </w:rPr>
        <w:t>POC only • No production • Hyperscience excluded</w:t>
      </w:r>
    </w:p>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1F4E78"/>
          </w:tcPr>
          <w:p>
            <w:pPr>
              <w:spacing w:after="0"/>
            </w:pPr>
            <w:r/>
            <w:r>
              <w:rPr>
                <w:rFonts w:ascii="Aptos" w:hAnsi="Aptos"/>
                <w:b/>
                <w:color w:val="FFFFFF"/>
                <w:sz w:val="18"/>
              </w:rPr>
              <w:t>Document control</w:t>
            </w:r>
          </w:p>
        </w:tc>
        <w:tc>
          <w:tcPr>
            <w:tcW w:type="dxa" w:w="5112"/>
            <w:vAlign w:val="center"/>
            <w:shd w:fill="1F4E78"/>
          </w:tcPr>
          <w:p>
            <w:pPr>
              <w:spacing w:after="0"/>
            </w:pPr>
            <w:r/>
            <w:r>
              <w:rPr>
                <w:rFonts w:ascii="Aptos" w:hAnsi="Aptos"/>
                <w:b/>
                <w:color w:val="FFFFFF"/>
                <w:sz w:val="18"/>
              </w:rPr>
              <w:t>Value</w:t>
            </w:r>
          </w:p>
        </w:tc>
      </w:tr>
      <w:tr>
        <w:trPr>
          <w:cantSplit/>
        </w:trPr>
        <w:tc>
          <w:tcPr>
            <w:tcW w:type="dxa" w:w="5112"/>
            <w:vAlign w:val="center"/>
          </w:tcPr>
          <w:p>
            <w:pPr>
              <w:spacing w:after="0"/>
            </w:pPr>
            <w:r/>
            <w:r>
              <w:rPr>
                <w:rFonts w:ascii="Aptos" w:hAnsi="Aptos"/>
                <w:b w:val="0"/>
                <w:sz w:val="17"/>
              </w:rPr>
              <w:t>Version</w:t>
            </w:r>
          </w:p>
        </w:tc>
        <w:tc>
          <w:tcPr>
            <w:tcW w:type="dxa" w:w="5112"/>
            <w:vAlign w:val="center"/>
          </w:tcPr>
          <w:p>
            <w:pPr>
              <w:spacing w:after="0"/>
            </w:pPr>
            <w:r/>
            <w:r>
              <w:rPr>
                <w:rFonts w:ascii="Aptos" w:hAnsi="Aptos"/>
                <w:b w:val="0"/>
                <w:sz w:val="17"/>
              </w:rPr>
              <w:t>1.1 - October 14 discovery update</w:t>
            </w:r>
          </w:p>
        </w:tc>
      </w:tr>
      <w:tr>
        <w:trPr>
          <w:cantSplit/>
        </w:trPr>
        <w:tc>
          <w:tcPr>
            <w:tcW w:type="dxa" w:w="5112"/>
            <w:vAlign w:val="center"/>
            <w:shd w:fill="F2F2F2"/>
          </w:tcPr>
          <w:p>
            <w:pPr>
              <w:spacing w:after="0"/>
            </w:pPr>
            <w:r/>
            <w:r>
              <w:rPr>
                <w:rFonts w:ascii="Aptos" w:hAnsi="Aptos"/>
                <w:b w:val="0"/>
                <w:sz w:val="17"/>
              </w:rPr>
              <w:t>Date</w:t>
            </w:r>
          </w:p>
        </w:tc>
        <w:tc>
          <w:tcPr>
            <w:tcW w:type="dxa" w:w="5112"/>
            <w:vAlign w:val="center"/>
            <w:shd w:fill="F2F2F2"/>
          </w:tcPr>
          <w:p>
            <w:pPr>
              <w:spacing w:after="0"/>
            </w:pPr>
            <w:r/>
            <w:r>
              <w:rPr>
                <w:rFonts w:ascii="Aptos" w:hAnsi="Aptos"/>
                <w:b w:val="0"/>
                <w:sz w:val="17"/>
              </w:rPr>
              <w:t>October 14, 2026</w:t>
            </w:r>
          </w:p>
        </w:tc>
      </w:tr>
      <w:tr>
        <w:trPr>
          <w:cantSplit/>
        </w:trPr>
        <w:tc>
          <w:tcPr>
            <w:tcW w:type="dxa" w:w="5112"/>
            <w:vAlign w:val="center"/>
          </w:tcPr>
          <w:p>
            <w:pPr>
              <w:spacing w:after="0"/>
            </w:pPr>
            <w:r/>
            <w:r>
              <w:rPr>
                <w:rFonts w:ascii="Aptos" w:hAnsi="Aptos"/>
                <w:b w:val="0"/>
                <w:sz w:val="17"/>
              </w:rPr>
              <w:t>Owner</w:t>
            </w:r>
          </w:p>
        </w:tc>
        <w:tc>
          <w:tcPr>
            <w:tcW w:type="dxa" w:w="5112"/>
            <w:vAlign w:val="center"/>
          </w:tcPr>
          <w:p>
            <w:pPr>
              <w:spacing w:after="0"/>
            </w:pPr>
            <w:r/>
            <w:r>
              <w:rPr>
                <w:rFonts w:ascii="Aptos" w:hAnsi="Aptos"/>
                <w:b w:val="0"/>
                <w:sz w:val="17"/>
              </w:rPr>
              <w:t>John Nguyen-Tran / OCI POC Lead</w:t>
            </w:r>
          </w:p>
        </w:tc>
      </w:tr>
      <w:tr>
        <w:trPr>
          <w:cantSplit/>
        </w:trPr>
        <w:tc>
          <w:tcPr>
            <w:tcW w:type="dxa" w:w="5112"/>
            <w:vAlign w:val="center"/>
            <w:shd w:fill="F2F2F2"/>
          </w:tcPr>
          <w:p>
            <w:pPr>
              <w:spacing w:after="0"/>
            </w:pPr>
            <w:r/>
            <w:r>
              <w:rPr>
                <w:rFonts w:ascii="Aptos" w:hAnsi="Aptos"/>
                <w:b w:val="0"/>
                <w:sz w:val="17"/>
              </w:rPr>
              <w:t>Execution status</w:t>
            </w:r>
          </w:p>
        </w:tc>
        <w:tc>
          <w:tcPr>
            <w:tcW w:type="dxa" w:w="5112"/>
            <w:vAlign w:val="center"/>
            <w:shd w:fill="F2F2F2"/>
          </w:tcPr>
          <w:p>
            <w:pPr>
              <w:spacing w:after="0"/>
            </w:pPr>
            <w:r/>
            <w:r>
              <w:rPr>
                <w:rFonts w:ascii="Aptos" w:hAnsi="Aptos"/>
                <w:b w:val="0"/>
                <w:sz w:val="17"/>
              </w:rPr>
              <w:t>NOT EXECUTED — operator runbook</w:t>
            </w:r>
          </w:p>
        </w:tc>
      </w:tr>
      <w:tr>
        <w:trPr>
          <w:cantSplit/>
        </w:trPr>
        <w:tc>
          <w:tcPr>
            <w:tcW w:type="dxa" w:w="5112"/>
            <w:vAlign w:val="center"/>
          </w:tcPr>
          <w:p>
            <w:pPr>
              <w:spacing w:after="0"/>
            </w:pPr>
            <w:r/>
            <w:r>
              <w:rPr>
                <w:rFonts w:ascii="Aptos" w:hAnsi="Aptos"/>
                <w:b w:val="0"/>
                <w:sz w:val="17"/>
              </w:rPr>
              <w:t>Target</w:t>
            </w:r>
          </w:p>
        </w:tc>
        <w:tc>
          <w:tcPr>
            <w:tcW w:type="dxa" w:w="5112"/>
            <w:vAlign w:val="center"/>
          </w:tcPr>
          <w:p>
            <w:pPr>
              <w:spacing w:after="0"/>
            </w:pPr>
            <w:r/>
            <w:r>
              <w:rPr>
                <w:rFonts w:ascii="Aptos" w:hAnsi="Aptos"/>
                <w:b w:val="0"/>
                <w:sz w:val="17"/>
              </w:rPr>
              <w:t>One DataWalk Dev-equivalent POC environment</w:t>
            </w:r>
          </w:p>
        </w:tc>
      </w:tr>
      <w:tr>
        <w:trPr>
          <w:cantSplit/>
        </w:trPr>
        <w:tc>
          <w:tcPr>
            <w:tcW w:type="dxa" w:w="5112"/>
            <w:vAlign w:val="center"/>
            <w:shd w:fill="F2F2F2"/>
          </w:tcPr>
          <w:p>
            <w:pPr>
              <w:spacing w:after="0"/>
            </w:pPr>
            <w:r/>
            <w:r>
              <w:rPr>
                <w:rFonts w:ascii="Aptos" w:hAnsi="Aptos"/>
                <w:b w:val="0"/>
                <w:sz w:val="17"/>
              </w:rPr>
              <w:t>Repository</w:t>
            </w:r>
          </w:p>
        </w:tc>
        <w:tc>
          <w:tcPr>
            <w:tcW w:type="dxa" w:w="5112"/>
            <w:vAlign w:val="center"/>
            <w:shd w:fill="F2F2F2"/>
          </w:tcPr>
          <w:p>
            <w:pPr>
              <w:spacing w:after="0"/>
            </w:pPr>
            <w:r/>
            <w:r>
              <w:rPr>
                <w:rFonts w:ascii="Aptos" w:hAnsi="Aptos"/>
                <w:b w:val="0"/>
                <w:sz w:val="17"/>
              </w:rPr>
              <w:t>oci-appdev/dwhs</w:t>
            </w:r>
          </w:p>
        </w:tc>
      </w:tr>
      <w:tr>
        <w:trPr>
          <w:cantSplit/>
        </w:trPr>
        <w:tc>
          <w:tcPr>
            <w:tcW w:type="dxa" w:w="5112"/>
            <w:vAlign w:val="center"/>
          </w:tcPr>
          <w:p>
            <w:pPr>
              <w:spacing w:after="0"/>
            </w:pPr>
            <w:r/>
            <w:r>
              <w:rPr>
                <w:rFonts w:ascii="Aptos" w:hAnsi="Aptos"/>
                <w:b w:val="0"/>
                <w:sz w:val="17"/>
              </w:rPr>
              <w:t>IaC baseline</w:t>
            </w:r>
          </w:p>
        </w:tc>
        <w:tc>
          <w:tcPr>
            <w:tcW w:type="dxa" w:w="5112"/>
            <w:vAlign w:val="center"/>
          </w:tcPr>
          <w:p>
            <w:pPr>
              <w:spacing w:after="0"/>
            </w:pPr>
            <w:r/>
            <w:r>
              <w:rPr>
                <w:rFonts w:ascii="Aptos" w:hAnsi="Aptos"/>
                <w:b w:val="0"/>
                <w:sz w:val="17"/>
              </w:rPr>
              <w:t>terraform/oci-vm-foundation (Oracle Resource Manager)</w:t>
            </w:r>
          </w:p>
        </w:tc>
      </w:tr>
    </w:tbl>
    <w:p>
      <w:pPr>
        <w:spacing w:after="0"/>
      </w:pPr>
    </w:p>
    <w:p>
      <w:r>
        <w:rPr>
          <w:b/>
        </w:rPr>
        <w:t xml:space="preserve">POC BOUNDARY  </w:t>
      </w:r>
      <w:r>
        <w:t>Build the dedicated DataWalk Dev-equivalent infrastructure, install the vendor application and migrate approved demo data for regression tests. Production, full production migration and live Hyperscience integration are excluded. Target technical completion is November 24, 2026, ahead of the November 25 funding deadline; no ATO or execution is implied.</w:t>
      </w:r>
    </w:p>
    <w:p>
      <w:r>
        <w:br w:type="page"/>
      </w:r>
    </w:p>
    <w:p>
      <w:pPr>
        <w:pStyle w:val="Heading1"/>
        <w:keepNext/>
      </w:pPr>
      <w:r>
        <w:t>1 Purpose and success condition</w:t>
      </w:r>
    </w:p>
    <w:p>
      <w:r>
        <w:t>Use this runbook to build, validate, document, and hand off a private DataWalk Dev-equivalent infrastructure foundation in the approved OCI Government Cloud landing zone. Infrastructure is accepted only when the network, compute, storage, access, security telemetry, and recovery prerequisites pass with retained evidence.</w:t>
      </w:r>
    </w:p>
    <w:p>
      <w:pPr>
        <w:pStyle w:val="Heading2"/>
        <w:keepNext/>
      </w:pPr>
      <w:r>
        <w:t>1 1 Fixed POC scope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1F4E78"/>
          </w:tcPr>
          <w:p>
            <w:pPr>
              <w:spacing w:after="0"/>
            </w:pPr>
            <w:r/>
            <w:r>
              <w:rPr>
                <w:rFonts w:ascii="Aptos" w:hAnsi="Aptos"/>
                <w:b/>
                <w:color w:val="FFFFFF"/>
                <w:sz w:val="18"/>
              </w:rPr>
              <w:t>Included</w:t>
            </w:r>
          </w:p>
        </w:tc>
        <w:tc>
          <w:tcPr>
            <w:tcW w:type="dxa" w:w="5112"/>
            <w:vAlign w:val="center"/>
            <w:shd w:fill="1F4E78"/>
          </w:tcPr>
          <w:p>
            <w:pPr>
              <w:spacing w:after="0"/>
            </w:pPr>
            <w:r/>
            <w:r>
              <w:rPr>
                <w:rFonts w:ascii="Aptos" w:hAnsi="Aptos"/>
                <w:b/>
                <w:color w:val="FFFFFF"/>
                <w:sz w:val="18"/>
              </w:rPr>
              <w:t>Excluded</w:t>
            </w:r>
          </w:p>
        </w:tc>
      </w:tr>
      <w:tr>
        <w:trPr>
          <w:cantSplit/>
        </w:trPr>
        <w:tc>
          <w:tcPr>
            <w:tcW w:type="dxa" w:w="5112"/>
            <w:vAlign w:val="center"/>
          </w:tcPr>
          <w:p>
            <w:pPr>
              <w:spacing w:after="0"/>
            </w:pPr>
            <w:r/>
            <w:r>
              <w:rPr>
                <w:rFonts w:ascii="Aptos" w:hAnsi="Aptos"/>
                <w:b w:val="0"/>
                <w:sz w:val="17"/>
              </w:rPr>
              <w:t>One dedicated DataWalk nonproduction environment</w:t>
            </w:r>
          </w:p>
        </w:tc>
        <w:tc>
          <w:tcPr>
            <w:tcW w:type="dxa" w:w="5112"/>
            <w:vAlign w:val="center"/>
          </w:tcPr>
          <w:p>
            <w:pPr>
              <w:spacing w:after="0"/>
            </w:pPr>
            <w:r/>
            <w:r>
              <w:rPr>
                <w:rFonts w:ascii="Aptos" w:hAnsi="Aptos"/>
                <w:b w:val="0"/>
                <w:sz w:val="17"/>
              </w:rPr>
              <w:t>DataWalk Test and Production environments</w:t>
            </w:r>
          </w:p>
        </w:tc>
      </w:tr>
      <w:tr>
        <w:trPr>
          <w:cantSplit/>
        </w:trPr>
        <w:tc>
          <w:tcPr>
            <w:tcW w:type="dxa" w:w="5112"/>
            <w:vAlign w:val="center"/>
            <w:shd w:fill="F2F2F2"/>
          </w:tcPr>
          <w:p>
            <w:pPr>
              <w:spacing w:after="0"/>
            </w:pPr>
            <w:r/>
            <w:r>
              <w:rPr>
                <w:rFonts w:ascii="Aptos" w:hAnsi="Aptos"/>
                <w:b w:val="0"/>
                <w:sz w:val="17"/>
              </w:rPr>
              <w:t>Private E6 Flex compute foundation</w:t>
            </w:r>
          </w:p>
        </w:tc>
        <w:tc>
          <w:tcPr>
            <w:tcW w:type="dxa" w:w="5112"/>
            <w:vAlign w:val="center"/>
            <w:shd w:fill="F2F2F2"/>
          </w:tcPr>
          <w:p>
            <w:pPr>
              <w:spacing w:after="0"/>
            </w:pPr>
            <w:r/>
            <w:r>
              <w:rPr>
                <w:rFonts w:ascii="Aptos" w:hAnsi="Aptos"/>
                <w:b w:val="0"/>
                <w:sz w:val="17"/>
              </w:rPr>
              <w:t>Hyperscience CPU/GPU infrastructure</w:t>
            </w:r>
          </w:p>
        </w:tc>
      </w:tr>
      <w:tr>
        <w:trPr>
          <w:cantSplit/>
        </w:trPr>
        <w:tc>
          <w:tcPr>
            <w:tcW w:type="dxa" w:w="5112"/>
            <w:vAlign w:val="center"/>
          </w:tcPr>
          <w:p>
            <w:pPr>
              <w:spacing w:after="0"/>
            </w:pPr>
            <w:r/>
            <w:r>
              <w:rPr>
                <w:rFonts w:ascii="Aptos" w:hAnsi="Aptos"/>
                <w:b w:val="0"/>
                <w:sz w:val="17"/>
              </w:rPr>
              <w:t>Private network, DRG/FastConnect path, NSGs and DNS</w:t>
            </w:r>
          </w:p>
        </w:tc>
        <w:tc>
          <w:tcPr>
            <w:tcW w:type="dxa" w:w="5112"/>
            <w:vAlign w:val="center"/>
          </w:tcPr>
          <w:p>
            <w:pPr>
              <w:spacing w:after="0"/>
            </w:pPr>
            <w:r/>
            <w:r>
              <w:rPr>
                <w:rFonts w:ascii="Aptos" w:hAnsi="Aptos"/>
                <w:b w:val="0"/>
                <w:sz w:val="17"/>
              </w:rPr>
              <w:t>Public IPs or direct Internet administration</w:t>
            </w:r>
          </w:p>
        </w:tc>
      </w:tr>
      <w:tr>
        <w:trPr>
          <w:cantSplit/>
        </w:trPr>
        <w:tc>
          <w:tcPr>
            <w:tcW w:type="dxa" w:w="5112"/>
            <w:vAlign w:val="center"/>
            <w:shd w:fill="F2F2F2"/>
          </w:tcPr>
          <w:p>
            <w:pPr>
              <w:spacing w:after="0"/>
            </w:pPr>
            <w:r/>
            <w:r>
              <w:rPr>
                <w:rFonts w:ascii="Aptos" w:hAnsi="Aptos"/>
                <w:b w:val="0"/>
                <w:sz w:val="17"/>
              </w:rPr>
              <w:t>Block storage, approved Decoupled Storage path and backup design</w:t>
            </w:r>
          </w:p>
        </w:tc>
        <w:tc>
          <w:tcPr>
            <w:tcW w:type="dxa" w:w="5112"/>
            <w:vAlign w:val="center"/>
            <w:shd w:fill="F2F2F2"/>
          </w:tcPr>
          <w:p>
            <w:pPr>
              <w:spacing w:after="0"/>
            </w:pPr>
            <w:r/>
            <w:r>
              <w:rPr>
                <w:rFonts w:ascii="Aptos" w:hAnsi="Aptos"/>
                <w:b w:val="0"/>
                <w:sz w:val="17"/>
              </w:rPr>
              <w:t>Production data or production credentials</w:t>
            </w:r>
          </w:p>
        </w:tc>
      </w:tr>
      <w:tr>
        <w:trPr>
          <w:cantSplit/>
        </w:trPr>
        <w:tc>
          <w:tcPr>
            <w:tcW w:type="dxa" w:w="5112"/>
            <w:vAlign w:val="center"/>
          </w:tcPr>
          <w:p>
            <w:pPr>
              <w:spacing w:after="0"/>
            </w:pPr>
            <w:r/>
            <w:r>
              <w:rPr>
                <w:rFonts w:ascii="Aptos" w:hAnsi="Aptos"/>
                <w:b w:val="0"/>
                <w:sz w:val="17"/>
              </w:rPr>
              <w:t>Logging, monitoring, approved image installation and demo database migration</w:t>
            </w:r>
          </w:p>
        </w:tc>
        <w:tc>
          <w:tcPr>
            <w:tcW w:type="dxa" w:w="5112"/>
            <w:vAlign w:val="center"/>
          </w:tcPr>
          <w:p>
            <w:pPr>
              <w:spacing w:after="0"/>
            </w:pPr>
            <w:r/>
            <w:r>
              <w:rPr>
                <w:rFonts w:ascii="Aptos" w:hAnsi="Aptos"/>
                <w:b w:val="0"/>
                <w:sz w:val="17"/>
              </w:rPr>
              <w:t>Production installation or migration</w:t>
            </w:r>
          </w:p>
        </w:tc>
      </w:tr>
      <w:tr>
        <w:trPr>
          <w:cantSplit/>
        </w:trPr>
        <w:tc>
          <w:tcPr>
            <w:tcW w:type="dxa" w:w="5112"/>
            <w:vAlign w:val="center"/>
            <w:shd w:fill="F2F2F2"/>
          </w:tcPr>
          <w:p>
            <w:pPr>
              <w:spacing w:after="0"/>
            </w:pPr>
            <w:r/>
            <w:r>
              <w:rPr>
                <w:rFonts w:ascii="Aptos" w:hAnsi="Aptos"/>
                <w:b w:val="0"/>
                <w:sz w:val="17"/>
              </w:rPr>
              <w:t>Kubernetes platform prerequisites and decision gate</w:t>
            </w:r>
          </w:p>
        </w:tc>
        <w:tc>
          <w:tcPr>
            <w:tcW w:type="dxa" w:w="5112"/>
            <w:vAlign w:val="center"/>
            <w:shd w:fill="F2F2F2"/>
          </w:tcPr>
          <w:p>
            <w:pPr>
              <w:spacing w:after="0"/>
            </w:pPr>
            <w:r/>
            <w:r>
              <w:rPr>
                <w:rFonts w:ascii="Aptos" w:hAnsi="Aptos"/>
                <w:b w:val="0"/>
                <w:sz w:val="17"/>
              </w:rPr>
              <w:t>Unsupported assumption that RHEL equals managed OKE support</w:t>
            </w:r>
          </w:p>
        </w:tc>
      </w:tr>
    </w:tbl>
    <w:p>
      <w:pPr>
        <w:spacing w:after="0"/>
      </w:pPr>
    </w:p>
    <w:p>
      <w:pPr>
        <w:pStyle w:val="Heading2"/>
        <w:keepNext/>
      </w:pPr>
      <w:r>
        <w:t>1 2 Intended topology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7843"/>
      </w:tblGrid>
      <w:tr>
        <w:trPr>
          <w:tblHeader/>
          <w:cantSplit/>
        </w:trPr>
        <w:tc>
          <w:tcPr>
            <w:tcW w:type="dxa" w:w="2381"/>
            <w:vAlign w:val="center"/>
            <w:shd w:fill="1F4E78"/>
          </w:tcPr>
          <w:p>
            <w:pPr>
              <w:spacing w:after="0"/>
            </w:pPr>
            <w:r/>
            <w:r>
              <w:rPr>
                <w:rFonts w:ascii="Aptos" w:hAnsi="Aptos"/>
                <w:b/>
                <w:color w:val="FFFFFF"/>
                <w:sz w:val="18"/>
              </w:rPr>
              <w:t>Zone</w:t>
            </w:r>
          </w:p>
        </w:tc>
        <w:tc>
          <w:tcPr>
            <w:tcW w:type="dxa" w:w="7843"/>
            <w:vAlign w:val="center"/>
            <w:shd w:fill="1F4E78"/>
          </w:tcPr>
          <w:p>
            <w:pPr>
              <w:spacing w:after="0"/>
            </w:pPr>
            <w:r/>
            <w:r>
              <w:rPr>
                <w:rFonts w:ascii="Aptos" w:hAnsi="Aptos"/>
                <w:b/>
                <w:color w:val="FFFFFF"/>
                <w:sz w:val="18"/>
              </w:rPr>
              <w:t>Required components</w:t>
            </w:r>
          </w:p>
        </w:tc>
      </w:tr>
      <w:tr>
        <w:trPr>
          <w:cantSplit/>
        </w:trPr>
        <w:tc>
          <w:tcPr>
            <w:tcW w:type="dxa" w:w="2381"/>
            <w:vAlign w:val="center"/>
          </w:tcPr>
          <w:p>
            <w:pPr>
              <w:spacing w:after="0"/>
            </w:pPr>
            <w:r/>
            <w:r>
              <w:rPr>
                <w:rFonts w:ascii="Aptos" w:hAnsi="Aptos"/>
                <w:b w:val="0"/>
                <w:sz w:val="17"/>
              </w:rPr>
              <w:t>Enterprise</w:t>
            </w:r>
          </w:p>
        </w:tc>
        <w:tc>
          <w:tcPr>
            <w:tcW w:type="dxa" w:w="7843"/>
            <w:vAlign w:val="center"/>
          </w:tcPr>
          <w:p>
            <w:pPr>
              <w:spacing w:after="0"/>
            </w:pPr>
            <w:r/>
            <w:r>
              <w:rPr>
                <w:rFonts w:ascii="Aptos" w:hAnsi="Aptos"/>
                <w:b w:val="0"/>
                <w:sz w:val="17"/>
              </w:rPr>
              <w:t>Approved administrator workstation → Windows jump host; approved DataWalk test users and data source</w:t>
            </w:r>
          </w:p>
        </w:tc>
      </w:tr>
      <w:tr>
        <w:trPr>
          <w:cantSplit/>
        </w:trPr>
        <w:tc>
          <w:tcPr>
            <w:tcW w:type="dxa" w:w="2381"/>
            <w:vAlign w:val="center"/>
            <w:shd w:fill="F2F2F2"/>
          </w:tcPr>
          <w:p>
            <w:pPr>
              <w:spacing w:after="0"/>
            </w:pPr>
            <w:r/>
            <w:r>
              <w:rPr>
                <w:rFonts w:ascii="Aptos" w:hAnsi="Aptos"/>
                <w:b w:val="0"/>
                <w:sz w:val="17"/>
              </w:rPr>
              <w:t>Hybrid connectivity</w:t>
            </w:r>
          </w:p>
        </w:tc>
        <w:tc>
          <w:tcPr>
            <w:tcW w:type="dxa" w:w="7843"/>
            <w:vAlign w:val="center"/>
            <w:shd w:fill="F2F2F2"/>
          </w:tcPr>
          <w:p>
            <w:pPr>
              <w:spacing w:after="0"/>
            </w:pPr>
            <w:r/>
            <w:r>
              <w:rPr>
                <w:rFonts w:ascii="Aptos" w:hAnsi="Aptos"/>
                <w:b w:val="0"/>
                <w:sz w:val="17"/>
              </w:rPr>
              <w:t>FastConnect → DRG → SCCA inspection / network firewall → DataWalk private VCN/subnets</w:t>
            </w:r>
          </w:p>
        </w:tc>
      </w:tr>
      <w:tr>
        <w:trPr>
          <w:cantSplit/>
        </w:trPr>
        <w:tc>
          <w:tcPr>
            <w:tcW w:type="dxa" w:w="2381"/>
            <w:vAlign w:val="center"/>
          </w:tcPr>
          <w:p>
            <w:pPr>
              <w:spacing w:after="0"/>
            </w:pPr>
            <w:r/>
            <w:r>
              <w:rPr>
                <w:rFonts w:ascii="Aptos" w:hAnsi="Aptos"/>
                <w:b w:val="0"/>
                <w:sz w:val="17"/>
              </w:rPr>
              <w:t>DataWalk POC</w:t>
            </w:r>
          </w:p>
        </w:tc>
        <w:tc>
          <w:tcPr>
            <w:tcW w:type="dxa" w:w="7843"/>
            <w:vAlign w:val="center"/>
          </w:tcPr>
          <w:p>
            <w:pPr>
              <w:spacing w:after="0"/>
            </w:pPr>
            <w:r/>
            <w:r>
              <w:rPr>
                <w:rFonts w:ascii="Aptos" w:hAnsi="Aptos"/>
                <w:b w:val="0"/>
                <w:sz w:val="17"/>
              </w:rPr>
              <w:t>Dedicated E6 Flex nodes; private endpoint/load balancer; application and persistent storage; no shared Hyperscience resources</w:t>
            </w:r>
          </w:p>
        </w:tc>
      </w:tr>
      <w:tr>
        <w:trPr>
          <w:cantSplit/>
        </w:trPr>
        <w:tc>
          <w:tcPr>
            <w:tcW w:type="dxa" w:w="2381"/>
            <w:vAlign w:val="center"/>
            <w:shd w:fill="F2F2F2"/>
          </w:tcPr>
          <w:p>
            <w:pPr>
              <w:spacing w:after="0"/>
            </w:pPr>
            <w:r/>
            <w:r>
              <w:rPr>
                <w:rFonts w:ascii="Aptos" w:hAnsi="Aptos"/>
                <w:b w:val="0"/>
                <w:sz w:val="17"/>
              </w:rPr>
              <w:t>OCI services</w:t>
            </w:r>
          </w:p>
        </w:tc>
        <w:tc>
          <w:tcPr>
            <w:tcW w:type="dxa" w:w="7843"/>
            <w:vAlign w:val="center"/>
            <w:shd w:fill="F2F2F2"/>
          </w:tcPr>
          <w:p>
            <w:pPr>
              <w:spacing w:after="0"/>
            </w:pPr>
            <w:r/>
            <w:r>
              <w:rPr>
                <w:rFonts w:ascii="Aptos" w:hAnsi="Aptos"/>
                <w:b w:val="0"/>
                <w:sz w:val="17"/>
              </w:rPr>
              <w:t>Service Gateway, Object Storage only if vendor-approved, Registry, Vault/KMS, Logging, Monitoring, Audit and backup/evidence target</w:t>
            </w:r>
          </w:p>
        </w:tc>
      </w:tr>
    </w:tbl>
    <w:p>
      <w:pPr>
        <w:spacing w:after="0"/>
      </w:pPr>
    </w:p>
    <w:p>
      <w:r>
        <w:rPr>
          <w:b/>
        </w:rPr>
        <w:t xml:space="preserve">IMPLEMENTATION POSITION  </w:t>
      </w:r>
      <w:r>
        <w:t>The latest decision is a separate DataWalk E6 VM cluster. The existing ORM stack creates the private VM foundation only. Kubernetes type, node OS/image, CNI, cluster ports and Decoupled Storage remain approval gates before platform bootstrap.</w:t>
      </w:r>
    </w:p>
    <w:p>
      <w:pPr>
        <w:pStyle w:val="Heading1"/>
        <w:keepNext/>
      </w:pPr>
      <w:r>
        <w:t>2 Build record and decision gates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1"/>
        <w:gridCol w:w="6863"/>
      </w:tblGrid>
      <w:tr>
        <w:trPr>
          <w:tblHeader/>
          <w:cantSplit/>
        </w:trPr>
        <w:tc>
          <w:tcPr>
            <w:tcW w:type="dxa" w:w="3361"/>
            <w:vAlign w:val="center"/>
            <w:shd w:fill="1F4E78"/>
          </w:tcPr>
          <w:p>
            <w:pPr>
              <w:spacing w:after="0"/>
            </w:pPr>
            <w:r/>
            <w:r>
              <w:rPr>
                <w:rFonts w:ascii="Aptos" w:hAnsi="Aptos"/>
                <w:b/>
                <w:color w:val="FFFFFF"/>
                <w:sz w:val="18"/>
              </w:rPr>
              <w:t>Field</w:t>
            </w:r>
          </w:p>
        </w:tc>
        <w:tc>
          <w:tcPr>
            <w:tcW w:type="dxa" w:w="6863"/>
            <w:vAlign w:val="center"/>
            <w:shd w:fill="1F4E78"/>
          </w:tcPr>
          <w:p>
            <w:pPr>
              <w:spacing w:after="0"/>
            </w:pPr>
            <w:r/>
            <w:r>
              <w:rPr>
                <w:rFonts w:ascii="Aptos" w:hAnsi="Aptos"/>
                <w:b/>
                <w:color w:val="FFFFFF"/>
                <w:sz w:val="18"/>
              </w:rPr>
              <w:t>Record before execution</w:t>
            </w:r>
          </w:p>
        </w:tc>
      </w:tr>
      <w:tr>
        <w:trPr>
          <w:cantSplit/>
        </w:trPr>
        <w:tc>
          <w:tcPr>
            <w:tcW w:type="dxa" w:w="3361"/>
            <w:vAlign w:val="center"/>
          </w:tcPr>
          <w:p>
            <w:pPr>
              <w:spacing w:after="0"/>
            </w:pPr>
            <w:r/>
            <w:r>
              <w:rPr>
                <w:rFonts w:ascii="Aptos" w:hAnsi="Aptos"/>
                <w:b w:val="0"/>
                <w:sz w:val="17"/>
              </w:rPr>
              <w:t>Tenancy / region</w:t>
            </w:r>
          </w:p>
        </w:tc>
        <w:tc>
          <w:tcPr>
            <w:tcW w:type="dxa" w:w="6863"/>
            <w:vAlign w:val="center"/>
          </w:tcPr>
          <w:p>
            <w:pPr>
              <w:spacing w:after="0"/>
            </w:pPr>
            <w:r/>
            <w:r>
              <w:rPr>
                <w:rFonts w:ascii="Aptos" w:hAnsi="Aptos"/>
                <w:b w:val="0"/>
                <w:sz w:val="17"/>
              </w:rPr>
              <w:t>____________________________________________</w:t>
            </w:r>
          </w:p>
        </w:tc>
      </w:tr>
      <w:tr>
        <w:trPr>
          <w:cantSplit/>
        </w:trPr>
        <w:tc>
          <w:tcPr>
            <w:tcW w:type="dxa" w:w="3361"/>
            <w:vAlign w:val="center"/>
            <w:shd w:fill="F2F2F2"/>
          </w:tcPr>
          <w:p>
            <w:pPr>
              <w:spacing w:after="0"/>
            </w:pPr>
            <w:r/>
            <w:r>
              <w:rPr>
                <w:rFonts w:ascii="Aptos" w:hAnsi="Aptos"/>
                <w:b w:val="0"/>
                <w:sz w:val="17"/>
              </w:rPr>
              <w:t>POC compartment OCID</w:t>
            </w:r>
          </w:p>
        </w:tc>
        <w:tc>
          <w:tcPr>
            <w:tcW w:type="dxa" w:w="6863"/>
            <w:vAlign w:val="center"/>
            <w:shd w:fill="F2F2F2"/>
          </w:tcPr>
          <w:p>
            <w:pPr>
              <w:spacing w:after="0"/>
            </w:pPr>
            <w:r/>
            <w:r>
              <w:rPr>
                <w:rFonts w:ascii="Aptos" w:hAnsi="Aptos"/>
                <w:b w:val="0"/>
                <w:sz w:val="17"/>
              </w:rPr>
              <w:t>____________________________________________</w:t>
            </w:r>
          </w:p>
        </w:tc>
      </w:tr>
      <w:tr>
        <w:trPr>
          <w:cantSplit/>
        </w:trPr>
        <w:tc>
          <w:tcPr>
            <w:tcW w:type="dxa" w:w="3361"/>
            <w:vAlign w:val="center"/>
          </w:tcPr>
          <w:p>
            <w:pPr>
              <w:spacing w:after="0"/>
            </w:pPr>
            <w:r/>
            <w:r>
              <w:rPr>
                <w:rFonts w:ascii="Aptos" w:hAnsi="Aptos"/>
                <w:b w:val="0"/>
                <w:sz w:val="17"/>
              </w:rPr>
              <w:t>Change / funding ticket</w:t>
            </w:r>
          </w:p>
        </w:tc>
        <w:tc>
          <w:tcPr>
            <w:tcW w:type="dxa" w:w="6863"/>
            <w:vAlign w:val="center"/>
          </w:tcPr>
          <w:p>
            <w:pPr>
              <w:spacing w:after="0"/>
            </w:pPr>
            <w:r/>
            <w:r>
              <w:rPr>
                <w:rFonts w:ascii="Aptos" w:hAnsi="Aptos"/>
                <w:b w:val="0"/>
                <w:sz w:val="17"/>
              </w:rPr>
              <w:t>____________________________________________</w:t>
            </w:r>
          </w:p>
        </w:tc>
      </w:tr>
      <w:tr>
        <w:trPr>
          <w:cantSplit/>
        </w:trPr>
        <w:tc>
          <w:tcPr>
            <w:tcW w:type="dxa" w:w="3361"/>
            <w:vAlign w:val="center"/>
            <w:shd w:fill="F2F2F2"/>
          </w:tcPr>
          <w:p>
            <w:pPr>
              <w:spacing w:after="0"/>
            </w:pPr>
            <w:r/>
            <w:r>
              <w:rPr>
                <w:rFonts w:ascii="Aptos" w:hAnsi="Aptos"/>
                <w:b w:val="0"/>
                <w:sz w:val="17"/>
              </w:rPr>
              <w:t>VCN / subnet CIDRs</w:t>
            </w:r>
          </w:p>
        </w:tc>
        <w:tc>
          <w:tcPr>
            <w:tcW w:type="dxa" w:w="6863"/>
            <w:vAlign w:val="center"/>
            <w:shd w:fill="F2F2F2"/>
          </w:tcPr>
          <w:p>
            <w:pPr>
              <w:spacing w:after="0"/>
            </w:pPr>
            <w:r/>
            <w:r>
              <w:rPr>
                <w:rFonts w:ascii="Aptos" w:hAnsi="Aptos"/>
                <w:b w:val="0"/>
                <w:sz w:val="17"/>
              </w:rPr>
              <w:t>____________________________________________</w:t>
            </w:r>
          </w:p>
        </w:tc>
      </w:tr>
      <w:tr>
        <w:trPr>
          <w:cantSplit/>
        </w:trPr>
        <w:tc>
          <w:tcPr>
            <w:tcW w:type="dxa" w:w="3361"/>
            <w:vAlign w:val="center"/>
          </w:tcPr>
          <w:p>
            <w:pPr>
              <w:spacing w:after="0"/>
            </w:pPr>
            <w:r/>
            <w:r>
              <w:rPr>
                <w:rFonts w:ascii="Aptos" w:hAnsi="Aptos"/>
                <w:b w:val="0"/>
                <w:sz w:val="17"/>
              </w:rPr>
              <w:t>DRG and DRG route table OCIDs</w:t>
            </w:r>
          </w:p>
        </w:tc>
        <w:tc>
          <w:tcPr>
            <w:tcW w:type="dxa" w:w="6863"/>
            <w:vAlign w:val="center"/>
          </w:tcPr>
          <w:p>
            <w:pPr>
              <w:spacing w:after="0"/>
            </w:pPr>
            <w:r/>
            <w:r>
              <w:rPr>
                <w:rFonts w:ascii="Aptos" w:hAnsi="Aptos"/>
                <w:b w:val="0"/>
                <w:sz w:val="17"/>
              </w:rPr>
              <w:t>____________________________________________</w:t>
            </w:r>
          </w:p>
        </w:tc>
      </w:tr>
      <w:tr>
        <w:trPr>
          <w:cantSplit/>
        </w:trPr>
        <w:tc>
          <w:tcPr>
            <w:tcW w:type="dxa" w:w="3361"/>
            <w:vAlign w:val="center"/>
            <w:shd w:fill="F2F2F2"/>
          </w:tcPr>
          <w:p>
            <w:pPr>
              <w:spacing w:after="0"/>
            </w:pPr>
            <w:r/>
            <w:r>
              <w:rPr>
                <w:rFonts w:ascii="Aptos" w:hAnsi="Aptos"/>
                <w:b w:val="0"/>
                <w:sz w:val="17"/>
              </w:rPr>
              <w:t>Jump-host CIDR</w:t>
            </w:r>
          </w:p>
        </w:tc>
        <w:tc>
          <w:tcPr>
            <w:tcW w:type="dxa" w:w="6863"/>
            <w:vAlign w:val="center"/>
            <w:shd w:fill="F2F2F2"/>
          </w:tcPr>
          <w:p>
            <w:pPr>
              <w:spacing w:after="0"/>
            </w:pPr>
            <w:r/>
            <w:r>
              <w:rPr>
                <w:rFonts w:ascii="Aptos" w:hAnsi="Aptos"/>
                <w:b w:val="0"/>
                <w:sz w:val="17"/>
              </w:rPr>
              <w:t>____________________________________________</w:t>
            </w:r>
          </w:p>
        </w:tc>
      </w:tr>
      <w:tr>
        <w:trPr>
          <w:cantSplit/>
        </w:trPr>
        <w:tc>
          <w:tcPr>
            <w:tcW w:type="dxa" w:w="3361"/>
            <w:vAlign w:val="center"/>
          </w:tcPr>
          <w:p>
            <w:pPr>
              <w:spacing w:after="0"/>
            </w:pPr>
            <w:r/>
            <w:r>
              <w:rPr>
                <w:rFonts w:ascii="Aptos" w:hAnsi="Aptos"/>
                <w:b w:val="0"/>
                <w:sz w:val="17"/>
              </w:rPr>
              <w:t>RHEL image OCID / entitlement</w:t>
            </w:r>
          </w:p>
        </w:tc>
        <w:tc>
          <w:tcPr>
            <w:tcW w:type="dxa" w:w="6863"/>
            <w:vAlign w:val="center"/>
          </w:tcPr>
          <w:p>
            <w:pPr>
              <w:spacing w:after="0"/>
            </w:pPr>
            <w:r/>
            <w:r>
              <w:rPr>
                <w:rFonts w:ascii="Aptos" w:hAnsi="Aptos"/>
                <w:b w:val="0"/>
                <w:sz w:val="17"/>
              </w:rPr>
              <w:t>____________________________________________</w:t>
            </w:r>
          </w:p>
        </w:tc>
      </w:tr>
      <w:tr>
        <w:trPr>
          <w:cantSplit/>
        </w:trPr>
        <w:tc>
          <w:tcPr>
            <w:tcW w:type="dxa" w:w="3361"/>
            <w:vAlign w:val="center"/>
            <w:shd w:fill="F2F2F2"/>
          </w:tcPr>
          <w:p>
            <w:pPr>
              <w:spacing w:after="0"/>
            </w:pPr>
            <w:r/>
            <w:r>
              <w:rPr>
                <w:rFonts w:ascii="Aptos" w:hAnsi="Aptos"/>
                <w:b w:val="0"/>
                <w:sz w:val="17"/>
              </w:rPr>
              <w:t>Kubernetes path and minor</w:t>
            </w:r>
          </w:p>
        </w:tc>
        <w:tc>
          <w:tcPr>
            <w:tcW w:type="dxa" w:w="6863"/>
            <w:vAlign w:val="center"/>
            <w:shd w:fill="F2F2F2"/>
          </w:tcPr>
          <w:p>
            <w:pPr>
              <w:spacing w:after="0"/>
            </w:pPr>
            <w:r/>
            <w:r>
              <w:rPr>
                <w:rFonts w:ascii="Aptos" w:hAnsi="Aptos"/>
                <w:b w:val="0"/>
                <w:sz w:val="17"/>
              </w:rPr>
              <w:t>Separate dedicated Kubernetes cluster required; managed OKE or self-managed path and supported minor must be signed off</w:t>
            </w:r>
          </w:p>
        </w:tc>
      </w:tr>
      <w:tr>
        <w:trPr>
          <w:cantSplit/>
        </w:trPr>
        <w:tc>
          <w:tcPr>
            <w:tcW w:type="dxa" w:w="3361"/>
            <w:vAlign w:val="center"/>
          </w:tcPr>
          <w:p>
            <w:pPr>
              <w:spacing w:after="0"/>
            </w:pPr>
            <w:r/>
            <w:r>
              <w:rPr>
                <w:rFonts w:ascii="Aptos" w:hAnsi="Aptos"/>
                <w:b w:val="0"/>
                <w:sz w:val="17"/>
              </w:rPr>
              <w:t>DataWalk version / vendor approval</w:t>
            </w:r>
          </w:p>
        </w:tc>
        <w:tc>
          <w:tcPr>
            <w:tcW w:type="dxa" w:w="6863"/>
            <w:vAlign w:val="center"/>
          </w:tcPr>
          <w:p>
            <w:pPr>
              <w:spacing w:after="0"/>
            </w:pPr>
            <w:r/>
            <w:r>
              <w:rPr>
                <w:rFonts w:ascii="Aptos" w:hAnsi="Aptos"/>
                <w:b w:val="0"/>
                <w:sz w:val="17"/>
              </w:rPr>
              <w:t>____________________________________________</w:t>
            </w:r>
          </w:p>
        </w:tc>
      </w:tr>
      <w:tr>
        <w:trPr>
          <w:cantSplit/>
        </w:trPr>
        <w:tc>
          <w:tcPr>
            <w:tcW w:type="dxa" w:w="3361"/>
            <w:vAlign w:val="center"/>
            <w:shd w:fill="F2F2F2"/>
          </w:tcPr>
          <w:p>
            <w:pPr>
              <w:spacing w:after="0"/>
            </w:pPr>
            <w:r/>
            <w:r>
              <w:rPr>
                <w:rFonts w:ascii="Aptos" w:hAnsi="Aptos"/>
                <w:b w:val="0"/>
                <w:sz w:val="17"/>
              </w:rPr>
              <w:t>Decoupled Storage decision</w:t>
            </w:r>
          </w:p>
        </w:tc>
        <w:tc>
          <w:tcPr>
            <w:tcW w:type="dxa" w:w="6863"/>
            <w:vAlign w:val="center"/>
            <w:shd w:fill="F2F2F2"/>
          </w:tcPr>
          <w:p>
            <w:pPr>
              <w:spacing w:after="0"/>
            </w:pPr>
            <w:r/>
            <w:r>
              <w:rPr>
                <w:rFonts w:ascii="Aptos" w:hAnsi="Aptos"/>
                <w:b w:val="0"/>
                <w:sz w:val="17"/>
              </w:rPr>
              <w:t>____________________________________________</w:t>
            </w:r>
          </w:p>
        </w:tc>
      </w:tr>
      <w:tr>
        <w:trPr>
          <w:cantSplit/>
        </w:trPr>
        <w:tc>
          <w:tcPr>
            <w:tcW w:type="dxa" w:w="3361"/>
            <w:vAlign w:val="center"/>
          </w:tcPr>
          <w:p>
            <w:pPr>
              <w:spacing w:after="0"/>
            </w:pPr>
            <w:r/>
            <w:r>
              <w:rPr>
                <w:rFonts w:ascii="Aptos" w:hAnsi="Aptos"/>
                <w:b w:val="0"/>
                <w:sz w:val="17"/>
              </w:rPr>
              <w:t>Run owner / deputy</w:t>
            </w:r>
          </w:p>
        </w:tc>
        <w:tc>
          <w:tcPr>
            <w:tcW w:type="dxa" w:w="6863"/>
            <w:vAlign w:val="center"/>
          </w:tcPr>
          <w:p>
            <w:pPr>
              <w:spacing w:after="0"/>
            </w:pPr>
            <w:r/>
            <w:r>
              <w:rPr>
                <w:rFonts w:ascii="Aptos" w:hAnsi="Aptos"/>
                <w:b w:val="0"/>
                <w:sz w:val="17"/>
              </w:rPr>
              <w:t>____________________________________________</w:t>
            </w:r>
          </w:p>
        </w:tc>
      </w:tr>
    </w:tbl>
    <w:p>
      <w:pPr>
        <w:spacing w:after="0"/>
      </w:pPr>
    </w:p>
    <w:p>
      <w:pPr>
        <w:pStyle w:val="Heading2"/>
        <w:keepNext/>
      </w:pPr>
      <w:r>
        <w:t>2 1 Mandatory stop conditions</w:t>
      </w:r>
    </w:p>
    <w:p>
      <w:pPr>
        <w:pStyle w:val="ListBullet"/>
      </w:pPr>
      <w:r>
        <w:t>DataWalk has not approved the exact application release, Kubernetes minor, worker-node operating system/image and deployment model.</w:t>
      </w:r>
    </w:p>
    <w:p>
      <w:pPr>
        <w:pStyle w:val="ListBullet"/>
      </w:pPr>
      <w:r>
        <w:t>The 96 GB versus 128 GB memory requirement or vCPU versus OCPU interpretation is unresolved and leadership has not approved the conservative planning value.</w:t>
      </w:r>
    </w:p>
    <w:p>
      <w:pPr>
        <w:pStyle w:val="ListBullet"/>
      </w:pPr>
      <w:r>
        <w:t>Network CIDRs overlap on-premises, OCI landing-zone, service or pod/service ranges.</w:t>
      </w:r>
    </w:p>
    <w:p>
      <w:pPr>
        <w:pStyle w:val="ListBullet"/>
      </w:pPr>
      <w:r>
        <w:t>FastConnect/DRG return routing, firewall inspection, DNS, NTP, repository access or certificate trust is incomplete.</w:t>
      </w:r>
    </w:p>
    <w:p>
      <w:pPr>
        <w:pStyle w:val="ListBullet"/>
      </w:pPr>
      <w:r>
        <w:t>OCI service limits, E6 capacity, RHEL entitlement, cost ceiling or security authorization is missing.</w:t>
      </w:r>
    </w:p>
    <w:p>
      <w:pPr>
        <w:pStyle w:val="ListBullet"/>
      </w:pPr>
      <w:r>
        <w:t>Decoupled Storage, database placement, encryption, backup and restore responsibilities are not approved.</w:t>
      </w:r>
    </w:p>
    <w:p>
      <w:pPr>
        <w:pStyle w:val="Heading2"/>
        <w:keepNext/>
      </w:pPr>
      <w:r>
        <w:t>2 2 Provisional POC sizing approval required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1"/>
        <w:gridCol w:w="2801"/>
        <w:gridCol w:w="4972"/>
      </w:tblGrid>
      <w:tr>
        <w:trPr>
          <w:tblHeader/>
          <w:cantSplit/>
        </w:trPr>
        <w:tc>
          <w:tcPr>
            <w:tcW w:type="dxa" w:w="2451"/>
            <w:vAlign w:val="center"/>
            <w:shd w:fill="1F4E78"/>
          </w:tcPr>
          <w:p>
            <w:pPr>
              <w:spacing w:after="0"/>
            </w:pPr>
            <w:r/>
            <w:r>
              <w:rPr>
                <w:rFonts w:ascii="Aptos" w:hAnsi="Aptos"/>
                <w:b/>
                <w:color w:val="FFFFFF"/>
                <w:sz w:val="18"/>
              </w:rPr>
              <w:t>Component</w:t>
            </w:r>
          </w:p>
        </w:tc>
        <w:tc>
          <w:tcPr>
            <w:tcW w:type="dxa" w:w="2801"/>
            <w:vAlign w:val="center"/>
            <w:shd w:fill="1F4E78"/>
          </w:tcPr>
          <w:p>
            <w:pPr>
              <w:spacing w:after="0"/>
            </w:pPr>
            <w:r/>
            <w:r>
              <w:rPr>
                <w:rFonts w:ascii="Aptos" w:hAnsi="Aptos"/>
                <w:b/>
                <w:color w:val="FFFFFF"/>
                <w:sz w:val="18"/>
              </w:rPr>
              <w:t>Planning value</w:t>
            </w:r>
          </w:p>
        </w:tc>
        <w:tc>
          <w:tcPr>
            <w:tcW w:type="dxa" w:w="4972"/>
            <w:vAlign w:val="center"/>
            <w:shd w:fill="1F4E78"/>
          </w:tcPr>
          <w:p>
            <w:pPr>
              <w:spacing w:after="0"/>
            </w:pPr>
            <w:r/>
            <w:r>
              <w:rPr>
                <w:rFonts w:ascii="Aptos" w:hAnsi="Aptos"/>
                <w:b/>
                <w:color w:val="FFFFFF"/>
                <w:sz w:val="18"/>
              </w:rPr>
              <w:t>Approval note</w:t>
            </w:r>
          </w:p>
        </w:tc>
      </w:tr>
      <w:tr>
        <w:trPr>
          <w:cantSplit/>
        </w:trPr>
        <w:tc>
          <w:tcPr>
            <w:tcW w:type="dxa" w:w="2451"/>
            <w:vAlign w:val="center"/>
          </w:tcPr>
          <w:p>
            <w:pPr>
              <w:spacing w:after="0"/>
            </w:pPr>
            <w:r/>
            <w:r>
              <w:rPr>
                <w:rFonts w:ascii="Aptos" w:hAnsi="Aptos"/>
                <w:b w:val="0"/>
                <w:sz w:val="17"/>
              </w:rPr>
              <w:t>DataWalk application nodes</w:t>
            </w:r>
          </w:p>
        </w:tc>
        <w:tc>
          <w:tcPr>
            <w:tcW w:type="dxa" w:w="2801"/>
            <w:vAlign w:val="center"/>
          </w:tcPr>
          <w:p>
            <w:pPr>
              <w:spacing w:after="0"/>
            </w:pPr>
            <w:r/>
            <w:r>
              <w:rPr>
                <w:rFonts w:ascii="Aptos" w:hAnsi="Aptos"/>
                <w:b w:val="0"/>
                <w:sz w:val="17"/>
              </w:rPr>
              <w:t>3 × VM.Standard.E6.Flex</w:t>
            </w:r>
          </w:p>
        </w:tc>
        <w:tc>
          <w:tcPr>
            <w:tcW w:type="dxa" w:w="4972"/>
            <w:vAlign w:val="center"/>
          </w:tcPr>
          <w:p>
            <w:pPr>
              <w:spacing w:after="0"/>
            </w:pPr>
            <w:r/>
            <w:r>
              <w:rPr>
                <w:rFonts w:ascii="Aptos" w:hAnsi="Aptos"/>
                <w:b w:val="0"/>
                <w:sz w:val="17"/>
              </w:rPr>
              <w:t>Vendor minimum indicates three workers; do not infer from legacy VM count</w:t>
            </w:r>
          </w:p>
        </w:tc>
      </w:tr>
      <w:tr>
        <w:trPr>
          <w:cantSplit/>
        </w:trPr>
        <w:tc>
          <w:tcPr>
            <w:tcW w:type="dxa" w:w="2451"/>
            <w:vAlign w:val="center"/>
            <w:shd w:fill="F2F2F2"/>
          </w:tcPr>
          <w:p>
            <w:pPr>
              <w:spacing w:after="0"/>
            </w:pPr>
            <w:r/>
            <w:r>
              <w:rPr>
                <w:rFonts w:ascii="Aptos" w:hAnsi="Aptos"/>
                <w:b w:val="0"/>
                <w:sz w:val="17"/>
              </w:rPr>
              <w:t>Per-node compute</w:t>
            </w:r>
          </w:p>
        </w:tc>
        <w:tc>
          <w:tcPr>
            <w:tcW w:type="dxa" w:w="2801"/>
            <w:vAlign w:val="center"/>
            <w:shd w:fill="F2F2F2"/>
          </w:tcPr>
          <w:p>
            <w:pPr>
              <w:spacing w:after="0"/>
            </w:pPr>
            <w:r/>
            <w:r>
              <w:rPr>
                <w:rFonts w:ascii="Aptos" w:hAnsi="Aptos"/>
                <w:b w:val="0"/>
                <w:sz w:val="17"/>
              </w:rPr>
              <w:t>8 OCPUs = 16 vCPUs</w:t>
            </w:r>
          </w:p>
        </w:tc>
        <w:tc>
          <w:tcPr>
            <w:tcW w:type="dxa" w:w="4972"/>
            <w:vAlign w:val="center"/>
            <w:shd w:fill="F2F2F2"/>
          </w:tcPr>
          <w:p>
            <w:pPr>
              <w:spacing w:after="0"/>
            </w:pPr>
            <w:r/>
            <w:r>
              <w:rPr>
                <w:rFonts w:ascii="Aptos" w:hAnsi="Aptos"/>
                <w:b w:val="0"/>
                <w:sz w:val="17"/>
              </w:rPr>
              <w:t>Confirm whether DataWalk meant vCPU or physical/core equivalent</w:t>
            </w:r>
          </w:p>
        </w:tc>
      </w:tr>
      <w:tr>
        <w:trPr>
          <w:cantSplit/>
        </w:trPr>
        <w:tc>
          <w:tcPr>
            <w:tcW w:type="dxa" w:w="2451"/>
            <w:vAlign w:val="center"/>
          </w:tcPr>
          <w:p>
            <w:pPr>
              <w:spacing w:after="0"/>
            </w:pPr>
            <w:r/>
            <w:r>
              <w:rPr>
                <w:rFonts w:ascii="Aptos" w:hAnsi="Aptos"/>
                <w:b w:val="0"/>
                <w:sz w:val="17"/>
              </w:rPr>
              <w:t>Per-node memory</w:t>
            </w:r>
          </w:p>
        </w:tc>
        <w:tc>
          <w:tcPr>
            <w:tcW w:type="dxa" w:w="2801"/>
            <w:vAlign w:val="center"/>
          </w:tcPr>
          <w:p>
            <w:pPr>
              <w:spacing w:after="0"/>
            </w:pPr>
            <w:r/>
            <w:r>
              <w:rPr>
                <w:rFonts w:ascii="Aptos" w:hAnsi="Aptos"/>
                <w:b w:val="0"/>
                <w:sz w:val="17"/>
              </w:rPr>
              <w:t>128 GB</w:t>
            </w:r>
          </w:p>
        </w:tc>
        <w:tc>
          <w:tcPr>
            <w:tcW w:type="dxa" w:w="4972"/>
            <w:vAlign w:val="center"/>
          </w:tcPr>
          <w:p>
            <w:pPr>
              <w:spacing w:after="0"/>
            </w:pPr>
            <w:r/>
            <w:r>
              <w:rPr>
                <w:rFonts w:ascii="Aptos" w:hAnsi="Aptos"/>
                <w:b w:val="0"/>
                <w:sz w:val="17"/>
              </w:rPr>
              <w:t>Conservative value pending resolution of 96 GB vs 128 GB</w:t>
            </w:r>
          </w:p>
        </w:tc>
      </w:tr>
      <w:tr>
        <w:trPr>
          <w:cantSplit/>
        </w:trPr>
        <w:tc>
          <w:tcPr>
            <w:tcW w:type="dxa" w:w="2451"/>
            <w:vAlign w:val="center"/>
            <w:shd w:fill="F2F2F2"/>
          </w:tcPr>
          <w:p>
            <w:pPr>
              <w:spacing w:after="0"/>
            </w:pPr>
            <w:r/>
            <w:r>
              <w:rPr>
                <w:rFonts w:ascii="Aptos" w:hAnsi="Aptos"/>
                <w:b w:val="0"/>
                <w:sz w:val="17"/>
              </w:rPr>
              <w:t>Boot volume</w:t>
            </w:r>
          </w:p>
        </w:tc>
        <w:tc>
          <w:tcPr>
            <w:tcW w:type="dxa" w:w="2801"/>
            <w:vAlign w:val="center"/>
            <w:shd w:fill="F2F2F2"/>
          </w:tcPr>
          <w:p>
            <w:pPr>
              <w:spacing w:after="0"/>
            </w:pPr>
            <w:r/>
            <w:r>
              <w:rPr>
                <w:rFonts w:ascii="Aptos" w:hAnsi="Aptos"/>
                <w:b w:val="0"/>
                <w:sz w:val="17"/>
              </w:rPr>
              <w:t>100 GB</w:t>
            </w:r>
          </w:p>
        </w:tc>
        <w:tc>
          <w:tcPr>
            <w:tcW w:type="dxa" w:w="4972"/>
            <w:vAlign w:val="center"/>
            <w:shd w:fill="F2F2F2"/>
          </w:tcPr>
          <w:p>
            <w:pPr>
              <w:spacing w:after="0"/>
            </w:pPr>
            <w:r/>
            <w:r>
              <w:rPr>
                <w:rFonts w:ascii="Aptos" w:hAnsi="Aptos"/>
                <w:b w:val="0"/>
                <w:sz w:val="17"/>
              </w:rPr>
              <w:t>RHEL, agents, logs and Kubernetes/runtime; validate with SME</w:t>
            </w:r>
          </w:p>
        </w:tc>
      </w:tr>
      <w:tr>
        <w:trPr>
          <w:cantSplit/>
        </w:trPr>
        <w:tc>
          <w:tcPr>
            <w:tcW w:type="dxa" w:w="2451"/>
            <w:vAlign w:val="center"/>
          </w:tcPr>
          <w:p>
            <w:pPr>
              <w:spacing w:after="0"/>
            </w:pPr>
            <w:r/>
            <w:r>
              <w:rPr>
                <w:rFonts w:ascii="Aptos" w:hAnsi="Aptos"/>
                <w:b w:val="0"/>
                <w:sz w:val="17"/>
              </w:rPr>
              <w:t>Data volume</w:t>
            </w:r>
          </w:p>
        </w:tc>
        <w:tc>
          <w:tcPr>
            <w:tcW w:type="dxa" w:w="2801"/>
            <w:vAlign w:val="center"/>
          </w:tcPr>
          <w:p>
            <w:pPr>
              <w:spacing w:after="0"/>
            </w:pPr>
            <w:r/>
            <w:r>
              <w:rPr>
                <w:rFonts w:ascii="Aptos" w:hAnsi="Aptos"/>
                <w:b w:val="0"/>
                <w:sz w:val="17"/>
              </w:rPr>
              <w:t>About 1 TB total block storage per worker</w:t>
            </w:r>
          </w:p>
        </w:tc>
        <w:tc>
          <w:tcPr>
            <w:tcW w:type="dxa" w:w="4972"/>
            <w:vAlign w:val="center"/>
          </w:tcPr>
          <w:p>
            <w:pPr>
              <w:spacing w:after="0"/>
            </w:pPr>
            <w:r/>
            <w:r>
              <w:rPr>
                <w:rFonts w:ascii="Aptos" w:hAnsi="Aptos"/>
                <w:b w:val="0"/>
                <w:sz w:val="17"/>
              </w:rPr>
              <w:t>Prior 500 GB/node assumption replaced by planning estimate from prior discovery; confirm allocation, CSI provisioning and performance before Apply</w:t>
            </w:r>
          </w:p>
        </w:tc>
      </w:tr>
      <w:tr>
        <w:trPr>
          <w:cantSplit/>
        </w:trPr>
        <w:tc>
          <w:tcPr>
            <w:tcW w:type="dxa" w:w="2451"/>
            <w:vAlign w:val="center"/>
            <w:shd w:fill="F2F2F2"/>
          </w:tcPr>
          <w:p>
            <w:pPr>
              <w:spacing w:after="0"/>
            </w:pPr>
            <w:r/>
            <w:r>
              <w:rPr>
                <w:rFonts w:ascii="Aptos" w:hAnsi="Aptos"/>
                <w:b w:val="0"/>
                <w:sz w:val="17"/>
              </w:rPr>
              <w:t>Object storage</w:t>
            </w:r>
          </w:p>
        </w:tc>
        <w:tc>
          <w:tcPr>
            <w:tcW w:type="dxa" w:w="2801"/>
            <w:vAlign w:val="center"/>
            <w:shd w:fill="F2F2F2"/>
          </w:tcPr>
          <w:p>
            <w:pPr>
              <w:spacing w:after="0"/>
            </w:pPr>
            <w:r/>
            <w:r>
              <w:rPr>
                <w:rFonts w:ascii="Aptos" w:hAnsi="Aptos"/>
                <w:b w:val="0"/>
                <w:sz w:val="17"/>
              </w:rPr>
              <w:t>About 1 TB planning allowance</w:t>
            </w:r>
          </w:p>
        </w:tc>
        <w:tc>
          <w:tcPr>
            <w:tcW w:type="dxa" w:w="4972"/>
            <w:vAlign w:val="center"/>
            <w:shd w:fill="F2F2F2"/>
          </w:tcPr>
          <w:p>
            <w:pPr>
              <w:spacing w:after="0"/>
            </w:pPr>
            <w:r/>
            <w:r>
              <w:rPr>
                <w:rFonts w:ascii="Aptos" w:hAnsi="Aptos"/>
                <w:b w:val="0"/>
                <w:sz w:val="17"/>
              </w:rPr>
              <w:t>Confirm application storage plus separate demo-database staging and retention; avoid double counting</w:t>
            </w:r>
          </w:p>
        </w:tc>
      </w:tr>
      <w:tr>
        <w:trPr>
          <w:cantSplit/>
        </w:trPr>
        <w:tc>
          <w:tcPr>
            <w:tcW w:type="dxa" w:w="2451"/>
            <w:vAlign w:val="center"/>
          </w:tcPr>
          <w:p>
            <w:pPr>
              <w:spacing w:after="0"/>
            </w:pPr>
            <w:r/>
            <w:r>
              <w:rPr>
                <w:rFonts w:ascii="Aptos" w:hAnsi="Aptos"/>
                <w:b w:val="0"/>
                <w:sz w:val="17"/>
              </w:rPr>
              <w:t>Control plane</w:t>
            </w:r>
          </w:p>
        </w:tc>
        <w:tc>
          <w:tcPr>
            <w:tcW w:type="dxa" w:w="2801"/>
            <w:vAlign w:val="center"/>
          </w:tcPr>
          <w:p>
            <w:pPr>
              <w:spacing w:after="0"/>
            </w:pPr>
            <w:r/>
            <w:r>
              <w:rPr>
                <w:rFonts w:ascii="Aptos" w:hAnsi="Aptos"/>
                <w:b w:val="0"/>
                <w:sz w:val="17"/>
              </w:rPr>
              <w:t>TBD by Kubernetes path</w:t>
            </w:r>
          </w:p>
        </w:tc>
        <w:tc>
          <w:tcPr>
            <w:tcW w:type="dxa" w:w="4972"/>
            <w:vAlign w:val="center"/>
          </w:tcPr>
          <w:p>
            <w:pPr>
              <w:spacing w:after="0"/>
            </w:pPr>
            <w:r/>
            <w:r>
              <w:rPr>
                <w:rFonts w:ascii="Aptos" w:hAnsi="Aptos"/>
                <w:b w:val="0"/>
                <w:sz w:val="17"/>
              </w:rPr>
              <w:t>OKE: Oracle-managed; self-managed: size and place separately</w:t>
            </w:r>
          </w:p>
        </w:tc>
      </w:tr>
      <w:tr>
        <w:trPr>
          <w:cantSplit/>
        </w:trPr>
        <w:tc>
          <w:tcPr>
            <w:tcW w:type="dxa" w:w="2451"/>
            <w:vAlign w:val="center"/>
            <w:shd w:fill="F2F2F2"/>
          </w:tcPr>
          <w:p>
            <w:pPr>
              <w:spacing w:after="0"/>
            </w:pPr>
            <w:r/>
            <w:r>
              <w:rPr>
                <w:rFonts w:ascii="Aptos" w:hAnsi="Aptos"/>
                <w:b w:val="0"/>
                <w:sz w:val="17"/>
              </w:rPr>
              <w:t>GPU</w:t>
            </w:r>
          </w:p>
        </w:tc>
        <w:tc>
          <w:tcPr>
            <w:tcW w:type="dxa" w:w="2801"/>
            <w:vAlign w:val="center"/>
            <w:shd w:fill="F2F2F2"/>
          </w:tcPr>
          <w:p>
            <w:pPr>
              <w:spacing w:after="0"/>
            </w:pPr>
            <w:r/>
            <w:r>
              <w:rPr>
                <w:rFonts w:ascii="Aptos" w:hAnsi="Aptos"/>
                <w:b w:val="0"/>
                <w:sz w:val="17"/>
              </w:rPr>
              <w:t>None</w:t>
            </w:r>
          </w:p>
        </w:tc>
        <w:tc>
          <w:tcPr>
            <w:tcW w:type="dxa" w:w="4972"/>
            <w:vAlign w:val="center"/>
            <w:shd w:fill="F2F2F2"/>
          </w:tcPr>
          <w:p>
            <w:pPr>
              <w:spacing w:after="0"/>
            </w:pPr>
            <w:r/>
            <w:r>
              <w:rPr>
                <w:rFonts w:ascii="Aptos" w:hAnsi="Aptos"/>
                <w:b w:val="0"/>
                <w:sz w:val="17"/>
              </w:rPr>
              <w:t>DataWalk POC is CPU-only unless vendor supplies a supported GPU use case</w:t>
            </w:r>
          </w:p>
        </w:tc>
      </w:tr>
    </w:tbl>
    <w:p>
      <w:pPr>
        <w:spacing w:after="0"/>
      </w:pPr>
    </w:p>
    <w:p>
      <w:r>
        <w:rPr>
          <w:b/>
        </w:rPr>
        <w:t xml:space="preserve">OCI CPU TERMINOLOGY  </w:t>
      </w:r>
      <w:r>
        <w:t>For x86 flexible VM shapes, the ORM input is OCPUs, not vCPUs. The existing stack default of 8 OCPUs represents 16 vCPUs. Do not enter 16 OCPUs unless DataWalk explicitly requires 32 vCPUs.</w:t>
      </w:r>
    </w:p>
    <w:p>
      <w:r>
        <w:br w:type="page"/>
      </w:r>
    </w:p>
    <w:p>
      <w:pPr>
        <w:pStyle w:val="Heading1"/>
        <w:keepNext/>
      </w:pPr>
      <w:r>
        <w:t>3 Procedure A Approve landing zone and network prerequisites</w:t>
      </w:r>
    </w:p>
    <w:p>
      <w:r>
        <w:t>Owner: OCI platform, network, security and IAM teams. Exit: approved resource sheet and end-to-end private path. Record PASS/FAIL/BLOCKED and evidence for every row.</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Confirm the DataWalk POC compartment is under the approved nonproduction workload hierarchy and inherits required guardrails.</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Confirm the approved VCN strategy: reuse landing-zone workload networking or authorize the ORM stack to create a dedicated POC VCN.</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Reserve non-overlapping VCN, subnet and future Kubernetes pod/service CIDRs; compare them with all on-premises and DRG route domains.</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Confirm FastConnect virtual circuit and DRG route import/export; verify the return path from the DataWalk subnet to the enterprise jump host and test-user networks.</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Confirm SCCA network-firewall inspection and the correct route-table association. Attaching a DRG alone is not end-to-end connectivity.</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Create or approve the Service Gateway route to All Services in Oracle Services Network for private OCI service access.</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Approve private DNS records, enterprise DNS forwarding, NTP source, PKI/certificate chain and required proxy/package-repository path.</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Approve NSGs separately for administrative access, cluster/node traffic, private load balancer, storage/database and observability flows.</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Confirm no public IPs, Internet Gateway, unrestricted 0.0.0.0/0 SSH or uncontrolled outbound Internet path.</w:t>
            </w:r>
          </w:p>
        </w:tc>
        <w:tc>
          <w:tcPr>
            <w:tcW w:type="dxa" w:w="1715"/>
            <w:vAlign w:val="center"/>
          </w:tcPr>
          <w:p>
            <w:pPr>
              <w:spacing w:after="0"/>
            </w:pPr>
            <w:r/>
            <w:r>
              <w:rPr>
                <w:rFonts w:ascii="Aptos" w:hAnsi="Aptos"/>
                <w:b w:val="0"/>
                <w:sz w:val="17"/>
              </w:rPr>
            </w:r>
          </w:p>
        </w:tc>
      </w:tr>
    </w:tbl>
    <w:p>
      <w:pPr>
        <w:spacing w:after="0"/>
      </w:pPr>
    </w:p>
    <w:p>
      <w:pPr>
        <w:pStyle w:val="Heading2"/>
        <w:keepNext/>
      </w:pPr>
      <w:r>
        <w:t>3 1 Minimum access matrix to finalize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71"/>
        <w:gridCol w:w="2311"/>
        <w:gridCol w:w="3011"/>
        <w:gridCol w:w="2731"/>
      </w:tblGrid>
      <w:tr>
        <w:trPr>
          <w:tblHeader/>
          <w:cantSplit/>
        </w:trPr>
        <w:tc>
          <w:tcPr>
            <w:tcW w:type="dxa" w:w="2171"/>
            <w:vAlign w:val="center"/>
            <w:shd w:fill="1F4E78"/>
          </w:tcPr>
          <w:p>
            <w:pPr>
              <w:spacing w:after="0"/>
            </w:pPr>
            <w:r/>
            <w:r>
              <w:rPr>
                <w:rFonts w:ascii="Aptos" w:hAnsi="Aptos"/>
                <w:b/>
                <w:color w:val="FFFFFF"/>
                <w:sz w:val="18"/>
              </w:rPr>
              <w:t>Source</w:t>
            </w:r>
          </w:p>
        </w:tc>
        <w:tc>
          <w:tcPr>
            <w:tcW w:type="dxa" w:w="2311"/>
            <w:vAlign w:val="center"/>
            <w:shd w:fill="1F4E78"/>
          </w:tcPr>
          <w:p>
            <w:pPr>
              <w:spacing w:after="0"/>
            </w:pPr>
            <w:r/>
            <w:r>
              <w:rPr>
                <w:rFonts w:ascii="Aptos" w:hAnsi="Aptos"/>
                <w:b/>
                <w:color w:val="FFFFFF"/>
                <w:sz w:val="18"/>
              </w:rPr>
              <w:t>Destination</w:t>
            </w:r>
          </w:p>
        </w:tc>
        <w:tc>
          <w:tcPr>
            <w:tcW w:type="dxa" w:w="3011"/>
            <w:vAlign w:val="center"/>
            <w:shd w:fill="1F4E78"/>
          </w:tcPr>
          <w:p>
            <w:pPr>
              <w:spacing w:after="0"/>
            </w:pPr>
            <w:r/>
            <w:r>
              <w:rPr>
                <w:rFonts w:ascii="Aptos" w:hAnsi="Aptos"/>
                <w:b/>
                <w:color w:val="FFFFFF"/>
                <w:sz w:val="18"/>
              </w:rPr>
              <w:t>Purpose</w:t>
            </w:r>
          </w:p>
        </w:tc>
        <w:tc>
          <w:tcPr>
            <w:tcW w:type="dxa" w:w="2731"/>
            <w:vAlign w:val="center"/>
            <w:shd w:fill="1F4E78"/>
          </w:tcPr>
          <w:p>
            <w:pPr>
              <w:spacing w:after="0"/>
            </w:pPr>
            <w:r/>
            <w:r>
              <w:rPr>
                <w:rFonts w:ascii="Aptos" w:hAnsi="Aptos"/>
                <w:b/>
                <w:color w:val="FFFFFF"/>
                <w:sz w:val="18"/>
              </w:rPr>
              <w:t>Decision</w:t>
            </w:r>
          </w:p>
        </w:tc>
      </w:tr>
      <w:tr>
        <w:trPr>
          <w:cantSplit/>
        </w:trPr>
        <w:tc>
          <w:tcPr>
            <w:tcW w:type="dxa" w:w="2171"/>
            <w:vAlign w:val="center"/>
          </w:tcPr>
          <w:p>
            <w:pPr>
              <w:spacing w:after="0"/>
            </w:pPr>
            <w:r/>
            <w:r>
              <w:rPr>
                <w:rFonts w:ascii="Aptos" w:hAnsi="Aptos"/>
                <w:b w:val="0"/>
                <w:sz w:val="17"/>
              </w:rPr>
              <w:t>Approved jump-host CIDR</w:t>
            </w:r>
          </w:p>
        </w:tc>
        <w:tc>
          <w:tcPr>
            <w:tcW w:type="dxa" w:w="2311"/>
            <w:vAlign w:val="center"/>
          </w:tcPr>
          <w:p>
            <w:pPr>
              <w:spacing w:after="0"/>
            </w:pPr>
            <w:r/>
            <w:r>
              <w:rPr>
                <w:rFonts w:ascii="Aptos" w:hAnsi="Aptos"/>
                <w:b w:val="0"/>
                <w:sz w:val="17"/>
              </w:rPr>
              <w:t>E6 nodes TCP/22</w:t>
            </w:r>
          </w:p>
        </w:tc>
        <w:tc>
          <w:tcPr>
            <w:tcW w:type="dxa" w:w="3011"/>
            <w:vAlign w:val="center"/>
          </w:tcPr>
          <w:p>
            <w:pPr>
              <w:spacing w:after="0"/>
            </w:pPr>
            <w:r/>
            <w:r>
              <w:rPr>
                <w:rFonts w:ascii="Aptos" w:hAnsi="Aptos"/>
                <w:b w:val="0"/>
                <w:sz w:val="17"/>
              </w:rPr>
              <w:t>Administration</w:t>
            </w:r>
          </w:p>
        </w:tc>
        <w:tc>
          <w:tcPr>
            <w:tcW w:type="dxa" w:w="2731"/>
            <w:vAlign w:val="center"/>
          </w:tcPr>
          <w:p>
            <w:pPr>
              <w:spacing w:after="0"/>
            </w:pPr>
            <w:r/>
            <w:r>
              <w:rPr>
                <w:rFonts w:ascii="Aptos" w:hAnsi="Aptos"/>
                <w:b w:val="0"/>
                <w:sz w:val="17"/>
              </w:rPr>
              <w:t>Required; narrow source</w:t>
            </w:r>
          </w:p>
        </w:tc>
      </w:tr>
      <w:tr>
        <w:trPr>
          <w:cantSplit/>
        </w:trPr>
        <w:tc>
          <w:tcPr>
            <w:tcW w:type="dxa" w:w="2171"/>
            <w:vAlign w:val="center"/>
            <w:shd w:fill="F2F2F2"/>
          </w:tcPr>
          <w:p>
            <w:pPr>
              <w:spacing w:after="0"/>
            </w:pPr>
            <w:r/>
            <w:r>
              <w:rPr>
                <w:rFonts w:ascii="Aptos" w:hAnsi="Aptos"/>
                <w:b w:val="0"/>
                <w:sz w:val="17"/>
              </w:rPr>
              <w:t>Approved user CIDRs</w:t>
            </w:r>
          </w:p>
        </w:tc>
        <w:tc>
          <w:tcPr>
            <w:tcW w:type="dxa" w:w="2311"/>
            <w:vAlign w:val="center"/>
            <w:shd w:fill="F2F2F2"/>
          </w:tcPr>
          <w:p>
            <w:pPr>
              <w:spacing w:after="0"/>
            </w:pPr>
            <w:r/>
            <w:r>
              <w:rPr>
                <w:rFonts w:ascii="Aptos" w:hAnsi="Aptos"/>
                <w:b w:val="0"/>
                <w:sz w:val="17"/>
              </w:rPr>
              <w:t>Private load balancer TCP/443</w:t>
            </w:r>
          </w:p>
        </w:tc>
        <w:tc>
          <w:tcPr>
            <w:tcW w:type="dxa" w:w="3011"/>
            <w:vAlign w:val="center"/>
            <w:shd w:fill="F2F2F2"/>
          </w:tcPr>
          <w:p>
            <w:pPr>
              <w:spacing w:after="0"/>
            </w:pPr>
            <w:r/>
            <w:r>
              <w:rPr>
                <w:rFonts w:ascii="Aptos" w:hAnsi="Aptos"/>
                <w:b w:val="0"/>
                <w:sz w:val="17"/>
              </w:rPr>
              <w:t>DataWalk UI/API</w:t>
            </w:r>
          </w:p>
        </w:tc>
        <w:tc>
          <w:tcPr>
            <w:tcW w:type="dxa" w:w="2731"/>
            <w:vAlign w:val="center"/>
            <w:shd w:fill="F2F2F2"/>
          </w:tcPr>
          <w:p>
            <w:pPr>
              <w:spacing w:after="0"/>
            </w:pPr>
            <w:r/>
            <w:r>
              <w:rPr>
                <w:rFonts w:ascii="Aptos" w:hAnsi="Aptos"/>
                <w:b w:val="0"/>
                <w:sz w:val="17"/>
              </w:rPr>
              <w:t>Required after endpoint build</w:t>
            </w:r>
          </w:p>
        </w:tc>
      </w:tr>
      <w:tr>
        <w:trPr>
          <w:cantSplit/>
        </w:trPr>
        <w:tc>
          <w:tcPr>
            <w:tcW w:type="dxa" w:w="2171"/>
            <w:vAlign w:val="center"/>
          </w:tcPr>
          <w:p>
            <w:pPr>
              <w:spacing w:after="0"/>
            </w:pPr>
            <w:r/>
            <w:r>
              <w:rPr>
                <w:rFonts w:ascii="Aptos" w:hAnsi="Aptos"/>
                <w:b w:val="0"/>
                <w:sz w:val="17"/>
              </w:rPr>
              <w:t>E6 nodes</w:t>
            </w:r>
          </w:p>
        </w:tc>
        <w:tc>
          <w:tcPr>
            <w:tcW w:type="dxa" w:w="2311"/>
            <w:vAlign w:val="center"/>
          </w:tcPr>
          <w:p>
            <w:pPr>
              <w:spacing w:after="0"/>
            </w:pPr>
            <w:r/>
            <w:r>
              <w:rPr>
                <w:rFonts w:ascii="Aptos" w:hAnsi="Aptos"/>
                <w:b w:val="0"/>
                <w:sz w:val="17"/>
              </w:rPr>
              <w:t>OCI Services Network TCP/443</w:t>
            </w:r>
          </w:p>
        </w:tc>
        <w:tc>
          <w:tcPr>
            <w:tcW w:type="dxa" w:w="3011"/>
            <w:vAlign w:val="center"/>
          </w:tcPr>
          <w:p>
            <w:pPr>
              <w:spacing w:after="0"/>
            </w:pPr>
            <w:r/>
            <w:r>
              <w:rPr>
                <w:rFonts w:ascii="Aptos" w:hAnsi="Aptos"/>
                <w:b w:val="0"/>
                <w:sz w:val="17"/>
              </w:rPr>
              <w:t>OCI APIs, registry, logging and storage</w:t>
            </w:r>
          </w:p>
        </w:tc>
        <w:tc>
          <w:tcPr>
            <w:tcW w:type="dxa" w:w="2731"/>
            <w:vAlign w:val="center"/>
          </w:tcPr>
          <w:p>
            <w:pPr>
              <w:spacing w:after="0"/>
            </w:pPr>
            <w:r/>
            <w:r>
              <w:rPr>
                <w:rFonts w:ascii="Aptos" w:hAnsi="Aptos"/>
                <w:b w:val="0"/>
                <w:sz w:val="17"/>
              </w:rPr>
              <w:t>Required through Service Gateway</w:t>
            </w:r>
          </w:p>
        </w:tc>
      </w:tr>
      <w:tr>
        <w:trPr>
          <w:cantSplit/>
        </w:trPr>
        <w:tc>
          <w:tcPr>
            <w:tcW w:type="dxa" w:w="2171"/>
            <w:vAlign w:val="center"/>
            <w:shd w:fill="F2F2F2"/>
          </w:tcPr>
          <w:p>
            <w:pPr>
              <w:spacing w:after="0"/>
            </w:pPr>
            <w:r/>
            <w:r>
              <w:rPr>
                <w:rFonts w:ascii="Aptos" w:hAnsi="Aptos"/>
                <w:b w:val="0"/>
                <w:sz w:val="17"/>
              </w:rPr>
              <w:t>E6 nodes</w:t>
            </w:r>
          </w:p>
        </w:tc>
        <w:tc>
          <w:tcPr>
            <w:tcW w:type="dxa" w:w="2311"/>
            <w:vAlign w:val="center"/>
            <w:shd w:fill="F2F2F2"/>
          </w:tcPr>
          <w:p>
            <w:pPr>
              <w:spacing w:after="0"/>
            </w:pPr>
            <w:r/>
            <w:r>
              <w:rPr>
                <w:rFonts w:ascii="Aptos" w:hAnsi="Aptos"/>
                <w:b w:val="0"/>
                <w:sz w:val="17"/>
              </w:rPr>
              <w:t>Enterprise DNS/NTP/PKI/repos</w:t>
            </w:r>
          </w:p>
        </w:tc>
        <w:tc>
          <w:tcPr>
            <w:tcW w:type="dxa" w:w="3011"/>
            <w:vAlign w:val="center"/>
            <w:shd w:fill="F2F2F2"/>
          </w:tcPr>
          <w:p>
            <w:pPr>
              <w:spacing w:after="0"/>
            </w:pPr>
            <w:r/>
            <w:r>
              <w:rPr>
                <w:rFonts w:ascii="Aptos" w:hAnsi="Aptos"/>
                <w:b w:val="0"/>
                <w:sz w:val="17"/>
              </w:rPr>
              <w:t>Name, time, trust and patching</w:t>
            </w:r>
          </w:p>
        </w:tc>
        <w:tc>
          <w:tcPr>
            <w:tcW w:type="dxa" w:w="2731"/>
            <w:vAlign w:val="center"/>
            <w:shd w:fill="F2F2F2"/>
          </w:tcPr>
          <w:p>
            <w:pPr>
              <w:spacing w:after="0"/>
            </w:pPr>
            <w:r/>
            <w:r>
              <w:rPr>
                <w:rFonts w:ascii="Aptos" w:hAnsi="Aptos"/>
                <w:b w:val="0"/>
                <w:sz w:val="17"/>
              </w:rPr>
              <w:t>Only approved destinations</w:t>
            </w:r>
          </w:p>
        </w:tc>
      </w:tr>
      <w:tr>
        <w:trPr>
          <w:cantSplit/>
        </w:trPr>
        <w:tc>
          <w:tcPr>
            <w:tcW w:type="dxa" w:w="2171"/>
            <w:vAlign w:val="center"/>
          </w:tcPr>
          <w:p>
            <w:pPr>
              <w:spacing w:after="0"/>
            </w:pPr>
            <w:r/>
            <w:r>
              <w:rPr>
                <w:rFonts w:ascii="Aptos" w:hAnsi="Aptos"/>
                <w:b w:val="0"/>
                <w:sz w:val="17"/>
              </w:rPr>
              <w:t>Cluster nodes</w:t>
            </w:r>
          </w:p>
        </w:tc>
        <w:tc>
          <w:tcPr>
            <w:tcW w:type="dxa" w:w="2311"/>
            <w:vAlign w:val="center"/>
          </w:tcPr>
          <w:p>
            <w:pPr>
              <w:spacing w:after="0"/>
            </w:pPr>
            <w:r/>
            <w:r>
              <w:rPr>
                <w:rFonts w:ascii="Aptos" w:hAnsi="Aptos"/>
                <w:b w:val="0"/>
                <w:sz w:val="17"/>
              </w:rPr>
              <w:t>Cluster nodes / API</w:t>
            </w:r>
          </w:p>
        </w:tc>
        <w:tc>
          <w:tcPr>
            <w:tcW w:type="dxa" w:w="3011"/>
            <w:vAlign w:val="center"/>
          </w:tcPr>
          <w:p>
            <w:pPr>
              <w:spacing w:after="0"/>
            </w:pPr>
            <w:r/>
            <w:r>
              <w:rPr>
                <w:rFonts w:ascii="Aptos" w:hAnsi="Aptos"/>
                <w:b w:val="0"/>
                <w:sz w:val="17"/>
              </w:rPr>
              <w:t>Kubernetes and CNI</w:t>
            </w:r>
          </w:p>
        </w:tc>
        <w:tc>
          <w:tcPr>
            <w:tcW w:type="dxa" w:w="2731"/>
            <w:vAlign w:val="center"/>
          </w:tcPr>
          <w:p>
            <w:pPr>
              <w:spacing w:after="0"/>
            </w:pPr>
            <w:r/>
            <w:r>
              <w:rPr>
                <w:rFonts w:ascii="Aptos" w:hAnsi="Aptos"/>
                <w:b w:val="0"/>
                <w:sz w:val="17"/>
              </w:rPr>
              <w:t>Kubernetes SME supplies exact matrix</w:t>
            </w:r>
          </w:p>
        </w:tc>
      </w:tr>
      <w:tr>
        <w:trPr>
          <w:cantSplit/>
        </w:trPr>
        <w:tc>
          <w:tcPr>
            <w:tcW w:type="dxa" w:w="2171"/>
            <w:vAlign w:val="center"/>
            <w:shd w:fill="F2F2F2"/>
          </w:tcPr>
          <w:p>
            <w:pPr>
              <w:spacing w:after="0"/>
            </w:pPr>
            <w:r/>
            <w:r>
              <w:rPr>
                <w:rFonts w:ascii="Aptos" w:hAnsi="Aptos"/>
                <w:b w:val="0"/>
                <w:sz w:val="17"/>
              </w:rPr>
              <w:t>DataWalk workloads</w:t>
            </w:r>
          </w:p>
        </w:tc>
        <w:tc>
          <w:tcPr>
            <w:tcW w:type="dxa" w:w="2311"/>
            <w:vAlign w:val="center"/>
            <w:shd w:fill="F2F2F2"/>
          </w:tcPr>
          <w:p>
            <w:pPr>
              <w:spacing w:after="0"/>
            </w:pPr>
            <w:r/>
            <w:r>
              <w:rPr>
                <w:rFonts w:ascii="Aptos" w:hAnsi="Aptos"/>
                <w:b w:val="0"/>
                <w:sz w:val="17"/>
              </w:rPr>
              <w:t>Database / Decoupled Storage</w:t>
            </w:r>
          </w:p>
        </w:tc>
        <w:tc>
          <w:tcPr>
            <w:tcW w:type="dxa" w:w="3011"/>
            <w:vAlign w:val="center"/>
            <w:shd w:fill="F2F2F2"/>
          </w:tcPr>
          <w:p>
            <w:pPr>
              <w:spacing w:after="0"/>
            </w:pPr>
            <w:r/>
            <w:r>
              <w:rPr>
                <w:rFonts w:ascii="Aptos" w:hAnsi="Aptos"/>
                <w:b w:val="0"/>
                <w:sz w:val="17"/>
              </w:rPr>
              <w:t>State and data access</w:t>
            </w:r>
          </w:p>
        </w:tc>
        <w:tc>
          <w:tcPr>
            <w:tcW w:type="dxa" w:w="2731"/>
            <w:vAlign w:val="center"/>
            <w:shd w:fill="F2F2F2"/>
          </w:tcPr>
          <w:p>
            <w:pPr>
              <w:spacing w:after="0"/>
            </w:pPr>
            <w:r/>
            <w:r>
              <w:rPr>
                <w:rFonts w:ascii="Aptos" w:hAnsi="Aptos"/>
                <w:b w:val="0"/>
                <w:sz w:val="17"/>
              </w:rPr>
              <w:t>Vendor supplies exact ports/interface</w:t>
            </w:r>
          </w:p>
        </w:tc>
      </w:tr>
    </w:tbl>
    <w:p>
      <w:pPr>
        <w:spacing w:after="0"/>
      </w:pPr>
    </w:p>
    <w:p>
      <w:r>
        <w:rPr>
          <w:b/>
        </w:rPr>
        <w:t xml:space="preserve">DO NOT GUESS PORTS  </w:t>
      </w:r>
      <w:r>
        <w:t>The repository stack's extra_rules input supports one destination port per entry and does not support port ranges. Do not open a broad intra-subnet rule or NodePort range to compensate. Extend the IaC only after the Kubernetes/CNI and vendor port matrix is approved.</w:t>
      </w:r>
    </w:p>
    <w:p>
      <w:pPr>
        <w:pStyle w:val="Heading1"/>
        <w:keepNext/>
      </w:pPr>
      <w:r>
        <w:t>4 Procedure B Prepare IAM quotas tags and evidence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Create or confirm least-privilege groups for POC infrastructure operators, Kubernetes operators, application installers, security reviewers and read-only auditors.</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Grant only the required compartment-scoped permissions for networking, compute, volumes, Resource Manager, load balancers, logging/monitoring, Vault, registry and approved Object Storage resources.</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Confirm dynamic groups and service policies for instance principals or workload identity only after the application access design is approved.</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Verify E6 OCPU, memory, VM count, block-volume and load-balancer limits in the target availability domain; retain screenshots or CLI output.</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Apply required defined/free-form tags: Application=DataWalk, Environment=POC-Dev, Owner, CostCenter, ChangeTicket and ExpirationDate.</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Create budget thresholds and notification recipients before Apply. Record the POC spend ceiling and automatic review date.</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Create the evidence folder and naming convention. Store redacted plans, work-request IDs, OCIDs, screenshots, test results and approvals; never store secrets or private keys.</w:t>
            </w:r>
          </w:p>
        </w:tc>
        <w:tc>
          <w:tcPr>
            <w:tcW w:type="dxa" w:w="1715"/>
            <w:vAlign w:val="center"/>
          </w:tcPr>
          <w:p>
            <w:pPr>
              <w:spacing w:after="0"/>
            </w:pPr>
            <w:r/>
            <w:r>
              <w:rPr>
                <w:rFonts w:ascii="Aptos" w:hAnsi="Aptos"/>
                <w:b w:val="0"/>
                <w:sz w:val="17"/>
              </w:rPr>
            </w:r>
          </w:p>
        </w:tc>
      </w:tr>
    </w:tbl>
    <w:p>
      <w:pPr>
        <w:spacing w:after="0"/>
      </w:pPr>
    </w:p>
    <w:p>
      <w:pPr>
        <w:pStyle w:val="Heading1"/>
        <w:keepNext/>
      </w:pPr>
      <w:r>
        <w:t>5 Procedure C Deploy the E6 foundation with OCI Resource Manager</w:t>
      </w:r>
    </w:p>
    <w:p>
      <w:r>
        <w:t>Repository: https://github.com/oci-appdev/dwhs/tree/main/terraform/oci-vm-foundation</w:t>
      </w:r>
    </w:p>
    <w:p>
      <w:r>
        <w:rPr>
          <w:b/>
        </w:rPr>
        <w:t xml:space="preserve">STACK LIMITATION  </w:t>
      </w:r>
      <w:r>
        <w:t>The current stack creates a new VCN, one private subnet, a Service Gateway, optional DRG attachment/routes, one NSG, E6/A10.2 VMs and optional block volumes. It does not create Kubernetes, load balancers, backups, monitoring or application storage. Use a separate ORM stack per application/environment.</w:t>
      </w:r>
    </w:p>
    <w:p>
      <w:pPr>
        <w:pStyle w:val="Heading2"/>
        <w:keepNext/>
      </w:pPr>
      <w:r>
        <w:t>5 1 Create the stack</w:t>
      </w:r>
    </w:p>
    <w:p>
      <w:pPr>
        <w:ind w:left="346" w:hanging="346"/>
      </w:pPr>
      <w:r>
        <w:rPr>
          <w:b/>
        </w:rPr>
        <w:t xml:space="preserve">1.  </w:t>
      </w:r>
      <w:r>
        <w:t>OCI Console → Developer Services → Resource Manager → Configuration Source Providers. Confirm the approved GitHub provider can read oci-appdev/dwhs.</w:t>
      </w:r>
    </w:p>
    <w:p>
      <w:pPr>
        <w:ind w:left="346" w:hanging="346"/>
      </w:pPr>
      <w:r>
        <w:rPr>
          <w:b/>
        </w:rPr>
        <w:t xml:space="preserve">2.  </w:t>
      </w:r>
      <w:r>
        <w:t>Resource Manager → Stacks → Create stack → Source code control system. Select repository oci-appdev/dwhs and the approved immutable branch/tag or commit.</w:t>
      </w:r>
    </w:p>
    <w:p>
      <w:pPr>
        <w:ind w:left="346" w:hanging="346"/>
      </w:pPr>
      <w:r>
        <w:rPr>
          <w:b/>
        </w:rPr>
        <w:t xml:space="preserve">3.  </w:t>
      </w:r>
      <w:r>
        <w:t>Set working directory to terraform/oci-vm-foundation. Choose an approved Terraform runtime compatible with the configuration (Terraform 1.2 or later).</w:t>
      </w:r>
    </w:p>
    <w:p>
      <w:pPr>
        <w:ind w:left="346" w:hanging="346"/>
      </w:pPr>
      <w:r>
        <w:rPr>
          <w:b/>
        </w:rPr>
        <w:t xml:space="preserve">4.  </w:t>
      </w:r>
      <w:r>
        <w:t>Name the stack dw-poc-dev-foundation and place the stack/state in the approved automation compartment. Set the target compartment variable to the DataWalk POC compartment.</w:t>
      </w:r>
    </w:p>
    <w:p>
      <w:pPr>
        <w:ind w:left="346" w:hanging="346"/>
      </w:pPr>
      <w:r>
        <w:rPr>
          <w:b/>
        </w:rPr>
        <w:t xml:space="preserve">5.  </w:t>
      </w:r>
      <w:r>
        <w:t>Populate the approved variables below. Do not paste secrets into Terraform variables or configuration files.</w:t>
      </w:r>
    </w:p>
    <w:p>
      <w:pPr>
        <w:pStyle w:val="Heading2"/>
        <w:keepNext/>
      </w:pPr>
      <w:r>
        <w:t>5 2 Recommended POC variable sheet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1"/>
        <w:gridCol w:w="7073"/>
      </w:tblGrid>
      <w:tr>
        <w:trPr>
          <w:tblHeader/>
          <w:cantSplit/>
        </w:trPr>
        <w:tc>
          <w:tcPr>
            <w:tcW w:type="dxa" w:w="3151"/>
            <w:vAlign w:val="center"/>
            <w:shd w:fill="1F4E78"/>
          </w:tcPr>
          <w:p>
            <w:pPr>
              <w:spacing w:after="0"/>
            </w:pPr>
            <w:r/>
            <w:r>
              <w:rPr>
                <w:rFonts w:ascii="Aptos" w:hAnsi="Aptos"/>
                <w:b/>
                <w:color w:val="FFFFFF"/>
                <w:sz w:val="18"/>
              </w:rPr>
              <w:t>Variable</w:t>
            </w:r>
          </w:p>
        </w:tc>
        <w:tc>
          <w:tcPr>
            <w:tcW w:type="dxa" w:w="7073"/>
            <w:vAlign w:val="center"/>
            <w:shd w:fill="1F4E78"/>
          </w:tcPr>
          <w:p>
            <w:pPr>
              <w:spacing w:after="0"/>
            </w:pPr>
            <w:r/>
            <w:r>
              <w:rPr>
                <w:rFonts w:ascii="Aptos" w:hAnsi="Aptos"/>
                <w:b/>
                <w:color w:val="FFFFFF"/>
                <w:sz w:val="18"/>
              </w:rPr>
              <w:t>POC value / instruction</w:t>
            </w:r>
          </w:p>
        </w:tc>
      </w:tr>
      <w:tr>
        <w:trPr>
          <w:cantSplit/>
        </w:trPr>
        <w:tc>
          <w:tcPr>
            <w:tcW w:type="dxa" w:w="3151"/>
            <w:vAlign w:val="center"/>
          </w:tcPr>
          <w:p>
            <w:pPr>
              <w:spacing w:after="0"/>
            </w:pPr>
            <w:r/>
            <w:r>
              <w:rPr>
                <w:rFonts w:ascii="Aptos" w:hAnsi="Aptos"/>
                <w:b w:val="0"/>
                <w:sz w:val="17"/>
              </w:rPr>
              <w:t>region</w:t>
            </w:r>
          </w:p>
        </w:tc>
        <w:tc>
          <w:tcPr>
            <w:tcW w:type="dxa" w:w="7073"/>
            <w:vAlign w:val="center"/>
          </w:tcPr>
          <w:p>
            <w:pPr>
              <w:spacing w:after="0"/>
            </w:pPr>
            <w:r/>
            <w:r>
              <w:rPr>
                <w:rFonts w:ascii="Aptos" w:hAnsi="Aptos"/>
                <w:b w:val="0"/>
                <w:sz w:val="17"/>
              </w:rPr>
              <w:t>Approved OCI Government region; record exact region</w:t>
            </w:r>
          </w:p>
        </w:tc>
      </w:tr>
      <w:tr>
        <w:trPr>
          <w:cantSplit/>
        </w:trPr>
        <w:tc>
          <w:tcPr>
            <w:tcW w:type="dxa" w:w="3151"/>
            <w:vAlign w:val="center"/>
            <w:shd w:fill="F2F2F2"/>
          </w:tcPr>
          <w:p>
            <w:pPr>
              <w:spacing w:after="0"/>
            </w:pPr>
            <w:r/>
            <w:r>
              <w:rPr>
                <w:rFonts w:ascii="Aptos" w:hAnsi="Aptos"/>
                <w:b w:val="0"/>
                <w:sz w:val="17"/>
              </w:rPr>
              <w:t>compartment_ocid</w:t>
            </w:r>
          </w:p>
        </w:tc>
        <w:tc>
          <w:tcPr>
            <w:tcW w:type="dxa" w:w="7073"/>
            <w:vAlign w:val="center"/>
            <w:shd w:fill="F2F2F2"/>
          </w:tcPr>
          <w:p>
            <w:pPr>
              <w:spacing w:after="0"/>
            </w:pPr>
            <w:r/>
            <w:r>
              <w:rPr>
                <w:rFonts w:ascii="Aptos" w:hAnsi="Aptos"/>
                <w:b w:val="0"/>
                <w:sz w:val="17"/>
              </w:rPr>
              <w:t>DataWalk POC target compartment OCID</w:t>
            </w:r>
          </w:p>
        </w:tc>
      </w:tr>
      <w:tr>
        <w:trPr>
          <w:cantSplit/>
        </w:trPr>
        <w:tc>
          <w:tcPr>
            <w:tcW w:type="dxa" w:w="3151"/>
            <w:vAlign w:val="center"/>
          </w:tcPr>
          <w:p>
            <w:pPr>
              <w:spacing w:after="0"/>
            </w:pPr>
            <w:r/>
            <w:r>
              <w:rPr>
                <w:rFonts w:ascii="Aptos" w:hAnsi="Aptos"/>
                <w:b w:val="0"/>
                <w:sz w:val="17"/>
              </w:rPr>
              <w:t>availability_domain</w:t>
            </w:r>
          </w:p>
        </w:tc>
        <w:tc>
          <w:tcPr>
            <w:tcW w:type="dxa" w:w="7073"/>
            <w:vAlign w:val="center"/>
          </w:tcPr>
          <w:p>
            <w:pPr>
              <w:spacing w:after="0"/>
            </w:pPr>
            <w:r/>
            <w:r>
              <w:rPr>
                <w:rFonts w:ascii="Aptos" w:hAnsi="Aptos"/>
                <w:b w:val="0"/>
                <w:sz w:val="17"/>
              </w:rPr>
              <w:t>AD with verified E6 capacity</w:t>
            </w:r>
          </w:p>
        </w:tc>
      </w:tr>
      <w:tr>
        <w:trPr>
          <w:cantSplit/>
        </w:trPr>
        <w:tc>
          <w:tcPr>
            <w:tcW w:type="dxa" w:w="3151"/>
            <w:vAlign w:val="center"/>
            <w:shd w:fill="F2F2F2"/>
          </w:tcPr>
          <w:p>
            <w:pPr>
              <w:spacing w:after="0"/>
            </w:pPr>
            <w:r/>
            <w:r>
              <w:rPr>
                <w:rFonts w:ascii="Aptos" w:hAnsi="Aptos"/>
                <w:b w:val="0"/>
                <w:sz w:val="17"/>
              </w:rPr>
              <w:t>image_ocid</w:t>
            </w:r>
          </w:p>
        </w:tc>
        <w:tc>
          <w:tcPr>
            <w:tcW w:type="dxa" w:w="7073"/>
            <w:vAlign w:val="center"/>
            <w:shd w:fill="F2F2F2"/>
          </w:tcPr>
          <w:p>
            <w:pPr>
              <w:spacing w:after="0"/>
            </w:pPr>
            <w:r/>
            <w:r>
              <w:rPr>
                <w:rFonts w:ascii="Aptos" w:hAnsi="Aptos"/>
                <w:b w:val="0"/>
                <w:sz w:val="17"/>
              </w:rPr>
              <w:t>Approved regional RHEL 8.10 x86_64 compute image OCID — not a container image</w:t>
            </w:r>
          </w:p>
        </w:tc>
      </w:tr>
      <w:tr>
        <w:trPr>
          <w:cantSplit/>
        </w:trPr>
        <w:tc>
          <w:tcPr>
            <w:tcW w:type="dxa" w:w="3151"/>
            <w:vAlign w:val="center"/>
          </w:tcPr>
          <w:p>
            <w:pPr>
              <w:spacing w:after="0"/>
            </w:pPr>
            <w:r/>
            <w:r>
              <w:rPr>
                <w:rFonts w:ascii="Aptos" w:hAnsi="Aptos"/>
                <w:b w:val="0"/>
                <w:sz w:val="17"/>
              </w:rPr>
              <w:t>ssh_public_key</w:t>
            </w:r>
          </w:p>
        </w:tc>
        <w:tc>
          <w:tcPr>
            <w:tcW w:type="dxa" w:w="7073"/>
            <w:vAlign w:val="center"/>
          </w:tcPr>
          <w:p>
            <w:pPr>
              <w:spacing w:after="0"/>
            </w:pPr>
            <w:r/>
            <w:r>
              <w:rPr>
                <w:rFonts w:ascii="Aptos" w:hAnsi="Aptos"/>
                <w:b w:val="0"/>
                <w:sz w:val="17"/>
              </w:rPr>
              <w:t>Approved individual/team public key; never a private key</w:t>
            </w:r>
          </w:p>
        </w:tc>
      </w:tr>
      <w:tr>
        <w:trPr>
          <w:cantSplit/>
        </w:trPr>
        <w:tc>
          <w:tcPr>
            <w:tcW w:type="dxa" w:w="3151"/>
            <w:vAlign w:val="center"/>
            <w:shd w:fill="F2F2F2"/>
          </w:tcPr>
          <w:p>
            <w:pPr>
              <w:spacing w:after="0"/>
            </w:pPr>
            <w:r/>
            <w:r>
              <w:rPr>
                <w:rFonts w:ascii="Aptos" w:hAnsi="Aptos"/>
                <w:b w:val="0"/>
                <w:sz w:val="17"/>
              </w:rPr>
              <w:t>name</w:t>
            </w:r>
          </w:p>
        </w:tc>
        <w:tc>
          <w:tcPr>
            <w:tcW w:type="dxa" w:w="7073"/>
            <w:vAlign w:val="center"/>
            <w:shd w:fill="F2F2F2"/>
          </w:tcPr>
          <w:p>
            <w:pPr>
              <w:spacing w:after="0"/>
            </w:pPr>
            <w:r/>
            <w:r>
              <w:rPr>
                <w:rFonts w:ascii="Aptos" w:hAnsi="Aptos"/>
                <w:b w:val="0"/>
                <w:sz w:val="17"/>
              </w:rPr>
              <w:t>dw-poc-dev</w:t>
            </w:r>
          </w:p>
        </w:tc>
      </w:tr>
      <w:tr>
        <w:trPr>
          <w:cantSplit/>
        </w:trPr>
        <w:tc>
          <w:tcPr>
            <w:tcW w:type="dxa" w:w="3151"/>
            <w:vAlign w:val="center"/>
          </w:tcPr>
          <w:p>
            <w:pPr>
              <w:spacing w:after="0"/>
            </w:pPr>
            <w:r/>
            <w:r>
              <w:rPr>
                <w:rFonts w:ascii="Aptos" w:hAnsi="Aptos"/>
                <w:b w:val="0"/>
                <w:sz w:val="17"/>
              </w:rPr>
              <w:t>shape</w:t>
            </w:r>
          </w:p>
        </w:tc>
        <w:tc>
          <w:tcPr>
            <w:tcW w:type="dxa" w:w="7073"/>
            <w:vAlign w:val="center"/>
          </w:tcPr>
          <w:p>
            <w:pPr>
              <w:spacing w:after="0"/>
            </w:pPr>
            <w:r/>
            <w:r>
              <w:rPr>
                <w:rFonts w:ascii="Aptos" w:hAnsi="Aptos"/>
                <w:b w:val="0"/>
                <w:sz w:val="17"/>
              </w:rPr>
              <w:t>VM.Standard.E6.Flex</w:t>
            </w:r>
          </w:p>
        </w:tc>
      </w:tr>
      <w:tr>
        <w:trPr>
          <w:cantSplit/>
        </w:trPr>
        <w:tc>
          <w:tcPr>
            <w:tcW w:type="dxa" w:w="3151"/>
            <w:vAlign w:val="center"/>
            <w:shd w:fill="F2F2F2"/>
          </w:tcPr>
          <w:p>
            <w:pPr>
              <w:spacing w:after="0"/>
            </w:pPr>
            <w:r/>
            <w:r>
              <w:rPr>
                <w:rFonts w:ascii="Aptos" w:hAnsi="Aptos"/>
                <w:b w:val="0"/>
                <w:sz w:val="17"/>
              </w:rPr>
              <w:t>instance_count</w:t>
            </w:r>
          </w:p>
        </w:tc>
        <w:tc>
          <w:tcPr>
            <w:tcW w:type="dxa" w:w="7073"/>
            <w:vAlign w:val="center"/>
            <w:shd w:fill="F2F2F2"/>
          </w:tcPr>
          <w:p>
            <w:pPr>
              <w:spacing w:after="0"/>
            </w:pPr>
            <w:r/>
            <w:r>
              <w:rPr>
                <w:rFonts w:ascii="Aptos" w:hAnsi="Aptos"/>
                <w:b w:val="0"/>
                <w:sz w:val="17"/>
              </w:rPr>
              <w:t>3</w:t>
            </w:r>
          </w:p>
        </w:tc>
      </w:tr>
      <w:tr>
        <w:trPr>
          <w:cantSplit/>
        </w:trPr>
        <w:tc>
          <w:tcPr>
            <w:tcW w:type="dxa" w:w="3151"/>
            <w:vAlign w:val="center"/>
          </w:tcPr>
          <w:p>
            <w:pPr>
              <w:spacing w:after="0"/>
            </w:pPr>
            <w:r/>
            <w:r>
              <w:rPr>
                <w:rFonts w:ascii="Aptos" w:hAnsi="Aptos"/>
                <w:b w:val="0"/>
                <w:sz w:val="17"/>
              </w:rPr>
              <w:t>flex_ocpus</w:t>
            </w:r>
          </w:p>
        </w:tc>
        <w:tc>
          <w:tcPr>
            <w:tcW w:type="dxa" w:w="7073"/>
            <w:vAlign w:val="center"/>
          </w:tcPr>
          <w:p>
            <w:pPr>
              <w:spacing w:after="0"/>
            </w:pPr>
            <w:r/>
            <w:r>
              <w:rPr>
                <w:rFonts w:ascii="Aptos" w:hAnsi="Aptos"/>
                <w:b w:val="0"/>
                <w:sz w:val="17"/>
              </w:rPr>
              <w:t>8 (16 vCPUs) pending vendor confirmation</w:t>
            </w:r>
          </w:p>
        </w:tc>
      </w:tr>
      <w:tr>
        <w:trPr>
          <w:cantSplit/>
        </w:trPr>
        <w:tc>
          <w:tcPr>
            <w:tcW w:type="dxa" w:w="3151"/>
            <w:vAlign w:val="center"/>
            <w:shd w:fill="F2F2F2"/>
          </w:tcPr>
          <w:p>
            <w:pPr>
              <w:spacing w:after="0"/>
            </w:pPr>
            <w:r/>
            <w:r>
              <w:rPr>
                <w:rFonts w:ascii="Aptos" w:hAnsi="Aptos"/>
                <w:b w:val="0"/>
                <w:sz w:val="17"/>
              </w:rPr>
              <w:t>flex_memory_gb</w:t>
            </w:r>
          </w:p>
        </w:tc>
        <w:tc>
          <w:tcPr>
            <w:tcW w:type="dxa" w:w="7073"/>
            <w:vAlign w:val="center"/>
            <w:shd w:fill="F2F2F2"/>
          </w:tcPr>
          <w:p>
            <w:pPr>
              <w:spacing w:after="0"/>
            </w:pPr>
            <w:r/>
            <w:r>
              <w:rPr>
                <w:rFonts w:ascii="Aptos" w:hAnsi="Aptos"/>
                <w:b w:val="0"/>
                <w:sz w:val="17"/>
              </w:rPr>
              <w:t>128 pending vendor confirmation</w:t>
            </w:r>
          </w:p>
        </w:tc>
      </w:tr>
      <w:tr>
        <w:trPr>
          <w:cantSplit/>
        </w:trPr>
        <w:tc>
          <w:tcPr>
            <w:tcW w:type="dxa" w:w="3151"/>
            <w:vAlign w:val="center"/>
          </w:tcPr>
          <w:p>
            <w:pPr>
              <w:spacing w:after="0"/>
            </w:pPr>
            <w:r/>
            <w:r>
              <w:rPr>
                <w:rFonts w:ascii="Aptos" w:hAnsi="Aptos"/>
                <w:b w:val="0"/>
                <w:sz w:val="17"/>
              </w:rPr>
              <w:t>boot_volume_gb</w:t>
            </w:r>
          </w:p>
        </w:tc>
        <w:tc>
          <w:tcPr>
            <w:tcW w:type="dxa" w:w="7073"/>
            <w:vAlign w:val="center"/>
          </w:tcPr>
          <w:p>
            <w:pPr>
              <w:spacing w:after="0"/>
            </w:pPr>
            <w:r/>
            <w:r>
              <w:rPr>
                <w:rFonts w:ascii="Aptos" w:hAnsi="Aptos"/>
                <w:b w:val="0"/>
                <w:sz w:val="17"/>
              </w:rPr>
              <w:t>100</w:t>
            </w:r>
          </w:p>
        </w:tc>
      </w:tr>
      <w:tr>
        <w:trPr>
          <w:cantSplit/>
        </w:trPr>
        <w:tc>
          <w:tcPr>
            <w:tcW w:type="dxa" w:w="3151"/>
            <w:vAlign w:val="center"/>
            <w:shd w:fill="F2F2F2"/>
          </w:tcPr>
          <w:p>
            <w:pPr>
              <w:spacing w:after="0"/>
            </w:pPr>
            <w:r/>
            <w:r>
              <w:rPr>
                <w:rFonts w:ascii="Aptos" w:hAnsi="Aptos"/>
                <w:b w:val="0"/>
                <w:sz w:val="17"/>
              </w:rPr>
              <w:t>data_volume_gb</w:t>
            </w:r>
          </w:p>
        </w:tc>
        <w:tc>
          <w:tcPr>
            <w:tcW w:type="dxa" w:w="7073"/>
            <w:vAlign w:val="center"/>
            <w:shd w:fill="F2F2F2"/>
          </w:tcPr>
          <w:p>
            <w:pPr>
              <w:spacing w:after="0"/>
            </w:pPr>
            <w:r/>
            <w:r>
              <w:rPr>
                <w:rFonts w:ascii="Aptos" w:hAnsi="Aptos"/>
                <w:b w:val="0"/>
                <w:sz w:val="17"/>
              </w:rPr>
              <w:t>1000 per node as a planning placeholder; reconcile with the about 1 TB total per-worker requirement and CSI-created volumes</w:t>
            </w:r>
          </w:p>
        </w:tc>
      </w:tr>
      <w:tr>
        <w:trPr>
          <w:cantSplit/>
        </w:trPr>
        <w:tc>
          <w:tcPr>
            <w:tcW w:type="dxa" w:w="3151"/>
            <w:vAlign w:val="center"/>
          </w:tcPr>
          <w:p>
            <w:pPr>
              <w:spacing w:after="0"/>
            </w:pPr>
            <w:r/>
            <w:r>
              <w:rPr>
                <w:rFonts w:ascii="Aptos" w:hAnsi="Aptos"/>
                <w:b w:val="0"/>
                <w:sz w:val="17"/>
              </w:rPr>
              <w:t>data_volume_vpus</w:t>
            </w:r>
          </w:p>
        </w:tc>
        <w:tc>
          <w:tcPr>
            <w:tcW w:type="dxa" w:w="7073"/>
            <w:vAlign w:val="center"/>
          </w:tcPr>
          <w:p>
            <w:pPr>
              <w:spacing w:after="0"/>
            </w:pPr>
            <w:r/>
            <w:r>
              <w:rPr>
                <w:rFonts w:ascii="Aptos" w:hAnsi="Aptos"/>
                <w:b w:val="0"/>
                <w:sz w:val="17"/>
              </w:rPr>
              <w:t>20 initially; adjust after measured performance approval</w:t>
            </w:r>
          </w:p>
        </w:tc>
      </w:tr>
      <w:tr>
        <w:trPr>
          <w:cantSplit/>
        </w:trPr>
        <w:tc>
          <w:tcPr>
            <w:tcW w:type="dxa" w:w="3151"/>
            <w:vAlign w:val="center"/>
            <w:shd w:fill="F2F2F2"/>
          </w:tcPr>
          <w:p>
            <w:pPr>
              <w:spacing w:after="0"/>
            </w:pPr>
            <w:r/>
            <w:r>
              <w:rPr>
                <w:rFonts w:ascii="Aptos" w:hAnsi="Aptos"/>
                <w:b w:val="0"/>
                <w:sz w:val="17"/>
              </w:rPr>
              <w:t>vcn_cidr / subnet_cidr</w:t>
            </w:r>
          </w:p>
        </w:tc>
        <w:tc>
          <w:tcPr>
            <w:tcW w:type="dxa" w:w="7073"/>
            <w:vAlign w:val="center"/>
            <w:shd w:fill="F2F2F2"/>
          </w:tcPr>
          <w:p>
            <w:pPr>
              <w:spacing w:after="0"/>
            </w:pPr>
            <w:r/>
            <w:r>
              <w:rPr>
                <w:rFonts w:ascii="Aptos" w:hAnsi="Aptos"/>
                <w:b w:val="0"/>
                <w:sz w:val="17"/>
              </w:rPr>
              <w:t>Approved non-overlapping DataWalk POC ranges</w:t>
            </w:r>
          </w:p>
        </w:tc>
      </w:tr>
      <w:tr>
        <w:trPr>
          <w:cantSplit/>
        </w:trPr>
        <w:tc>
          <w:tcPr>
            <w:tcW w:type="dxa" w:w="3151"/>
            <w:vAlign w:val="center"/>
          </w:tcPr>
          <w:p>
            <w:pPr>
              <w:spacing w:after="0"/>
            </w:pPr>
            <w:r/>
            <w:r>
              <w:rPr>
                <w:rFonts w:ascii="Aptos" w:hAnsi="Aptos"/>
                <w:b w:val="0"/>
                <w:sz w:val="17"/>
              </w:rPr>
              <w:t>admin_cidr</w:t>
            </w:r>
          </w:p>
        </w:tc>
        <w:tc>
          <w:tcPr>
            <w:tcW w:type="dxa" w:w="7073"/>
            <w:vAlign w:val="center"/>
          </w:tcPr>
          <w:p>
            <w:pPr>
              <w:spacing w:after="0"/>
            </w:pPr>
            <w:r/>
            <w:r>
              <w:rPr>
                <w:rFonts w:ascii="Aptos" w:hAnsi="Aptos"/>
                <w:b w:val="0"/>
                <w:sz w:val="17"/>
              </w:rPr>
              <w:t>Approved jump-host private CIDR; prefer /32; /0 is rejected</w:t>
            </w:r>
          </w:p>
        </w:tc>
      </w:tr>
      <w:tr>
        <w:trPr>
          <w:cantSplit/>
        </w:trPr>
        <w:tc>
          <w:tcPr>
            <w:tcW w:type="dxa" w:w="3151"/>
            <w:vAlign w:val="center"/>
            <w:shd w:fill="F2F2F2"/>
          </w:tcPr>
          <w:p>
            <w:pPr>
              <w:spacing w:after="0"/>
            </w:pPr>
            <w:r/>
            <w:r>
              <w:rPr>
                <w:rFonts w:ascii="Aptos" w:hAnsi="Aptos"/>
                <w:b w:val="0"/>
                <w:sz w:val="17"/>
              </w:rPr>
              <w:t>drg_ocid / drg_route_table_ocid</w:t>
            </w:r>
          </w:p>
        </w:tc>
        <w:tc>
          <w:tcPr>
            <w:tcW w:type="dxa" w:w="7073"/>
            <w:vAlign w:val="center"/>
            <w:shd w:fill="F2F2F2"/>
          </w:tcPr>
          <w:p>
            <w:pPr>
              <w:spacing w:after="0"/>
            </w:pPr>
            <w:r/>
            <w:r>
              <w:rPr>
                <w:rFonts w:ascii="Aptos" w:hAnsi="Aptos"/>
                <w:b w:val="0"/>
                <w:sz w:val="17"/>
              </w:rPr>
              <w:t>Existing approved DRG and workload DRG route-table OCIDs</w:t>
            </w:r>
          </w:p>
        </w:tc>
      </w:tr>
      <w:tr>
        <w:trPr>
          <w:cantSplit/>
        </w:trPr>
        <w:tc>
          <w:tcPr>
            <w:tcW w:type="dxa" w:w="3151"/>
            <w:vAlign w:val="center"/>
          </w:tcPr>
          <w:p>
            <w:pPr>
              <w:spacing w:after="0"/>
            </w:pPr>
            <w:r/>
            <w:r>
              <w:rPr>
                <w:rFonts w:ascii="Aptos" w:hAnsi="Aptos"/>
                <w:b w:val="0"/>
                <w:sz w:val="17"/>
              </w:rPr>
              <w:t>onprem_cidrs</w:t>
            </w:r>
          </w:p>
        </w:tc>
        <w:tc>
          <w:tcPr>
            <w:tcW w:type="dxa" w:w="7073"/>
            <w:vAlign w:val="center"/>
          </w:tcPr>
          <w:p>
            <w:pPr>
              <w:spacing w:after="0"/>
            </w:pPr>
            <w:r/>
            <w:r>
              <w:rPr>
                <w:rFonts w:ascii="Aptos" w:hAnsi="Aptos"/>
                <w:b w:val="0"/>
                <w:sz w:val="17"/>
              </w:rPr>
              <w:t>Explicit approved enterprise CIDRs; never a default route</w:t>
            </w:r>
          </w:p>
        </w:tc>
      </w:tr>
      <w:tr>
        <w:trPr>
          <w:cantSplit/>
        </w:trPr>
        <w:tc>
          <w:tcPr>
            <w:tcW w:type="dxa" w:w="3151"/>
            <w:vAlign w:val="center"/>
            <w:shd w:fill="F2F2F2"/>
          </w:tcPr>
          <w:p>
            <w:pPr>
              <w:spacing w:after="0"/>
            </w:pPr>
            <w:r/>
            <w:r>
              <w:rPr>
                <w:rFonts w:ascii="Aptos" w:hAnsi="Aptos"/>
                <w:b w:val="0"/>
                <w:sz w:val="17"/>
              </w:rPr>
              <w:t>extra_rules</w:t>
            </w:r>
          </w:p>
        </w:tc>
        <w:tc>
          <w:tcPr>
            <w:tcW w:type="dxa" w:w="7073"/>
            <w:vAlign w:val="center"/>
            <w:shd w:fill="F2F2F2"/>
          </w:tcPr>
          <w:p>
            <w:pPr>
              <w:spacing w:after="0"/>
            </w:pPr>
            <w:r/>
            <w:r>
              <w:rPr>
                <w:rFonts w:ascii="Aptos" w:hAnsi="Aptos"/>
                <w:b w:val="0"/>
                <w:sz w:val="17"/>
              </w:rPr>
              <w:t>Only approved single-port entries; cluster matrix remains a follow-on IaC change</w:t>
            </w:r>
          </w:p>
        </w:tc>
      </w:tr>
    </w:tbl>
    <w:p>
      <w:pPr>
        <w:spacing w:after="0"/>
      </w:pPr>
    </w:p>
    <w:p>
      <w:pPr>
        <w:pStyle w:val="Heading2"/>
        <w:keepNext/>
      </w:pPr>
      <w:r>
        <w:t>5 3 Plan gate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Run Plan. Export the plan and record ORM job OCID and UTC timestamp.</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Confirm the plan creates three E6 application workers and approved storage allocations; no A10.2 resource appears. Do not double-provision an ORM data disk and CSI-managed application volume for the same requirement.</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Confirm private VNICs, disabled legacy metadata, in-transit volume encryption, Service Gateway, routes, DRG attachment and approved on-premises CIDRs.</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Confirm no Internet/NAT gateway or unrestricted rule. Review cost and tags, then obtain OCI, network, security and funding approvals before Apply.</w:t>
            </w:r>
          </w:p>
        </w:tc>
        <w:tc>
          <w:tcPr>
            <w:tcW w:type="dxa" w:w="1715"/>
            <w:vAlign w:val="center"/>
            <w:shd w:fill="F2F2F2"/>
          </w:tcPr>
          <w:p>
            <w:pPr>
              <w:spacing w:after="0"/>
            </w:pPr>
            <w:r/>
            <w:r>
              <w:rPr>
                <w:rFonts w:ascii="Aptos" w:hAnsi="Aptos"/>
                <w:b w:val="0"/>
                <w:sz w:val="17"/>
              </w:rPr>
            </w:r>
          </w:p>
        </w:tc>
      </w:tr>
    </w:tbl>
    <w:p>
      <w:pPr>
        <w:spacing w:after="0"/>
      </w:pPr>
    </w:p>
    <w:p>
      <w:pPr>
        <w:pStyle w:val="Heading2"/>
        <w:keepNext/>
      </w:pPr>
      <w:r>
        <w:t>5 4 Apply and capture outputs</w:t>
      </w:r>
    </w:p>
    <w:p>
      <w:pPr>
        <w:ind w:left="346" w:hanging="346"/>
      </w:pPr>
      <w:r>
        <w:rPr>
          <w:b/>
        </w:rPr>
        <w:t xml:space="preserve">1.  </w:t>
      </w:r>
      <w:r>
        <w:t>Run Apply during the approved change window. Do not retry a failed Apply until the job log and partial state are reviewed.</w:t>
      </w:r>
    </w:p>
    <w:p>
      <w:pPr>
        <w:ind w:left="346" w:hanging="346"/>
      </w:pPr>
      <w:r>
        <w:rPr>
          <w:b/>
        </w:rPr>
        <w:t xml:space="preserve">2.  </w:t>
      </w:r>
      <w:r>
        <w:t>Record the stack OCID, Apply job OCID, commit/ref, Terraform/provider versions, instance OCIDs, private IPs, VCN/subnet/NSG OCIDs and volume OCIDs.</w:t>
      </w:r>
    </w:p>
    <w:p>
      <w:pPr>
        <w:ind w:left="346" w:hanging="346"/>
      </w:pPr>
      <w:r>
        <w:rPr>
          <w:b/>
        </w:rPr>
        <w:t xml:space="preserve">3.  </w:t>
      </w:r>
      <w:r>
        <w:t>Confirm each instance is RUNNING and the attached data volume is AVAILABLE/ATTACHED. Confirm public IP is absent.</w:t>
      </w:r>
    </w:p>
    <w:p>
      <w:pPr>
        <w:ind w:left="346" w:hanging="346"/>
      </w:pPr>
      <w:r>
        <w:rPr>
          <w:b/>
        </w:rPr>
        <w:t xml:space="preserve">4.  </w:t>
      </w:r>
      <w:r>
        <w:t>Retain the final plan, apply log and redacted outputs in the evidence location.</w:t>
      </w:r>
    </w:p>
    <w:p>
      <w:pPr>
        <w:pStyle w:val="Heading1"/>
        <w:keepNext/>
      </w:pPr>
      <w:r>
        <w:t>6 Procedure D Validate operating system storage and private access</w:t>
      </w:r>
    </w:p>
    <w:p>
      <w:r>
        <w:t>Run from the approved jump host. Replace placeholders. Use read-only checks first; do not format a disk until its OCID/device mapping is confirmed.</w:t>
      </w:r>
    </w:p>
    <w:p>
      <w:pPr>
        <w:pStyle w:val="Code"/>
      </w:pPr>
      <w:r>
        <w:t>ssh -i APPROVED_KEY USER@NODE_PRIVATE_IP</w:t>
        <w:br/>
        <w:t>cat /etc/redhat-release</w:t>
        <w:br/>
        <w:t>uname -r</w:t>
        <w:br/>
        <w:t>lscpu</w:t>
        <w:br/>
        <w:t>free -h</w:t>
        <w:br/>
        <w:t>lsblk -o NAME,SIZE,TYPE,FSTYPE,MOUNTPOINT,MODEL</w:t>
        <w:br/>
        <w:t>ip -br address</w:t>
        <w:br/>
        <w:t>ip route</w:t>
        <w:br/>
        <w:t>chronyc sources -v</w:t>
        <w:br/>
        <w:t>dnf repolist</w:t>
      </w:r>
    </w:p>
    <w:p>
      <w:pPr>
        <w:pStyle w:val="Heading2"/>
        <w:keepNext/>
      </w:pPr>
      <w:r>
        <w:t>6 1 Node acceptance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RHEL reports the exact approved 8.10 release and x86_64 architecture; subscription/repositories work through the approved path.</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Each node reports the approved OCPU/vCPU and memory values. Record lscpu and free output.</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Boot and data volumes match the planned sizes; data-volume device mapping is reconciled to the OCI volume OCID.</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DNS, NTP and enterprise certificate trust succeed; time skew is within policy.</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SSH works only from the approved jump host and fails from an unauthorized source.</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Traffic to approved OCI service, patch and on-premises endpoints succeeds; unapproved Internet egress fails.</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Install and validate only approved security/operations agents. Reboot one node and confirm agents, routes and storage attachment recover.</w:t>
            </w:r>
          </w:p>
        </w:tc>
        <w:tc>
          <w:tcPr>
            <w:tcW w:type="dxa" w:w="1715"/>
            <w:vAlign w:val="center"/>
          </w:tcPr>
          <w:p>
            <w:pPr>
              <w:spacing w:after="0"/>
            </w:pPr>
            <w:r/>
            <w:r>
              <w:rPr>
                <w:rFonts w:ascii="Aptos" w:hAnsi="Aptos"/>
                <w:b w:val="0"/>
                <w:sz w:val="17"/>
              </w:rPr>
            </w:r>
          </w:p>
        </w:tc>
      </w:tr>
    </w:tbl>
    <w:p>
      <w:pPr>
        <w:spacing w:after="0"/>
      </w:pPr>
    </w:p>
    <w:p>
      <w:pPr>
        <w:pStyle w:val="Heading2"/>
        <w:keepNext/>
      </w:pPr>
      <w:r>
        <w:t>6 2 Data volume preparation</w:t>
      </w:r>
    </w:p>
    <w:p>
      <w:pPr>
        <w:pStyle w:val="ListBullet"/>
      </w:pPr>
      <w:r>
        <w:t>Obtain the DataWalk/Kubernetes filesystem, mount-point, ownership, SELinux and performance requirements before formatting.</w:t>
      </w:r>
    </w:p>
    <w:p>
      <w:pPr>
        <w:pStyle w:val="ListBullet"/>
      </w:pPr>
      <w:r>
        <w:t>For a new disposable volume only, use the approved filesystem procedure. Record the device path, volume OCID, filesystem UUID and mount options.</w:t>
      </w:r>
    </w:p>
    <w:p>
      <w:pPr>
        <w:pStyle w:val="ListBullet"/>
      </w:pPr>
      <w:r>
        <w:t>Use UUID-based persistent mounts and approved boot-safe options. Confirm a missing data volume does not trap the VM in an unrecoverable boot loop.</w:t>
      </w:r>
    </w:p>
    <w:p>
      <w:pPr>
        <w:pStyle w:val="ListBullet"/>
      </w:pPr>
      <w:r>
        <w:t>Run storage performance tests only on a dedicated disposable test volume. Capture latency, IOPS and throughput; never benchmark against application data.</w:t>
      </w:r>
    </w:p>
    <w:p>
      <w:pPr>
        <w:pStyle w:val="ListBullet"/>
      </w:pPr>
      <w:r>
        <w:t>OCI Block Volume performance is elastic. Change VPUs/GB only through change control and retain before/after metrics.</w:t>
      </w:r>
    </w:p>
    <w:p>
      <w:pPr>
        <w:pStyle w:val="Heading1"/>
        <w:keepNext/>
      </w:pPr>
      <w:r>
        <w:t>7 Procedure E Select and bootstrap the Kubernetes platform</w:t>
      </w:r>
    </w:p>
    <w:p>
      <w:r>
        <w:rPr>
          <w:b/>
        </w:rPr>
        <w:t xml:space="preserve">DECISION REQUIRED  </w:t>
      </w:r>
      <w:r>
        <w:t>DataWalk publicly identifies RHEL 8.10 or Rocky 8 for the container transition. Current OKE managed-node support is based on supported Oracle Linux OKE/platform images, not arbitrary RHEL images. Do not represent managed OKE on RHEL as supported without written Oracle and DataWalk confirmation.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1"/>
        <w:gridCol w:w="3431"/>
        <w:gridCol w:w="4342"/>
      </w:tblGrid>
      <w:tr>
        <w:trPr>
          <w:tblHeader/>
          <w:cantSplit/>
        </w:trPr>
        <w:tc>
          <w:tcPr>
            <w:tcW w:type="dxa" w:w="2451"/>
            <w:vAlign w:val="center"/>
            <w:shd w:fill="1F4E78"/>
          </w:tcPr>
          <w:p>
            <w:pPr>
              <w:spacing w:after="0"/>
            </w:pPr>
            <w:r/>
            <w:r>
              <w:rPr>
                <w:rFonts w:ascii="Aptos" w:hAnsi="Aptos"/>
                <w:b/>
                <w:color w:val="FFFFFF"/>
                <w:sz w:val="18"/>
              </w:rPr>
              <w:t>Path</w:t>
            </w:r>
          </w:p>
        </w:tc>
        <w:tc>
          <w:tcPr>
            <w:tcW w:type="dxa" w:w="3431"/>
            <w:vAlign w:val="center"/>
            <w:shd w:fill="1F4E78"/>
          </w:tcPr>
          <w:p>
            <w:pPr>
              <w:spacing w:after="0"/>
            </w:pPr>
            <w:r/>
            <w:r>
              <w:rPr>
                <w:rFonts w:ascii="Aptos" w:hAnsi="Aptos"/>
                <w:b/>
                <w:color w:val="FFFFFF"/>
                <w:sz w:val="18"/>
              </w:rPr>
              <w:t>When allowed</w:t>
            </w:r>
          </w:p>
        </w:tc>
        <w:tc>
          <w:tcPr>
            <w:tcW w:type="dxa" w:w="4342"/>
            <w:vAlign w:val="center"/>
            <w:shd w:fill="1F4E78"/>
          </w:tcPr>
          <w:p>
            <w:pPr>
              <w:spacing w:after="0"/>
            </w:pPr>
            <w:r/>
            <w:r>
              <w:rPr>
                <w:rFonts w:ascii="Aptos" w:hAnsi="Aptos"/>
                <w:b/>
                <w:color w:val="FFFFFF"/>
                <w:sz w:val="18"/>
              </w:rPr>
              <w:t>Infrastructure action</w:t>
            </w:r>
          </w:p>
        </w:tc>
      </w:tr>
      <w:tr>
        <w:trPr>
          <w:cantSplit/>
        </w:trPr>
        <w:tc>
          <w:tcPr>
            <w:tcW w:type="dxa" w:w="2451"/>
            <w:vAlign w:val="center"/>
          </w:tcPr>
          <w:p>
            <w:pPr>
              <w:spacing w:after="0"/>
            </w:pPr>
            <w:r/>
            <w:r>
              <w:rPr>
                <w:rFonts w:ascii="Aptos" w:hAnsi="Aptos"/>
                <w:b w:val="0"/>
                <w:sz w:val="17"/>
              </w:rPr>
              <w:t>A — Self-managed Kubernetes on E6/RHEL 8.10</w:t>
            </w:r>
          </w:p>
        </w:tc>
        <w:tc>
          <w:tcPr>
            <w:tcW w:type="dxa" w:w="3431"/>
            <w:vAlign w:val="center"/>
          </w:tcPr>
          <w:p>
            <w:pPr>
              <w:spacing w:after="0"/>
            </w:pPr>
            <w:r/>
            <w:r>
              <w:rPr>
                <w:rFonts w:ascii="Aptos" w:hAnsi="Aptos"/>
                <w:b w:val="0"/>
                <w:sz w:val="17"/>
              </w:rPr>
              <w:t>DataWalk requires RHEL and approves the exact Kubernetes/container runtime/CNI design</w:t>
            </w:r>
          </w:p>
        </w:tc>
        <w:tc>
          <w:tcPr>
            <w:tcW w:type="dxa" w:w="4342"/>
            <w:vAlign w:val="center"/>
          </w:tcPr>
          <w:p>
            <w:pPr>
              <w:spacing w:after="0"/>
            </w:pPr>
            <w:r/>
            <w:r>
              <w:rPr>
                <w:rFonts w:ascii="Aptos" w:hAnsi="Aptos"/>
                <w:b w:val="0"/>
                <w:sz w:val="17"/>
              </w:rPr>
              <w:t>Provision approved control-plane design, cluster PKI, load balancer/API endpoint, etcd backup, CNI, CSI, registry and lifecycle ownership</w:t>
            </w:r>
          </w:p>
        </w:tc>
      </w:tr>
      <w:tr>
        <w:trPr>
          <w:cantSplit/>
        </w:trPr>
        <w:tc>
          <w:tcPr>
            <w:tcW w:type="dxa" w:w="2451"/>
            <w:vAlign w:val="center"/>
            <w:shd w:fill="F2F2F2"/>
          </w:tcPr>
          <w:p>
            <w:pPr>
              <w:spacing w:after="0"/>
            </w:pPr>
            <w:r/>
            <w:r>
              <w:rPr>
                <w:rFonts w:ascii="Aptos" w:hAnsi="Aptos"/>
                <w:b w:val="0"/>
                <w:sz w:val="17"/>
              </w:rPr>
              <w:t>B — Managed OKE on E6/Oracle Linux</w:t>
            </w:r>
          </w:p>
        </w:tc>
        <w:tc>
          <w:tcPr>
            <w:tcW w:type="dxa" w:w="3431"/>
            <w:vAlign w:val="center"/>
            <w:shd w:fill="F2F2F2"/>
          </w:tcPr>
          <w:p>
            <w:pPr>
              <w:spacing w:after="0"/>
            </w:pPr>
            <w:r/>
            <w:r>
              <w:rPr>
                <w:rFonts w:ascii="Aptos" w:hAnsi="Aptos"/>
                <w:b w:val="0"/>
                <w:sz w:val="17"/>
              </w:rPr>
              <w:t>DataWalk approves the exact supported OKE image/OS and current OKE Kubernetes minor</w:t>
            </w:r>
          </w:p>
        </w:tc>
        <w:tc>
          <w:tcPr>
            <w:tcW w:type="dxa" w:w="4342"/>
            <w:vAlign w:val="center"/>
            <w:shd w:fill="F2F2F2"/>
          </w:tcPr>
          <w:p>
            <w:pPr>
              <w:spacing w:after="0"/>
            </w:pPr>
            <w:r/>
            <w:r>
              <w:rPr>
                <w:rFonts w:ascii="Aptos" w:hAnsi="Aptos"/>
                <w:b w:val="0"/>
                <w:sz w:val="17"/>
              </w:rPr>
              <w:t>Build a private OKE VCN-native cluster and E6 managed node pool; do not reuse RHEL VM nodes as managed nodes</w:t>
            </w:r>
          </w:p>
        </w:tc>
      </w:tr>
    </w:tbl>
    <w:p>
      <w:pPr>
        <w:spacing w:after="0"/>
      </w:pPr>
    </w:p>
    <w:p>
      <w:pPr>
        <w:pStyle w:val="Heading2"/>
        <w:keepNext/>
      </w:pPr>
      <w:r>
        <w:t>7 1 Platform bootstrap checklist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Record the signed application/Kubernetes/OS/container-runtime/CNI/CSI/version matrix. DataWalk previously reported support for 1.34 and 1.35; confirm the exact application release and overlap with the target Government region before selecting a minor. Do not use obsolete 1.29 guidance as the build target.</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Create distinct platform and application identities. Configure RBAC, admission controls, pod security, network policy and secret references before vendor installation.</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Apply node labels/taints and resource reservations approved by the Kubernetes SME. Do not consume DataWalk application capacity with unplanned platform workloads.</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Deploy the private API/application endpoint and private load balancer using dedicated NSGs, DNS and approved TLS certificate chain.</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Deploy registry access, vulnerability scanning, logging, metrics and audit collection without storing credentials in Git or Terraform state.</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Validate CSI/storage classes, reclaim policy, encryption, topology and expansion using a disposable persistent volume claim.</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For self-managed Kubernetes, prove control-plane/etcd backup and restore ownership before application handoff.</w:t>
            </w:r>
          </w:p>
        </w:tc>
        <w:tc>
          <w:tcPr>
            <w:tcW w:type="dxa" w:w="1715"/>
            <w:vAlign w:val="center"/>
          </w:tcPr>
          <w:p>
            <w:pPr>
              <w:spacing w:after="0"/>
            </w:pPr>
            <w:r/>
            <w:r>
              <w:rPr>
                <w:rFonts w:ascii="Aptos" w:hAnsi="Aptos"/>
                <w:b w:val="0"/>
                <w:sz w:val="17"/>
              </w:rPr>
            </w:r>
          </w:p>
        </w:tc>
      </w:tr>
    </w:tbl>
    <w:p>
      <w:pPr>
        <w:spacing w:after="0"/>
      </w:pPr>
    </w:p>
    <w:p>
      <w:pPr>
        <w:pStyle w:val="Heading1"/>
        <w:keepNext/>
      </w:pPr>
      <w:r>
        <w:t>8 Procedure F Data services observability backup and security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55"/>
        <w:gridCol w:w="7754"/>
        <w:gridCol w:w="1715"/>
      </w:tblGrid>
      <w:tr>
        <w:trPr>
          <w:tblHeader/>
          <w:cantSplit/>
        </w:trPr>
        <w:tc>
          <w:tcPr>
            <w:tcW w:type="dxa" w:w="755"/>
            <w:vAlign w:val="center"/>
            <w:shd w:fill="1F4E78"/>
          </w:tcPr>
          <w:p>
            <w:pPr>
              <w:spacing w:after="0"/>
            </w:pPr>
            <w:r/>
            <w:r>
              <w:rPr>
                <w:rFonts w:ascii="Aptos" w:hAnsi="Aptos"/>
                <w:b/>
                <w:color w:val="FFFFFF"/>
                <w:sz w:val="18"/>
              </w:rPr>
              <w:t>Done</w:t>
            </w:r>
          </w:p>
        </w:tc>
        <w:tc>
          <w:tcPr>
            <w:tcW w:type="dxa" w:w="7754"/>
            <w:vAlign w:val="center"/>
            <w:shd w:fill="1F4E78"/>
          </w:tcPr>
          <w:p>
            <w:pPr>
              <w:spacing w:after="0"/>
            </w:pPr>
            <w:r/>
            <w:r>
              <w:rPr>
                <w:rFonts w:ascii="Aptos" w:hAnsi="Aptos"/>
                <w:b/>
                <w:color w:val="FFFFFF"/>
                <w:sz w:val="18"/>
              </w:rPr>
              <w:t>Execution step</w:t>
            </w:r>
          </w:p>
        </w:tc>
        <w:tc>
          <w:tcPr>
            <w:tcW w:type="dxa" w:w="1715"/>
            <w:vAlign w:val="center"/>
            <w:shd w:fill="1F4E78"/>
          </w:tcPr>
          <w:p>
            <w:pPr>
              <w:spacing w:after="0"/>
            </w:pPr>
            <w:r/>
            <w:r>
              <w:rPr>
                <w:rFonts w:ascii="Aptos" w:hAnsi="Aptos"/>
                <w:b/>
                <w:color w:val="FFFFFF"/>
                <w:sz w:val="18"/>
              </w:rPr>
              <w:t>Evidence / ticket</w:t>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Have DataWalk approve the Decoupled Storage implementation and database placement. Do not assume OCI Object Storage S3 compatibility equals DataWalk certification.</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Create only approved DataWalk POC buckets, volumes, databases and secret references in the DataWalk compartment; do not share Hyperscience state.</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Use the Service Gateway or an approved Object Storage private endpoint. Restrict bucket access by compartment, identity and approved network source where supported.</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Enable OCI Audit, VCN Flow Logs, instance/agent logs, Kubernetes audit logs, node and storage metrics, and application-ready log destinations.</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Create alarms for node availability, CPU/memory pressure, boot/data volume capacity, IOPS/throughput throttling, endpoint health, backup failure and unauthorized changes.</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Send a test notification and confirm receipt by the named team. A configured alarm without a received test is not accepted.</w:t>
            </w:r>
          </w:p>
        </w:tc>
        <w:tc>
          <w:tcPr>
            <w:tcW w:type="dxa" w:w="1715"/>
            <w:vAlign w:val="center"/>
            <w:shd w:fill="F2F2F2"/>
          </w:tcPr>
          <w:p>
            <w:pPr>
              <w:spacing w:after="0"/>
            </w:pPr>
            <w:r/>
            <w:r>
              <w:rPr>
                <w:rFonts w:ascii="Aptos" w:hAnsi="Aptos"/>
                <w:b w:val="0"/>
                <w:sz w:val="17"/>
              </w:rPr>
            </w:r>
          </w:p>
        </w:tc>
      </w:tr>
      <w:tr>
        <w:trPr>
          <w:cantSplit/>
        </w:trPr>
        <w:tc>
          <w:tcPr>
            <w:tcW w:type="dxa" w:w="755"/>
            <w:vAlign w:val="center"/>
          </w:tcPr>
          <w:p>
            <w:pPr>
              <w:spacing w:after="0"/>
            </w:pPr>
            <w:r/>
            <w:r>
              <w:rPr>
                <w:rFonts w:ascii="Aptos" w:hAnsi="Aptos"/>
                <w:b w:val="0"/>
                <w:sz w:val="17"/>
              </w:rPr>
              <w:t>☐</w:t>
            </w:r>
          </w:p>
        </w:tc>
        <w:tc>
          <w:tcPr>
            <w:tcW w:type="dxa" w:w="7754"/>
            <w:vAlign w:val="center"/>
          </w:tcPr>
          <w:p>
            <w:pPr>
              <w:spacing w:after="0"/>
            </w:pPr>
            <w:r/>
            <w:r>
              <w:rPr>
                <w:rFonts w:ascii="Aptos" w:hAnsi="Aptos"/>
                <w:b w:val="0"/>
                <w:sz w:val="17"/>
              </w:rPr>
              <w:t>Configure backup retention and recovery targets approved for the POC. Execute a restore test to isolated storage and record achieved RPO/RTO.</w:t>
            </w:r>
          </w:p>
        </w:tc>
        <w:tc>
          <w:tcPr>
            <w:tcW w:type="dxa" w:w="1715"/>
            <w:vAlign w:val="center"/>
          </w:tcPr>
          <w:p>
            <w:pPr>
              <w:spacing w:after="0"/>
            </w:pPr>
            <w:r/>
            <w:r>
              <w:rPr>
                <w:rFonts w:ascii="Aptos" w:hAnsi="Aptos"/>
                <w:b w:val="0"/>
                <w:sz w:val="17"/>
              </w:rPr>
            </w:r>
          </w:p>
        </w:tc>
      </w:tr>
      <w:tr>
        <w:trPr>
          <w:cantSplit/>
        </w:trPr>
        <w:tc>
          <w:tcPr>
            <w:tcW w:type="dxa" w:w="755"/>
            <w:vAlign w:val="center"/>
            <w:shd w:fill="F2F2F2"/>
          </w:tcPr>
          <w:p>
            <w:pPr>
              <w:spacing w:after="0"/>
            </w:pPr>
            <w:r/>
            <w:r>
              <w:rPr>
                <w:rFonts w:ascii="Aptos" w:hAnsi="Aptos"/>
                <w:b w:val="0"/>
                <w:sz w:val="17"/>
              </w:rPr>
              <w:t>☐</w:t>
            </w:r>
          </w:p>
        </w:tc>
        <w:tc>
          <w:tcPr>
            <w:tcW w:type="dxa" w:w="7754"/>
            <w:vAlign w:val="center"/>
            <w:shd w:fill="F2F2F2"/>
          </w:tcPr>
          <w:p>
            <w:pPr>
              <w:spacing w:after="0"/>
            </w:pPr>
            <w:r/>
            <w:r>
              <w:rPr>
                <w:rFonts w:ascii="Aptos" w:hAnsi="Aptos"/>
                <w:b w:val="0"/>
                <w:sz w:val="17"/>
              </w:rPr>
              <w:t>Run approved vulnerability/configuration scans; resolve or formally accept findings before vendor installation.</w:t>
            </w:r>
          </w:p>
        </w:tc>
        <w:tc>
          <w:tcPr>
            <w:tcW w:type="dxa" w:w="1715"/>
            <w:vAlign w:val="center"/>
            <w:shd w:fill="F2F2F2"/>
          </w:tcPr>
          <w:p>
            <w:pPr>
              <w:spacing w:after="0"/>
            </w:pPr>
            <w:r/>
            <w:r>
              <w:rPr>
                <w:rFonts w:ascii="Aptos" w:hAnsi="Aptos"/>
                <w:b w:val="0"/>
                <w:sz w:val="17"/>
              </w:rPr>
            </w:r>
          </w:p>
        </w:tc>
      </w:tr>
    </w:tbl>
    <w:p>
      <w:pPr>
        <w:spacing w:after="0"/>
      </w:pPr>
    </w:p>
    <w:p>
      <w:pPr>
        <w:pStyle w:val="Heading1"/>
        <w:keepNext/>
      </w:pPr>
      <w:r>
        <w:t>9 Procedure G Infrastructure acceptance and vendor handoff</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50"/>
        <w:gridCol w:w="5112"/>
        <w:gridCol w:w="4062"/>
      </w:tblGrid>
      <w:tr>
        <w:trPr>
          <w:tblHeader/>
          <w:cantSplit/>
        </w:trPr>
        <w:tc>
          <w:tcPr>
            <w:tcW w:type="dxa" w:w="1050"/>
            <w:vAlign w:val="center"/>
            <w:shd w:fill="1F4E78"/>
          </w:tcPr>
          <w:p>
            <w:pPr>
              <w:spacing w:after="0"/>
            </w:pPr>
            <w:r/>
            <w:r>
              <w:rPr>
                <w:rFonts w:ascii="Aptos" w:hAnsi="Aptos"/>
                <w:b/>
                <w:color w:val="FFFFFF"/>
                <w:sz w:val="18"/>
              </w:rPr>
              <w:t>Test ID</w:t>
            </w:r>
          </w:p>
        </w:tc>
        <w:tc>
          <w:tcPr>
            <w:tcW w:type="dxa" w:w="5112"/>
            <w:vAlign w:val="center"/>
            <w:shd w:fill="1F4E78"/>
          </w:tcPr>
          <w:p>
            <w:pPr>
              <w:spacing w:after="0"/>
            </w:pPr>
            <w:r/>
            <w:r>
              <w:rPr>
                <w:rFonts w:ascii="Aptos" w:hAnsi="Aptos"/>
                <w:b/>
                <w:color w:val="FFFFFF"/>
                <w:sz w:val="18"/>
              </w:rPr>
              <w:t>Acceptance test</w:t>
            </w:r>
          </w:p>
        </w:tc>
        <w:tc>
          <w:tcPr>
            <w:tcW w:type="dxa" w:w="4062"/>
            <w:vAlign w:val="center"/>
            <w:shd w:fill="1F4E78"/>
          </w:tcPr>
          <w:p>
            <w:pPr>
              <w:spacing w:after="0"/>
            </w:pPr>
            <w:r/>
            <w:r>
              <w:rPr>
                <w:rFonts w:ascii="Aptos" w:hAnsi="Aptos"/>
                <w:b/>
                <w:color w:val="FFFFFF"/>
                <w:sz w:val="18"/>
              </w:rPr>
              <w:t>Pass evidence</w:t>
            </w:r>
          </w:p>
        </w:tc>
      </w:tr>
      <w:tr>
        <w:trPr>
          <w:cantSplit/>
        </w:trPr>
        <w:tc>
          <w:tcPr>
            <w:tcW w:type="dxa" w:w="1050"/>
            <w:vAlign w:val="center"/>
          </w:tcPr>
          <w:p>
            <w:pPr>
              <w:spacing w:after="0"/>
            </w:pPr>
            <w:r/>
            <w:r>
              <w:rPr>
                <w:rFonts w:ascii="Aptos" w:hAnsi="Aptos"/>
                <w:b w:val="0"/>
                <w:sz w:val="17"/>
              </w:rPr>
              <w:t>DW-I01</w:t>
            </w:r>
          </w:p>
        </w:tc>
        <w:tc>
          <w:tcPr>
            <w:tcW w:type="dxa" w:w="5112"/>
            <w:vAlign w:val="center"/>
          </w:tcPr>
          <w:p>
            <w:pPr>
              <w:spacing w:after="0"/>
            </w:pPr>
            <w:r/>
            <w:r>
              <w:rPr>
                <w:rFonts w:ascii="Aptos" w:hAnsi="Aptos"/>
                <w:b w:val="0"/>
                <w:sz w:val="17"/>
              </w:rPr>
              <w:t>Three dedicated E6 nodes exist with approved size and no GPU</w:t>
            </w:r>
          </w:p>
        </w:tc>
        <w:tc>
          <w:tcPr>
            <w:tcW w:type="dxa" w:w="4062"/>
            <w:vAlign w:val="center"/>
          </w:tcPr>
          <w:p>
            <w:pPr>
              <w:spacing w:after="0"/>
            </w:pPr>
            <w:r/>
            <w:r>
              <w:rPr>
                <w:rFonts w:ascii="Aptos" w:hAnsi="Aptos"/>
                <w:b w:val="0"/>
                <w:sz w:val="17"/>
              </w:rPr>
              <w:t>OCI inventory + OS evidence</w:t>
            </w:r>
          </w:p>
        </w:tc>
      </w:tr>
      <w:tr>
        <w:trPr>
          <w:cantSplit/>
        </w:trPr>
        <w:tc>
          <w:tcPr>
            <w:tcW w:type="dxa" w:w="1050"/>
            <w:vAlign w:val="center"/>
            <w:shd w:fill="F2F2F2"/>
          </w:tcPr>
          <w:p>
            <w:pPr>
              <w:spacing w:after="0"/>
            </w:pPr>
            <w:r/>
            <w:r>
              <w:rPr>
                <w:rFonts w:ascii="Aptos" w:hAnsi="Aptos"/>
                <w:b w:val="0"/>
                <w:sz w:val="17"/>
              </w:rPr>
              <w:t>DW-I02</w:t>
            </w:r>
          </w:p>
        </w:tc>
        <w:tc>
          <w:tcPr>
            <w:tcW w:type="dxa" w:w="5112"/>
            <w:vAlign w:val="center"/>
            <w:shd w:fill="F2F2F2"/>
          </w:tcPr>
          <w:p>
            <w:pPr>
              <w:spacing w:after="0"/>
            </w:pPr>
            <w:r/>
            <w:r>
              <w:rPr>
                <w:rFonts w:ascii="Aptos" w:hAnsi="Aptos"/>
                <w:b w:val="0"/>
                <w:sz w:val="17"/>
              </w:rPr>
              <w:t>No public IP or unauthorized ingress/egress</w:t>
            </w:r>
          </w:p>
        </w:tc>
        <w:tc>
          <w:tcPr>
            <w:tcW w:type="dxa" w:w="4062"/>
            <w:vAlign w:val="center"/>
            <w:shd w:fill="F2F2F2"/>
          </w:tcPr>
          <w:p>
            <w:pPr>
              <w:spacing w:after="0"/>
            </w:pPr>
            <w:r/>
            <w:r>
              <w:rPr>
                <w:rFonts w:ascii="Aptos" w:hAnsi="Aptos"/>
                <w:b w:val="0"/>
                <w:sz w:val="17"/>
              </w:rPr>
              <w:t>VNIC, route, NSG and negative test</w:t>
            </w:r>
          </w:p>
        </w:tc>
      </w:tr>
      <w:tr>
        <w:trPr>
          <w:cantSplit/>
        </w:trPr>
        <w:tc>
          <w:tcPr>
            <w:tcW w:type="dxa" w:w="1050"/>
            <w:vAlign w:val="center"/>
          </w:tcPr>
          <w:p>
            <w:pPr>
              <w:spacing w:after="0"/>
            </w:pPr>
            <w:r/>
            <w:r>
              <w:rPr>
                <w:rFonts w:ascii="Aptos" w:hAnsi="Aptos"/>
                <w:b w:val="0"/>
                <w:sz w:val="17"/>
              </w:rPr>
              <w:t>DW-I03</w:t>
            </w:r>
          </w:p>
        </w:tc>
        <w:tc>
          <w:tcPr>
            <w:tcW w:type="dxa" w:w="5112"/>
            <w:vAlign w:val="center"/>
          </w:tcPr>
          <w:p>
            <w:pPr>
              <w:spacing w:after="0"/>
            </w:pPr>
            <w:r/>
            <w:r>
              <w:rPr>
                <w:rFonts w:ascii="Aptos" w:hAnsi="Aptos"/>
                <w:b w:val="0"/>
                <w:sz w:val="17"/>
              </w:rPr>
              <w:t>Jump-host → node and approved user → private endpoint paths work</w:t>
            </w:r>
          </w:p>
        </w:tc>
        <w:tc>
          <w:tcPr>
            <w:tcW w:type="dxa" w:w="4062"/>
            <w:vAlign w:val="center"/>
          </w:tcPr>
          <w:p>
            <w:pPr>
              <w:spacing w:after="0"/>
            </w:pPr>
            <w:r/>
            <w:r>
              <w:rPr>
                <w:rFonts w:ascii="Aptos" w:hAnsi="Aptos"/>
                <w:b w:val="0"/>
                <w:sz w:val="17"/>
              </w:rPr>
              <w:t>DNS/TCP/TLS results</w:t>
            </w:r>
          </w:p>
        </w:tc>
      </w:tr>
      <w:tr>
        <w:trPr>
          <w:cantSplit/>
        </w:trPr>
        <w:tc>
          <w:tcPr>
            <w:tcW w:type="dxa" w:w="1050"/>
            <w:vAlign w:val="center"/>
            <w:shd w:fill="F2F2F2"/>
          </w:tcPr>
          <w:p>
            <w:pPr>
              <w:spacing w:after="0"/>
            </w:pPr>
            <w:r/>
            <w:r>
              <w:rPr>
                <w:rFonts w:ascii="Aptos" w:hAnsi="Aptos"/>
                <w:b w:val="0"/>
                <w:sz w:val="17"/>
              </w:rPr>
              <w:t>DW-I04</w:t>
            </w:r>
          </w:p>
        </w:tc>
        <w:tc>
          <w:tcPr>
            <w:tcW w:type="dxa" w:w="5112"/>
            <w:vAlign w:val="center"/>
            <w:shd w:fill="F2F2F2"/>
          </w:tcPr>
          <w:p>
            <w:pPr>
              <w:spacing w:after="0"/>
            </w:pPr>
            <w:r/>
            <w:r>
              <w:rPr>
                <w:rFonts w:ascii="Aptos" w:hAnsi="Aptos"/>
                <w:b w:val="0"/>
                <w:sz w:val="17"/>
              </w:rPr>
              <w:t>Node-to-node and cluster/API paths match approved matrix</w:t>
            </w:r>
          </w:p>
        </w:tc>
        <w:tc>
          <w:tcPr>
            <w:tcW w:type="dxa" w:w="4062"/>
            <w:vAlign w:val="center"/>
            <w:shd w:fill="F2F2F2"/>
          </w:tcPr>
          <w:p>
            <w:pPr>
              <w:spacing w:after="0"/>
            </w:pPr>
            <w:r/>
            <w:r>
              <w:rPr>
                <w:rFonts w:ascii="Aptos" w:hAnsi="Aptos"/>
                <w:b w:val="0"/>
                <w:sz w:val="17"/>
              </w:rPr>
              <w:t>Allowed/denied connectivity tests</w:t>
            </w:r>
          </w:p>
        </w:tc>
      </w:tr>
      <w:tr>
        <w:trPr>
          <w:cantSplit/>
        </w:trPr>
        <w:tc>
          <w:tcPr>
            <w:tcW w:type="dxa" w:w="1050"/>
            <w:vAlign w:val="center"/>
          </w:tcPr>
          <w:p>
            <w:pPr>
              <w:spacing w:after="0"/>
            </w:pPr>
            <w:r/>
            <w:r>
              <w:rPr>
                <w:rFonts w:ascii="Aptos" w:hAnsi="Aptos"/>
                <w:b w:val="0"/>
                <w:sz w:val="17"/>
              </w:rPr>
              <w:t>DW-I05</w:t>
            </w:r>
          </w:p>
        </w:tc>
        <w:tc>
          <w:tcPr>
            <w:tcW w:type="dxa" w:w="5112"/>
            <w:vAlign w:val="center"/>
          </w:tcPr>
          <w:p>
            <w:pPr>
              <w:spacing w:after="0"/>
            </w:pPr>
            <w:r/>
            <w:r>
              <w:rPr>
                <w:rFonts w:ascii="Aptos" w:hAnsi="Aptos"/>
                <w:b w:val="0"/>
                <w:sz w:val="17"/>
              </w:rPr>
              <w:t>Block storage persists across reboot and meets provisional baseline</w:t>
            </w:r>
          </w:p>
        </w:tc>
        <w:tc>
          <w:tcPr>
            <w:tcW w:type="dxa" w:w="4062"/>
            <w:vAlign w:val="center"/>
          </w:tcPr>
          <w:p>
            <w:pPr>
              <w:spacing w:after="0"/>
            </w:pPr>
            <w:r/>
            <w:r>
              <w:rPr>
                <w:rFonts w:ascii="Aptos" w:hAnsi="Aptos"/>
                <w:b w:val="0"/>
                <w:sz w:val="17"/>
              </w:rPr>
              <w:t>Mount, checksum and performance results</w:t>
            </w:r>
          </w:p>
        </w:tc>
      </w:tr>
      <w:tr>
        <w:trPr>
          <w:cantSplit/>
        </w:trPr>
        <w:tc>
          <w:tcPr>
            <w:tcW w:type="dxa" w:w="1050"/>
            <w:vAlign w:val="center"/>
            <w:shd w:fill="F2F2F2"/>
          </w:tcPr>
          <w:p>
            <w:pPr>
              <w:spacing w:after="0"/>
            </w:pPr>
            <w:r/>
            <w:r>
              <w:rPr>
                <w:rFonts w:ascii="Aptos" w:hAnsi="Aptos"/>
                <w:b w:val="0"/>
                <w:sz w:val="17"/>
              </w:rPr>
              <w:t>DW-I06</w:t>
            </w:r>
          </w:p>
        </w:tc>
        <w:tc>
          <w:tcPr>
            <w:tcW w:type="dxa" w:w="5112"/>
            <w:vAlign w:val="center"/>
            <w:shd w:fill="F2F2F2"/>
          </w:tcPr>
          <w:p>
            <w:pPr>
              <w:spacing w:after="0"/>
            </w:pPr>
            <w:r/>
            <w:r>
              <w:rPr>
                <w:rFonts w:ascii="Aptos" w:hAnsi="Aptos"/>
                <w:b w:val="0"/>
                <w:sz w:val="17"/>
              </w:rPr>
              <w:t>Approved Decoupled Storage/database endpoint is reachable with least privilege</w:t>
            </w:r>
          </w:p>
        </w:tc>
        <w:tc>
          <w:tcPr>
            <w:tcW w:type="dxa" w:w="4062"/>
            <w:vAlign w:val="center"/>
            <w:shd w:fill="F2F2F2"/>
          </w:tcPr>
          <w:p>
            <w:pPr>
              <w:spacing w:after="0"/>
            </w:pPr>
            <w:r/>
            <w:r>
              <w:rPr>
                <w:rFonts w:ascii="Aptos" w:hAnsi="Aptos"/>
                <w:b w:val="0"/>
                <w:sz w:val="17"/>
              </w:rPr>
              <w:t>Vendor-approved test transaction</w:t>
            </w:r>
          </w:p>
        </w:tc>
      </w:tr>
      <w:tr>
        <w:trPr>
          <w:cantSplit/>
        </w:trPr>
        <w:tc>
          <w:tcPr>
            <w:tcW w:type="dxa" w:w="1050"/>
            <w:vAlign w:val="center"/>
          </w:tcPr>
          <w:p>
            <w:pPr>
              <w:spacing w:after="0"/>
            </w:pPr>
            <w:r/>
            <w:r>
              <w:rPr>
                <w:rFonts w:ascii="Aptos" w:hAnsi="Aptos"/>
                <w:b w:val="0"/>
                <w:sz w:val="17"/>
              </w:rPr>
              <w:t>DW-I07</w:t>
            </w:r>
          </w:p>
        </w:tc>
        <w:tc>
          <w:tcPr>
            <w:tcW w:type="dxa" w:w="5112"/>
            <w:vAlign w:val="center"/>
          </w:tcPr>
          <w:p>
            <w:pPr>
              <w:spacing w:after="0"/>
            </w:pPr>
            <w:r/>
            <w:r>
              <w:rPr>
                <w:rFonts w:ascii="Aptos" w:hAnsi="Aptos"/>
                <w:b w:val="0"/>
                <w:sz w:val="17"/>
              </w:rPr>
              <w:t>Logging, metrics, audit and alert delivery work</w:t>
            </w:r>
          </w:p>
        </w:tc>
        <w:tc>
          <w:tcPr>
            <w:tcW w:type="dxa" w:w="4062"/>
            <w:vAlign w:val="center"/>
          </w:tcPr>
          <w:p>
            <w:pPr>
              <w:spacing w:after="0"/>
            </w:pPr>
            <w:r/>
            <w:r>
              <w:rPr>
                <w:rFonts w:ascii="Aptos" w:hAnsi="Aptos"/>
                <w:b w:val="0"/>
                <w:sz w:val="17"/>
              </w:rPr>
              <w:t>Dashboard/log query + received alert</w:t>
            </w:r>
          </w:p>
        </w:tc>
      </w:tr>
      <w:tr>
        <w:trPr>
          <w:cantSplit/>
        </w:trPr>
        <w:tc>
          <w:tcPr>
            <w:tcW w:type="dxa" w:w="1050"/>
            <w:vAlign w:val="center"/>
            <w:shd w:fill="F2F2F2"/>
          </w:tcPr>
          <w:p>
            <w:pPr>
              <w:spacing w:after="0"/>
            </w:pPr>
            <w:r/>
            <w:r>
              <w:rPr>
                <w:rFonts w:ascii="Aptos" w:hAnsi="Aptos"/>
                <w:b w:val="0"/>
                <w:sz w:val="17"/>
              </w:rPr>
              <w:t>DW-I08</w:t>
            </w:r>
          </w:p>
        </w:tc>
        <w:tc>
          <w:tcPr>
            <w:tcW w:type="dxa" w:w="5112"/>
            <w:vAlign w:val="center"/>
            <w:shd w:fill="F2F2F2"/>
          </w:tcPr>
          <w:p>
            <w:pPr>
              <w:spacing w:after="0"/>
            </w:pPr>
            <w:r/>
            <w:r>
              <w:rPr>
                <w:rFonts w:ascii="Aptos" w:hAnsi="Aptos"/>
                <w:b w:val="0"/>
                <w:sz w:val="17"/>
              </w:rPr>
              <w:t>Backup/restore test succeeds</w:t>
            </w:r>
          </w:p>
        </w:tc>
        <w:tc>
          <w:tcPr>
            <w:tcW w:type="dxa" w:w="4062"/>
            <w:vAlign w:val="center"/>
            <w:shd w:fill="F2F2F2"/>
          </w:tcPr>
          <w:p>
            <w:pPr>
              <w:spacing w:after="0"/>
            </w:pPr>
            <w:r/>
            <w:r>
              <w:rPr>
                <w:rFonts w:ascii="Aptos" w:hAnsi="Aptos"/>
                <w:b w:val="0"/>
                <w:sz w:val="17"/>
              </w:rPr>
              <w:t>Backup ID, restore log and checksum</w:t>
            </w:r>
          </w:p>
        </w:tc>
      </w:tr>
      <w:tr>
        <w:trPr>
          <w:cantSplit/>
        </w:trPr>
        <w:tc>
          <w:tcPr>
            <w:tcW w:type="dxa" w:w="1050"/>
            <w:vAlign w:val="center"/>
          </w:tcPr>
          <w:p>
            <w:pPr>
              <w:spacing w:after="0"/>
            </w:pPr>
            <w:r/>
            <w:r>
              <w:rPr>
                <w:rFonts w:ascii="Aptos" w:hAnsi="Aptos"/>
                <w:b w:val="0"/>
                <w:sz w:val="17"/>
              </w:rPr>
              <w:t>DW-I09</w:t>
            </w:r>
          </w:p>
        </w:tc>
        <w:tc>
          <w:tcPr>
            <w:tcW w:type="dxa" w:w="5112"/>
            <w:vAlign w:val="center"/>
          </w:tcPr>
          <w:p>
            <w:pPr>
              <w:spacing w:after="0"/>
            </w:pPr>
            <w:r/>
            <w:r>
              <w:rPr>
                <w:rFonts w:ascii="Aptos" w:hAnsi="Aptos"/>
                <w:b w:val="0"/>
                <w:sz w:val="17"/>
              </w:rPr>
              <w:t>A second operator can repeat access and validation</w:t>
            </w:r>
          </w:p>
        </w:tc>
        <w:tc>
          <w:tcPr>
            <w:tcW w:type="dxa" w:w="4062"/>
            <w:vAlign w:val="center"/>
          </w:tcPr>
          <w:p>
            <w:pPr>
              <w:spacing w:after="0"/>
            </w:pPr>
            <w:r/>
            <w:r>
              <w:rPr>
                <w:rFonts w:ascii="Aptos" w:hAnsi="Aptos"/>
                <w:b w:val="0"/>
                <w:sz w:val="17"/>
              </w:rPr>
              <w:t>Independent execution record</w:t>
            </w:r>
          </w:p>
        </w:tc>
      </w:tr>
      <w:tr>
        <w:trPr>
          <w:cantSplit/>
        </w:trPr>
        <w:tc>
          <w:tcPr>
            <w:tcW w:type="dxa" w:w="1050"/>
            <w:vAlign w:val="center"/>
            <w:shd w:fill="F2F2F2"/>
          </w:tcPr>
          <w:p>
            <w:pPr>
              <w:spacing w:after="0"/>
            </w:pPr>
            <w:r/>
            <w:r>
              <w:rPr>
                <w:rFonts w:ascii="Aptos" w:hAnsi="Aptos"/>
                <w:b w:val="0"/>
                <w:sz w:val="17"/>
              </w:rPr>
              <w:t>DW-I10</w:t>
            </w:r>
          </w:p>
        </w:tc>
        <w:tc>
          <w:tcPr>
            <w:tcW w:type="dxa" w:w="5112"/>
            <w:vAlign w:val="center"/>
            <w:shd w:fill="F2F2F2"/>
          </w:tcPr>
          <w:p>
            <w:pPr>
              <w:spacing w:after="0"/>
            </w:pPr>
            <w:r/>
            <w:r>
              <w:rPr>
                <w:rFonts w:ascii="Aptos" w:hAnsi="Aptos"/>
                <w:b w:val="0"/>
                <w:sz w:val="17"/>
              </w:rPr>
              <w:t>DataWalk signs platform readiness</w:t>
            </w:r>
          </w:p>
        </w:tc>
        <w:tc>
          <w:tcPr>
            <w:tcW w:type="dxa" w:w="4062"/>
            <w:vAlign w:val="center"/>
            <w:shd w:fill="F2F2F2"/>
          </w:tcPr>
          <w:p>
            <w:pPr>
              <w:spacing w:after="0"/>
            </w:pPr>
            <w:r/>
            <w:r>
              <w:rPr>
                <w:rFonts w:ascii="Aptos" w:hAnsi="Aptos"/>
                <w:b w:val="0"/>
                <w:sz w:val="17"/>
              </w:rPr>
              <w:t>Vendor acceptance or documented blockers</w:t>
            </w:r>
          </w:p>
        </w:tc>
      </w:tr>
    </w:tbl>
    <w:p>
      <w:pPr>
        <w:spacing w:after="0"/>
      </w:pPr>
    </w:p>
    <w:p>
      <w:pPr>
        <w:pStyle w:val="Heading2"/>
        <w:keepNext/>
      </w:pPr>
      <w:r>
        <w:t>9 1 Handoff package</w:t>
      </w:r>
    </w:p>
    <w:p>
      <w:pPr>
        <w:pStyle w:val="ListBullet"/>
      </w:pPr>
      <w:r>
        <w:t>Architecture and approved CIDR/port matrix</w:t>
      </w:r>
    </w:p>
    <w:p>
      <w:pPr>
        <w:pStyle w:val="ListBullet"/>
      </w:pPr>
      <w:r>
        <w:t>ORM stack name/OCID, source commit, plan/apply job IDs and sanitized outputs</w:t>
      </w:r>
    </w:p>
    <w:p>
      <w:pPr>
        <w:pStyle w:val="ListBullet"/>
      </w:pPr>
      <w:r>
        <w:t>Instance, volume, VCN, subnet, NSG, route, DRG, endpoint and storage identifiers</w:t>
      </w:r>
    </w:p>
    <w:p>
      <w:pPr>
        <w:pStyle w:val="ListBullet"/>
      </w:pPr>
      <w:r>
        <w:t>Version matrix, RHEL entitlement, Kubernetes platform decision and image digests</w:t>
      </w:r>
    </w:p>
    <w:p>
      <w:pPr>
        <w:pStyle w:val="ListBullet"/>
      </w:pPr>
      <w:r>
        <w:t>DNS/TLS records, access roles, secret references and support contacts</w:t>
      </w:r>
    </w:p>
    <w:p>
      <w:pPr>
        <w:pStyle w:val="ListBullet"/>
      </w:pPr>
      <w:r>
        <w:t>Monitoring dashboards, alarm tests, backup/restore evidence and open defects</w:t>
      </w:r>
    </w:p>
    <w:p>
      <w:pPr>
        <w:pStyle w:val="ListBullet"/>
      </w:pPr>
      <w:r>
        <w:t>POC cost-to-date, expiration date and cleanup owner</w:t>
      </w:r>
    </w:p>
    <w:p>
      <w:pPr>
        <w:pStyle w:val="Heading2"/>
        <w:keepNext/>
        <w:pageBreakBefore/>
      </w:pPr>
      <w:r>
        <w:t>9 2 Discovery update and application installation</w:t>
      </w:r>
    </w:p>
    <w:p>
      <w:r>
        <w:t>The October 14 session confirmed that the new DataWalk version requires Kubernetes. Keep it isolated from Hyperscience, which uses Podman on standalone GPU compute. The POC starts with one DataWalk Dev-equivalent environment; do not create production or assume Dev and Test can share a cluster without vendor approval.</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71"/>
        <w:gridCol w:w="7353"/>
      </w:tblGrid>
      <w:tr>
        <w:trPr>
          <w:tblHeader/>
          <w:cantSplit/>
        </w:trPr>
        <w:tc>
          <w:tcPr>
            <w:tcW w:type="dxa" w:w="2871"/>
            <w:vAlign w:val="center"/>
            <w:shd w:fill="1F4E78"/>
          </w:tcPr>
          <w:p>
            <w:pPr>
              <w:spacing w:after="0"/>
            </w:pPr>
            <w:r/>
            <w:r>
              <w:rPr>
                <w:rFonts w:ascii="Aptos" w:hAnsi="Aptos"/>
                <w:b/>
                <w:color w:val="FFFFFF"/>
                <w:sz w:val="18"/>
              </w:rPr>
              <w:t>Owner</w:t>
            </w:r>
          </w:p>
        </w:tc>
        <w:tc>
          <w:tcPr>
            <w:tcW w:type="dxa" w:w="7353"/>
            <w:vAlign w:val="center"/>
            <w:shd w:fill="1F4E78"/>
          </w:tcPr>
          <w:p>
            <w:pPr>
              <w:spacing w:after="0"/>
            </w:pPr>
            <w:r/>
            <w:r>
              <w:rPr>
                <w:rFonts w:ascii="Aptos" w:hAnsi="Aptos"/>
                <w:b/>
                <w:color w:val="FFFFFF"/>
                <w:sz w:val="18"/>
              </w:rPr>
              <w:t>Responsibility</w:t>
            </w:r>
          </w:p>
        </w:tc>
      </w:tr>
      <w:tr>
        <w:trPr>
          <w:cantSplit/>
        </w:trPr>
        <w:tc>
          <w:tcPr>
            <w:tcW w:type="dxa" w:w="2871"/>
            <w:vAlign w:val="center"/>
          </w:tcPr>
          <w:p>
            <w:pPr>
              <w:spacing w:after="0"/>
            </w:pPr>
            <w:r/>
            <w:r>
              <w:rPr>
                <w:rFonts w:ascii="Aptos" w:hAnsi="Aptos"/>
                <w:b w:val="0"/>
                <w:sz w:val="17"/>
              </w:rPr>
              <w:t>John and infrastructure team</w:t>
            </w:r>
          </w:p>
        </w:tc>
        <w:tc>
          <w:tcPr>
            <w:tcW w:type="dxa" w:w="7353"/>
            <w:vAlign w:val="center"/>
          </w:tcPr>
          <w:p>
            <w:pPr>
              <w:spacing w:after="0"/>
            </w:pPr>
            <w:r/>
            <w:r>
              <w:rPr>
                <w:rFonts w:ascii="Aptos" w:hAnsi="Aptos"/>
                <w:b w:val="0"/>
                <w:sz w:val="17"/>
              </w:rPr>
              <w:t>Provision private foundation, registry, Object Storage and access; retain approvals and evidence</w:t>
            </w:r>
          </w:p>
        </w:tc>
      </w:tr>
      <w:tr>
        <w:trPr>
          <w:cantSplit/>
        </w:trPr>
        <w:tc>
          <w:tcPr>
            <w:tcW w:type="dxa" w:w="2871"/>
            <w:vAlign w:val="center"/>
            <w:shd w:fill="F2F2F2"/>
          </w:tcPr>
          <w:p>
            <w:pPr>
              <w:spacing w:after="0"/>
            </w:pPr>
            <w:r/>
            <w:r>
              <w:rPr>
                <w:rFonts w:ascii="Aptos" w:hAnsi="Aptos"/>
                <w:b w:val="0"/>
                <w:sz w:val="17"/>
              </w:rPr>
              <w:t>Tony and network team</w:t>
            </w:r>
          </w:p>
        </w:tc>
        <w:tc>
          <w:tcPr>
            <w:tcW w:type="dxa" w:w="7353"/>
            <w:vAlign w:val="center"/>
            <w:shd w:fill="F2F2F2"/>
          </w:tcPr>
          <w:p>
            <w:pPr>
              <w:spacing w:after="0"/>
            </w:pPr>
            <w:r/>
            <w:r>
              <w:rPr>
                <w:rFonts w:ascii="Aptos" w:hAnsi="Aptos"/>
                <w:b w:val="0"/>
                <w:sz w:val="17"/>
              </w:rPr>
              <w:t>Routing, DNS, approved source egress IP/range and vendor Harbor firewall coordination</w:t>
            </w:r>
          </w:p>
        </w:tc>
      </w:tr>
      <w:tr>
        <w:trPr>
          <w:cantSplit/>
        </w:trPr>
        <w:tc>
          <w:tcPr>
            <w:tcW w:type="dxa" w:w="2871"/>
            <w:vAlign w:val="center"/>
          </w:tcPr>
          <w:p>
            <w:pPr>
              <w:spacing w:after="0"/>
            </w:pPr>
            <w:r/>
            <w:r>
              <w:rPr>
                <w:rFonts w:ascii="Aptos" w:hAnsi="Aptos"/>
                <w:b w:val="0"/>
                <w:sz w:val="17"/>
              </w:rPr>
              <w:t>Keith</w:t>
            </w:r>
          </w:p>
        </w:tc>
        <w:tc>
          <w:tcPr>
            <w:tcW w:type="dxa" w:w="7353"/>
            <w:vAlign w:val="center"/>
          </w:tcPr>
          <w:p>
            <w:pPr>
              <w:spacing w:after="0"/>
            </w:pPr>
            <w:r/>
            <w:r>
              <w:rPr>
                <w:rFonts w:ascii="Aptos" w:hAnsi="Aptos"/>
                <w:b w:val="0"/>
                <w:sz w:val="17"/>
              </w:rPr>
              <w:t>Admin requests, security forms, YubiKeys and account activation</w:t>
            </w:r>
          </w:p>
        </w:tc>
      </w:tr>
      <w:tr>
        <w:trPr>
          <w:cantSplit/>
        </w:trPr>
        <w:tc>
          <w:tcPr>
            <w:tcW w:type="dxa" w:w="2871"/>
            <w:vAlign w:val="center"/>
            <w:shd w:fill="F2F2F2"/>
          </w:tcPr>
          <w:p>
            <w:pPr>
              <w:spacing w:after="0"/>
            </w:pPr>
            <w:r/>
            <w:r>
              <w:rPr>
                <w:rFonts w:ascii="Aptos" w:hAnsi="Aptos"/>
                <w:b w:val="0"/>
                <w:sz w:val="17"/>
              </w:rPr>
              <w:t>Michael and Renato with MSS team</w:t>
            </w:r>
          </w:p>
        </w:tc>
        <w:tc>
          <w:tcPr>
            <w:tcW w:type="dxa" w:w="7353"/>
            <w:vAlign w:val="center"/>
            <w:shd w:fill="F2F2F2"/>
          </w:tcPr>
          <w:p>
            <w:pPr>
              <w:spacing w:after="0"/>
            </w:pPr>
            <w:r/>
            <w:r>
              <w:rPr>
                <w:rFonts w:ascii="Aptos" w:hAnsi="Aptos"/>
                <w:b w:val="0"/>
                <w:sz w:val="17"/>
              </w:rPr>
              <w:t>Vendor images and chart, application deployment, demo-data selection and regression tests</w:t>
            </w:r>
          </w:p>
        </w:tc>
      </w:tr>
      <w:tr>
        <w:trPr>
          <w:cantSplit/>
        </w:trPr>
        <w:tc>
          <w:tcPr>
            <w:tcW w:type="dxa" w:w="2871"/>
            <w:vAlign w:val="center"/>
          </w:tcPr>
          <w:p>
            <w:pPr>
              <w:spacing w:after="0"/>
            </w:pPr>
            <w:r/>
            <w:r>
              <w:rPr>
                <w:rFonts w:ascii="Aptos" w:hAnsi="Aptos"/>
                <w:b w:val="0"/>
                <w:sz w:val="17"/>
              </w:rPr>
              <w:t>Charles with Adam or Vinny</w:t>
            </w:r>
          </w:p>
        </w:tc>
        <w:tc>
          <w:tcPr>
            <w:tcW w:type="dxa" w:w="7353"/>
            <w:vAlign w:val="center"/>
          </w:tcPr>
          <w:p>
            <w:pPr>
              <w:spacing w:after="0"/>
            </w:pPr>
            <w:r/>
            <w:r>
              <w:rPr>
                <w:rFonts w:ascii="Aptos" w:hAnsi="Aptos"/>
                <w:b w:val="0"/>
                <w:sz w:val="17"/>
              </w:rPr>
              <w:t>Approved data/package transfers through the jump box; exact participants to be confirmed</w:t>
            </w:r>
          </w:p>
        </w:tc>
      </w:tr>
      <w:tr>
        <w:trPr>
          <w:cantSplit/>
        </w:trPr>
        <w:tc>
          <w:tcPr>
            <w:tcW w:type="dxa" w:w="2871"/>
            <w:vAlign w:val="center"/>
            <w:shd w:fill="F2F2F2"/>
          </w:tcPr>
          <w:p>
            <w:pPr>
              <w:spacing w:after="0"/>
            </w:pPr>
            <w:r/>
            <w:r>
              <w:rPr>
                <w:rFonts w:ascii="Aptos" w:hAnsi="Aptos"/>
                <w:b w:val="0"/>
                <w:sz w:val="17"/>
              </w:rPr>
              <w:t>Oracle Chris and Mike</w:t>
            </w:r>
          </w:p>
        </w:tc>
        <w:tc>
          <w:tcPr>
            <w:tcW w:type="dxa" w:w="7353"/>
            <w:vAlign w:val="center"/>
            <w:shd w:fill="F2F2F2"/>
          </w:tcPr>
          <w:p>
            <w:pPr>
              <w:spacing w:after="0"/>
            </w:pPr>
            <w:r/>
            <w:r>
              <w:rPr>
                <w:rFonts w:ascii="Aptos" w:hAnsi="Aptos"/>
                <w:b w:val="0"/>
                <w:sz w:val="17"/>
              </w:rPr>
              <w:t>Cluster design and over-the-shoulder guidance; authorized customer staff execute changes</w:t>
            </w:r>
          </w:p>
        </w:tc>
      </w:tr>
    </w:tbl>
    <w:p>
      <w:pPr>
        <w:spacing w:after="0"/>
      </w:pPr>
    </w:p>
    <w:p>
      <w:pPr>
        <w:ind w:left="346" w:hanging="346"/>
      </w:pPr>
      <w:r>
        <w:rPr>
          <w:b/>
        </w:rPr>
        <w:t xml:space="preserve">1.  </w:t>
      </w:r>
      <w:r>
        <w:t>Complete access before installation. Keith has seen requests for Michael and Renato; Mark must forward Adam's and Vincent/Vinny's ticket numbers. Confirm approvals, working Windows jump-box access, admin accounts and YubiKey delivery separately. Chase's vendor access is not assumed.</w:t>
      </w:r>
    </w:p>
    <w:p>
      <w:pPr>
        <w:ind w:left="346" w:hanging="346"/>
      </w:pPr>
      <w:r>
        <w:rPr>
          <w:b/>
        </w:rPr>
        <w:t xml:space="preserve">2.  </w:t>
      </w:r>
      <w:r>
        <w:t>John and the infrastructure team create the private OCI registry and approved application and staging buckets. Supply endpoints, namespace/bucket identifiers, storage access and image-push/pull roles to MSS. Application staff are not assumed to have OCI portal administration.</w:t>
      </w:r>
    </w:p>
    <w:p>
      <w:pPr>
        <w:ind w:left="346" w:hanging="346"/>
      </w:pPr>
      <w:r>
        <w:rPr>
          <w:b/>
        </w:rPr>
        <w:t xml:space="preserve">3.  </w:t>
      </w:r>
      <w:r>
        <w:t>Provide the approved outbound source IP or IP range to DataWalk so its Harbor firewall can allow the staging/download path. DataWalk creates the vendor Harbor account. A private jump-box IP is not necessarily the address observed by the vendor; Tony confirms the actual approved egress address.</w:t>
      </w:r>
    </w:p>
    <w:p>
      <w:pPr>
        <w:ind w:left="346" w:hanging="346"/>
      </w:pPr>
      <w:r>
        <w:rPr>
          <w:b/>
        </w:rPr>
        <w:t xml:space="preserve">4.  </w:t>
      </w:r>
      <w:r>
        <w:t>Acquire the release-specific container images and Helm chart through the approved staging path. Scan and checksum them, copy approved images into the private registry, and record versions and digests. Do not grant cluster-wide public Internet access to solve a staging problem.</w:t>
      </w:r>
    </w:p>
    <w:p>
      <w:pPr>
        <w:ind w:left="346" w:hanging="346"/>
      </w:pPr>
      <w:r>
        <w:rPr>
          <w:b/>
        </w:rPr>
        <w:t xml:space="preserve">5.  </w:t>
      </w:r>
      <w:r>
        <w:t>Test image pulls from the cluster and approved Object Storage operations using the intended identity. Validate the exact S3-compatible operations required by DataWalk; generic S3 compatibility is not a guarantee that every feature is supported.</w:t>
      </w:r>
    </w:p>
    <w:p>
      <w:pPr>
        <w:ind w:left="346" w:hanging="346"/>
      </w:pPr>
      <w:r>
        <w:rPr>
          <w:b/>
        </w:rPr>
        <w:t xml:space="preserve">6.  </w:t>
      </w:r>
      <w:r>
        <w:t>Michael, Renato and the authorized MSS operator install using the vendor-provided Helm chart and approved values. Capture the chart version, deployment command, release/namespace, PVCs and readiness results. Do not invent Helm values or replace the supported vendor process with a generic chart.</w:t>
      </w:r>
    </w:p>
    <w:p>
      <w:pPr>
        <w:ind w:left="346" w:hanging="346"/>
      </w:pPr>
      <w:r>
        <w:rPr>
          <w:b/>
        </w:rPr>
        <w:t xml:space="preserve">7.  </w:t>
      </w:r>
      <w:r>
        <w:t>Check pod readiness, persistent volumes, private HTTPS access and core application functions. Obtain MSS platform/application readiness before restoring the demo database. The prior appliance deployment process is different from this container installation.</w:t>
      </w:r>
    </w:p>
    <w:p>
      <w:r>
        <w:t>The Kubernetes host OS remains a decision gate: the E6/RHEL VM foundation is not itself managed OKE. For managed OKE, select a supported worker image with written vendor approval; if RHEL is mandatory, approve the self-managed design first. The current Terraform VM stack does not create Kubernetes, registry repositories or application buckets.</w:t>
      </w:r>
    </w:p>
    <w:p>
      <w:pPr>
        <w:pStyle w:val="Heading2"/>
        <w:keepNext/>
        <w:pageBreakBefore/>
      </w:pPr>
      <w:r>
        <w:t>9 3 Demo database migration and POC testing</w:t>
      </w:r>
    </w:p>
    <w:p>
      <w:r>
        <w:t>Stage the existing sanitized demo database rather than loading an arbitrary raw dataset. The call described a small case, roughly 50 GB, but the exact source and size still need confirmation. Treat 50 GB as a planning estimate, not a verified backup size or approved data classification.</w:t>
      </w:r>
    </w:p>
    <w:p>
      <w:pPr>
        <w:ind w:left="346" w:hanging="346"/>
      </w:pPr>
      <w:r>
        <w:rPr>
          <w:b/>
        </w:rPr>
        <w:t xml:space="preserve">1.  </w:t>
      </w:r>
      <w:r>
        <w:t>Michael and Renato confirm the correct source environment with the MSS team and identify the DataWalk-supported backup/export and restore procedure. Verify source-to-target release compatibility; do not import a legacy VM or restore unsupported database files directly.</w:t>
      </w:r>
    </w:p>
    <w:p>
      <w:pPr>
        <w:ind w:left="346" w:hanging="346"/>
      </w:pPr>
      <w:r>
        <w:rPr>
          <w:b/>
        </w:rPr>
        <w:t xml:space="preserve">2.  </w:t>
      </w:r>
      <w:r>
        <w:t>The data owner confirms sanitization and authorizes transfer. Record source, export time, size, checksum, retention and expected record/model counts. Do not infer authorization merely because the data was used for previous training or contract demonstrations.</w:t>
      </w:r>
    </w:p>
    <w:p>
      <w:pPr>
        <w:ind w:left="346" w:hanging="346"/>
      </w:pPr>
      <w:r>
        <w:rPr>
          <w:b/>
        </w:rPr>
        <w:t xml:space="preserve">3.  </w:t>
      </w:r>
      <w:r>
        <w:t>Charles coordinates with Adam and/or Vinny and the source owner to move the export from the existing environment to the approved Windows jump box, then to the private OCI staging bucket. Confirm permissions and scanning requirements before transfer.</w:t>
      </w:r>
    </w:p>
    <w:p>
      <w:pPr>
        <w:ind w:left="346" w:hanging="346"/>
      </w:pPr>
      <w:r>
        <w:rPr>
          <w:b/>
        </w:rPr>
        <w:t xml:space="preserve">4.  </w:t>
      </w:r>
      <w:r>
        <w:t>Verify the staged object's size and checksum, encryption and access controls. Retain transfer evidence and a rollback copy; remove unnecessary temporary copies only after the owner approves.</w:t>
      </w:r>
    </w:p>
    <w:p>
      <w:pPr>
        <w:ind w:left="346" w:hanging="346"/>
      </w:pPr>
      <w:r>
        <w:rPr>
          <w:b/>
        </w:rPr>
        <w:t xml:space="preserve">5.  </w:t>
      </w:r>
      <w:r>
        <w:t>After cluster and application readiness, restore/import using the vendor-supported procedure. Reconcile expected records, models and application state, then run a smoke test before regression testing.</w:t>
      </w:r>
    </w:p>
    <w:p>
      <w:r>
        <w:t>Data staging depends on working jump-box access and Object Storage, not on completed Kubernetes installation. Mo should schedule export and staging in parallel with cluster/image preparation. Allow one working day provisionally for the migration task and validate this estimate against size, scanning, permissions and throughput.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1"/>
        <w:gridCol w:w="7423"/>
      </w:tblGrid>
      <w:tr>
        <w:trPr>
          <w:tblHeader/>
          <w:cantSplit/>
        </w:trPr>
        <w:tc>
          <w:tcPr>
            <w:tcW w:type="dxa" w:w="2801"/>
            <w:vAlign w:val="center"/>
            <w:shd w:fill="1F4E78"/>
          </w:tcPr>
          <w:p>
            <w:pPr>
              <w:spacing w:after="0"/>
            </w:pPr>
            <w:r/>
            <w:r>
              <w:rPr>
                <w:rFonts w:ascii="Aptos" w:hAnsi="Aptos"/>
                <w:b/>
                <w:color w:val="FFFFFF"/>
                <w:sz w:val="18"/>
              </w:rPr>
              <w:t>Test</w:t>
            </w:r>
          </w:p>
        </w:tc>
        <w:tc>
          <w:tcPr>
            <w:tcW w:type="dxa" w:w="7423"/>
            <w:vAlign w:val="center"/>
            <w:shd w:fill="1F4E78"/>
          </w:tcPr>
          <w:p>
            <w:pPr>
              <w:spacing w:after="0"/>
            </w:pPr>
            <w:r/>
            <w:r>
              <w:rPr>
                <w:rFonts w:ascii="Aptos" w:hAnsi="Aptos"/>
                <w:b/>
                <w:color w:val="FFFFFF"/>
                <w:sz w:val="18"/>
              </w:rPr>
              <w:t>Acceptance evidence</w:t>
            </w:r>
          </w:p>
        </w:tc>
      </w:tr>
      <w:tr>
        <w:trPr>
          <w:cantSplit/>
        </w:trPr>
        <w:tc>
          <w:tcPr>
            <w:tcW w:type="dxa" w:w="2801"/>
            <w:vAlign w:val="center"/>
          </w:tcPr>
          <w:p>
            <w:pPr>
              <w:spacing w:after="0"/>
            </w:pPr>
            <w:r/>
            <w:r>
              <w:rPr>
                <w:rFonts w:ascii="Aptos" w:hAnsi="Aptos"/>
                <w:b w:val="0"/>
                <w:sz w:val="17"/>
              </w:rPr>
              <w:t>Smoke test</w:t>
            </w:r>
          </w:p>
        </w:tc>
        <w:tc>
          <w:tcPr>
            <w:tcW w:type="dxa" w:w="7423"/>
            <w:vAlign w:val="center"/>
          </w:tcPr>
          <w:p>
            <w:pPr>
              <w:spacing w:after="0"/>
            </w:pPr>
            <w:r/>
            <w:r>
              <w:rPr>
                <w:rFonts w:ascii="Aptos" w:hAnsi="Aptos"/>
                <w:b w:val="0"/>
                <w:sz w:val="17"/>
              </w:rPr>
              <w:t>Private login, core application functions, database access and basic workload work with no blocking errors</w:t>
            </w:r>
          </w:p>
        </w:tc>
      </w:tr>
      <w:tr>
        <w:trPr>
          <w:cantSplit/>
        </w:trPr>
        <w:tc>
          <w:tcPr>
            <w:tcW w:type="dxa" w:w="2801"/>
            <w:vAlign w:val="center"/>
            <w:shd w:fill="F2F2F2"/>
          </w:tcPr>
          <w:p>
            <w:pPr>
              <w:spacing w:after="0"/>
            </w:pPr>
            <w:r/>
            <w:r>
              <w:rPr>
                <w:rFonts w:ascii="Aptos" w:hAnsi="Aptos"/>
                <w:b w:val="0"/>
                <w:sz w:val="17"/>
              </w:rPr>
              <w:t>Demo restore integrity</w:t>
            </w:r>
          </w:p>
        </w:tc>
        <w:tc>
          <w:tcPr>
            <w:tcW w:type="dxa" w:w="7423"/>
            <w:vAlign w:val="center"/>
            <w:shd w:fill="F2F2F2"/>
          </w:tcPr>
          <w:p>
            <w:pPr>
              <w:spacing w:after="0"/>
            </w:pPr>
            <w:r/>
            <w:r>
              <w:rPr>
                <w:rFonts w:ascii="Aptos" w:hAnsi="Aptos"/>
                <w:b w:val="0"/>
                <w:sz w:val="17"/>
              </w:rPr>
              <w:t>Checksums, expected record/model counts and source-to-target compatibility checks pass</w:t>
            </w:r>
          </w:p>
        </w:tc>
      </w:tr>
      <w:tr>
        <w:trPr>
          <w:cantSplit/>
        </w:trPr>
        <w:tc>
          <w:tcPr>
            <w:tcW w:type="dxa" w:w="2801"/>
            <w:vAlign w:val="center"/>
          </w:tcPr>
          <w:p>
            <w:pPr>
              <w:spacing w:after="0"/>
            </w:pPr>
            <w:r/>
            <w:r>
              <w:rPr>
                <w:rFonts w:ascii="Aptos" w:hAnsi="Aptos"/>
                <w:b w:val="0"/>
                <w:sz w:val="17"/>
              </w:rPr>
              <w:t>Standard Dev regression suite</w:t>
            </w:r>
          </w:p>
        </w:tc>
        <w:tc>
          <w:tcPr>
            <w:tcW w:type="dxa" w:w="7423"/>
            <w:vAlign w:val="center"/>
          </w:tcPr>
          <w:p>
            <w:pPr>
              <w:spacing w:after="0"/>
            </w:pPr>
            <w:r/>
            <w:r>
              <w:rPr>
                <w:rFonts w:ascii="Aptos" w:hAnsi="Aptos"/>
                <w:b w:val="0"/>
                <w:sz w:val="17"/>
              </w:rPr>
              <w:t>MSS records each workflow's expected/actual result and defects against the existing demo-data suite</w:t>
            </w:r>
          </w:p>
        </w:tc>
      </w:tr>
      <w:tr>
        <w:trPr>
          <w:cantSplit/>
        </w:trPr>
        <w:tc>
          <w:tcPr>
            <w:tcW w:type="dxa" w:w="2801"/>
            <w:vAlign w:val="center"/>
            <w:shd w:fill="F2F2F2"/>
          </w:tcPr>
          <w:p>
            <w:pPr>
              <w:spacing w:after="0"/>
            </w:pPr>
            <w:r/>
            <w:r>
              <w:rPr>
                <w:rFonts w:ascii="Aptos" w:hAnsi="Aptos"/>
                <w:b w:val="0"/>
                <w:sz w:val="17"/>
              </w:rPr>
              <w:t>Resource behavior</w:t>
            </w:r>
          </w:p>
        </w:tc>
        <w:tc>
          <w:tcPr>
            <w:tcW w:type="dxa" w:w="7423"/>
            <w:vAlign w:val="center"/>
            <w:shd w:fill="F2F2F2"/>
          </w:tcPr>
          <w:p>
            <w:pPr>
              <w:spacing w:after="0"/>
            </w:pPr>
            <w:r/>
            <w:r>
              <w:rPr>
                <w:rFonts w:ascii="Aptos" w:hAnsi="Aptos"/>
                <w:b w:val="0"/>
                <w:sz w:val="17"/>
              </w:rPr>
              <w:t>Capture CPU, memory, storage IOPS/latency, network and elapsed times against agreed targets</w:t>
            </w:r>
          </w:p>
        </w:tc>
      </w:tr>
      <w:tr>
        <w:trPr>
          <w:cantSplit/>
        </w:trPr>
        <w:tc>
          <w:tcPr>
            <w:tcW w:type="dxa" w:w="2801"/>
            <w:vAlign w:val="center"/>
          </w:tcPr>
          <w:p>
            <w:pPr>
              <w:spacing w:after="0"/>
            </w:pPr>
            <w:r/>
            <w:r>
              <w:rPr>
                <w:rFonts w:ascii="Aptos" w:hAnsi="Aptos"/>
                <w:b w:val="0"/>
                <w:sz w:val="17"/>
              </w:rPr>
              <w:t>Recovery and restart</w:t>
            </w:r>
          </w:p>
        </w:tc>
        <w:tc>
          <w:tcPr>
            <w:tcW w:type="dxa" w:w="7423"/>
            <w:vAlign w:val="center"/>
          </w:tcPr>
          <w:p>
            <w:pPr>
              <w:spacing w:after="0"/>
            </w:pPr>
            <w:r/>
            <w:r>
              <w:rPr>
                <w:rFonts w:ascii="Aptos" w:hAnsi="Aptos"/>
                <w:b w:val="0"/>
                <w:sz w:val="17"/>
              </w:rPr>
              <w:t>Approved restart and restore tests pass without loss of expected application data</w:t>
            </w:r>
          </w:p>
        </w:tc>
      </w:tr>
    </w:tbl>
    <w:p>
      <w:pPr>
        <w:spacing w:after="0"/>
      </w:pPr>
    </w:p>
    <w:p>
      <w:r>
        <w:t>Keep the 15-day regression allowance until MSS approves a different scope. A shorter smoke-test milestone can be agreed if time is lost, but it must be labeled partial technical validation, not full UAT/regression acceptance. Live Hyperscience-to-DataWalk integration is deferred from this POC.</w:t>
      </w:r>
    </w:p>
    <w:p>
      <w:r>
        <w:t>Mark re-forwards the written success criteria discussed as sent around October 7. John, Charles and Mo align the acceptance scope and schedule with MSS. Target November 24, 2026 for technical completion and retain November 25 as the funding deadline, not a production go-live or ATO date. Mo circulates and baselines the schedule, then tracks weekly status and blockers.</w:t>
      </w:r>
    </w:p>
    <w:p>
      <w:r>
        <w:t>Before committing runtime spend, reconfirm remaining credits and other tenancy workloads, including database consumption. Long-term funding, ATO, production deployment and on-premises decommissioning require separate government decisions; no production ETA was committed on this call.</w:t>
      </w:r>
    </w:p>
    <w:p>
      <w:pPr>
        <w:pStyle w:val="Heading1"/>
        <w:keepNext/>
      </w:pPr>
      <w:r>
        <w:t>10 Rollback cleanup and recovery</w:t>
      </w:r>
    </w:p>
    <w:p>
      <w:pPr>
        <w:ind w:left="346" w:hanging="346"/>
      </w:pPr>
      <w:r>
        <w:rPr>
          <w:b/>
        </w:rPr>
        <w:t xml:space="preserve">1.  </w:t>
      </w:r>
      <w:r>
        <w:t>Stop application/vendor activity and preserve logs, screenshots, job IDs and state when a build or validation gate fails.</w:t>
      </w:r>
    </w:p>
    <w:p>
      <w:pPr>
        <w:ind w:left="346" w:hanging="346"/>
      </w:pPr>
      <w:r>
        <w:rPr>
          <w:b/>
        </w:rPr>
        <w:t xml:space="preserve">2.  </w:t>
      </w:r>
      <w:r>
        <w:t>For a failed ORM job, review state and work requests before rerunning. Do not manually delete individual stack-managed resources and then Apply without reconciliation.</w:t>
      </w:r>
    </w:p>
    <w:p>
      <w:pPr>
        <w:ind w:left="346" w:hanging="346"/>
      </w:pPr>
      <w:r>
        <w:rPr>
          <w:b/>
        </w:rPr>
        <w:t xml:space="preserve">3.  </w:t>
      </w:r>
      <w:r>
        <w:t>For rollback, detach preserved evidence/backup resources only if approved, then run an ORM Destroy plan and obtain the same change/funding/security approvals used for Apply.</w:t>
      </w:r>
    </w:p>
    <w:p>
      <w:pPr>
        <w:ind w:left="346" w:hanging="346"/>
      </w:pPr>
      <w:r>
        <w:rPr>
          <w:b/>
        </w:rPr>
        <w:t xml:space="preserve">4.  </w:t>
      </w:r>
      <w:r>
        <w:t>Confirm instances, volumes, VCN resources, DRG attachment, keys/secrets, DNS records, temporary policies, service accounts and test data are removed or transferred to an approved owner.</w:t>
      </w:r>
    </w:p>
    <w:p>
      <w:pPr>
        <w:ind w:left="346" w:hanging="346"/>
      </w:pPr>
      <w:r>
        <w:rPr>
          <w:b/>
        </w:rPr>
        <w:t xml:space="preserve">5.  </w:t>
      </w:r>
      <w:r>
        <w:t>Retain the final cost, evidence manifest, decisions, defects and lessons learned. Close the change only after inventory and billing checks show no orphaned resources.</w:t>
      </w:r>
    </w:p>
    <w:p>
      <w:pPr>
        <w:pStyle w:val="Heading2"/>
        <w:keepNext/>
      </w:pPr>
      <w:r>
        <w:t>10 1 Quick troubleshooting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1"/>
        <w:gridCol w:w="3781"/>
        <w:gridCol w:w="4412"/>
      </w:tblGrid>
      <w:tr>
        <w:trPr>
          <w:tblHeader/>
          <w:cantSplit/>
        </w:trPr>
        <w:tc>
          <w:tcPr>
            <w:tcW w:type="dxa" w:w="2031"/>
            <w:vAlign w:val="center"/>
            <w:shd w:fill="1F4E78"/>
          </w:tcPr>
          <w:p>
            <w:pPr>
              <w:spacing w:after="0"/>
            </w:pPr>
            <w:r/>
            <w:r>
              <w:rPr>
                <w:rFonts w:ascii="Aptos" w:hAnsi="Aptos"/>
                <w:b/>
                <w:color w:val="FFFFFF"/>
                <w:sz w:val="18"/>
              </w:rPr>
              <w:t>Symptom</w:t>
            </w:r>
          </w:p>
        </w:tc>
        <w:tc>
          <w:tcPr>
            <w:tcW w:type="dxa" w:w="3781"/>
            <w:vAlign w:val="center"/>
            <w:shd w:fill="1F4E78"/>
          </w:tcPr>
          <w:p>
            <w:pPr>
              <w:spacing w:after="0"/>
            </w:pPr>
            <w:r/>
            <w:r>
              <w:rPr>
                <w:rFonts w:ascii="Aptos" w:hAnsi="Aptos"/>
                <w:b/>
                <w:color w:val="FFFFFF"/>
                <w:sz w:val="18"/>
              </w:rPr>
              <w:t>Likely check</w:t>
            </w:r>
          </w:p>
        </w:tc>
        <w:tc>
          <w:tcPr>
            <w:tcW w:type="dxa" w:w="4412"/>
            <w:vAlign w:val="center"/>
            <w:shd w:fill="1F4E78"/>
          </w:tcPr>
          <w:p>
            <w:pPr>
              <w:spacing w:after="0"/>
            </w:pPr>
            <w:r/>
            <w:r>
              <w:rPr>
                <w:rFonts w:ascii="Aptos" w:hAnsi="Aptos"/>
                <w:b/>
                <w:color w:val="FFFFFF"/>
                <w:sz w:val="18"/>
              </w:rPr>
              <w:t>Safe response</w:t>
            </w:r>
          </w:p>
        </w:tc>
      </w:tr>
      <w:tr>
        <w:trPr>
          <w:cantSplit/>
        </w:trPr>
        <w:tc>
          <w:tcPr>
            <w:tcW w:type="dxa" w:w="2031"/>
            <w:vAlign w:val="center"/>
          </w:tcPr>
          <w:p>
            <w:pPr>
              <w:spacing w:after="0"/>
            </w:pPr>
            <w:r/>
            <w:r>
              <w:rPr>
                <w:rFonts w:ascii="Aptos" w:hAnsi="Aptos"/>
                <w:b w:val="0"/>
                <w:sz w:val="17"/>
              </w:rPr>
              <w:t>SSH timeout</w:t>
            </w:r>
          </w:p>
        </w:tc>
        <w:tc>
          <w:tcPr>
            <w:tcW w:type="dxa" w:w="3781"/>
            <w:vAlign w:val="center"/>
          </w:tcPr>
          <w:p>
            <w:pPr>
              <w:spacing w:after="0"/>
            </w:pPr>
            <w:r/>
            <w:r>
              <w:rPr>
                <w:rFonts w:ascii="Aptos" w:hAnsi="Aptos"/>
                <w:b w:val="0"/>
                <w:sz w:val="17"/>
              </w:rPr>
              <w:t>DRG routes, return route, firewall, NSG, source CIDR</w:t>
            </w:r>
          </w:p>
        </w:tc>
        <w:tc>
          <w:tcPr>
            <w:tcW w:type="dxa" w:w="4412"/>
            <w:vAlign w:val="center"/>
          </w:tcPr>
          <w:p>
            <w:pPr>
              <w:spacing w:after="0"/>
            </w:pPr>
            <w:r/>
            <w:r>
              <w:rPr>
                <w:rFonts w:ascii="Aptos" w:hAnsi="Aptos"/>
                <w:b w:val="0"/>
                <w:sz w:val="17"/>
              </w:rPr>
              <w:t>Test each hop; do not add a public IP</w:t>
            </w:r>
          </w:p>
        </w:tc>
      </w:tr>
      <w:tr>
        <w:trPr>
          <w:cantSplit/>
        </w:trPr>
        <w:tc>
          <w:tcPr>
            <w:tcW w:type="dxa" w:w="2031"/>
            <w:vAlign w:val="center"/>
            <w:shd w:fill="F2F2F2"/>
          </w:tcPr>
          <w:p>
            <w:pPr>
              <w:spacing w:after="0"/>
            </w:pPr>
            <w:r/>
            <w:r>
              <w:rPr>
                <w:rFonts w:ascii="Aptos" w:hAnsi="Aptos"/>
                <w:b w:val="0"/>
                <w:sz w:val="17"/>
              </w:rPr>
              <w:t>OCI APIs unreachable</w:t>
            </w:r>
          </w:p>
        </w:tc>
        <w:tc>
          <w:tcPr>
            <w:tcW w:type="dxa" w:w="3781"/>
            <w:vAlign w:val="center"/>
            <w:shd w:fill="F2F2F2"/>
          </w:tcPr>
          <w:p>
            <w:pPr>
              <w:spacing w:after="0"/>
            </w:pPr>
            <w:r/>
            <w:r>
              <w:rPr>
                <w:rFonts w:ascii="Aptos" w:hAnsi="Aptos"/>
                <w:b w:val="0"/>
                <w:sz w:val="17"/>
              </w:rPr>
              <w:t>Service Gateway route, NSG TCP/443, DNS</w:t>
            </w:r>
          </w:p>
        </w:tc>
        <w:tc>
          <w:tcPr>
            <w:tcW w:type="dxa" w:w="4412"/>
            <w:vAlign w:val="center"/>
            <w:shd w:fill="F2F2F2"/>
          </w:tcPr>
          <w:p>
            <w:pPr>
              <w:spacing w:after="0"/>
            </w:pPr>
            <w:r/>
            <w:r>
              <w:rPr>
                <w:rFonts w:ascii="Aptos" w:hAnsi="Aptos"/>
                <w:b w:val="0"/>
                <w:sz w:val="17"/>
              </w:rPr>
              <w:t>Correct routing/NSG; do not add broad Internet egress</w:t>
            </w:r>
          </w:p>
        </w:tc>
      </w:tr>
      <w:tr>
        <w:trPr>
          <w:cantSplit/>
        </w:trPr>
        <w:tc>
          <w:tcPr>
            <w:tcW w:type="dxa" w:w="2031"/>
            <w:vAlign w:val="center"/>
          </w:tcPr>
          <w:p>
            <w:pPr>
              <w:spacing w:after="0"/>
            </w:pPr>
            <w:r/>
            <w:r>
              <w:rPr>
                <w:rFonts w:ascii="Aptos" w:hAnsi="Aptos"/>
                <w:b w:val="0"/>
                <w:sz w:val="17"/>
              </w:rPr>
              <w:t>Nodes cannot form cluster</w:t>
            </w:r>
          </w:p>
        </w:tc>
        <w:tc>
          <w:tcPr>
            <w:tcW w:type="dxa" w:w="3781"/>
            <w:vAlign w:val="center"/>
          </w:tcPr>
          <w:p>
            <w:pPr>
              <w:spacing w:after="0"/>
            </w:pPr>
            <w:r/>
            <w:r>
              <w:rPr>
                <w:rFonts w:ascii="Aptos" w:hAnsi="Aptos"/>
                <w:b w:val="0"/>
                <w:sz w:val="17"/>
              </w:rPr>
              <w:t>Intra-node port matrix, CNI, DNS/NTP, certificates</w:t>
            </w:r>
          </w:p>
        </w:tc>
        <w:tc>
          <w:tcPr>
            <w:tcW w:type="dxa" w:w="4412"/>
            <w:vAlign w:val="center"/>
          </w:tcPr>
          <w:p>
            <w:pPr>
              <w:spacing w:after="0"/>
            </w:pPr>
            <w:r/>
            <w:r>
              <w:rPr>
                <w:rFonts w:ascii="Aptos" w:hAnsi="Aptos"/>
                <w:b w:val="0"/>
                <w:sz w:val="17"/>
              </w:rPr>
              <w:t>Use approved matrix and Kubernetes SME</w:t>
            </w:r>
          </w:p>
        </w:tc>
      </w:tr>
      <w:tr>
        <w:trPr>
          <w:cantSplit/>
        </w:trPr>
        <w:tc>
          <w:tcPr>
            <w:tcW w:type="dxa" w:w="2031"/>
            <w:vAlign w:val="center"/>
            <w:shd w:fill="F2F2F2"/>
          </w:tcPr>
          <w:p>
            <w:pPr>
              <w:spacing w:after="0"/>
            </w:pPr>
            <w:r/>
            <w:r>
              <w:rPr>
                <w:rFonts w:ascii="Aptos" w:hAnsi="Aptos"/>
                <w:b w:val="0"/>
                <w:sz w:val="17"/>
              </w:rPr>
              <w:t>Volume missing after reboot</w:t>
            </w:r>
          </w:p>
        </w:tc>
        <w:tc>
          <w:tcPr>
            <w:tcW w:type="dxa" w:w="3781"/>
            <w:vAlign w:val="center"/>
            <w:shd w:fill="F2F2F2"/>
          </w:tcPr>
          <w:p>
            <w:pPr>
              <w:spacing w:after="0"/>
            </w:pPr>
            <w:r/>
            <w:r>
              <w:rPr>
                <w:rFonts w:ascii="Aptos" w:hAnsi="Aptos"/>
                <w:b w:val="0"/>
                <w:sz w:val="17"/>
              </w:rPr>
              <w:t>Attachment, device mapping, UUID/fstab options</w:t>
            </w:r>
          </w:p>
        </w:tc>
        <w:tc>
          <w:tcPr>
            <w:tcW w:type="dxa" w:w="4412"/>
            <w:vAlign w:val="center"/>
            <w:shd w:fill="F2F2F2"/>
          </w:tcPr>
          <w:p>
            <w:pPr>
              <w:spacing w:after="0"/>
            </w:pPr>
            <w:r/>
            <w:r>
              <w:rPr>
                <w:rFonts w:ascii="Aptos" w:hAnsi="Aptos"/>
                <w:b w:val="0"/>
                <w:sz w:val="17"/>
              </w:rPr>
              <w:t>Recover mount safely; do not reformat</w:t>
            </w:r>
          </w:p>
        </w:tc>
      </w:tr>
      <w:tr>
        <w:trPr>
          <w:cantSplit/>
        </w:trPr>
        <w:tc>
          <w:tcPr>
            <w:tcW w:type="dxa" w:w="2031"/>
            <w:vAlign w:val="center"/>
          </w:tcPr>
          <w:p>
            <w:pPr>
              <w:spacing w:after="0"/>
            </w:pPr>
            <w:r/>
            <w:r>
              <w:rPr>
                <w:rFonts w:ascii="Aptos" w:hAnsi="Aptos"/>
                <w:b w:val="0"/>
                <w:sz w:val="17"/>
              </w:rPr>
              <w:t>Low IOPS/throughput</w:t>
            </w:r>
          </w:p>
        </w:tc>
        <w:tc>
          <w:tcPr>
            <w:tcW w:type="dxa" w:w="3781"/>
            <w:vAlign w:val="center"/>
          </w:tcPr>
          <w:p>
            <w:pPr>
              <w:spacing w:after="0"/>
            </w:pPr>
            <w:r/>
            <w:r>
              <w:rPr>
                <w:rFonts w:ascii="Aptos" w:hAnsi="Aptos"/>
                <w:b w:val="0"/>
                <w:sz w:val="17"/>
              </w:rPr>
              <w:t>Volume size/VPU tier and instance limits</w:t>
            </w:r>
          </w:p>
        </w:tc>
        <w:tc>
          <w:tcPr>
            <w:tcW w:type="dxa" w:w="4412"/>
            <w:vAlign w:val="center"/>
          </w:tcPr>
          <w:p>
            <w:pPr>
              <w:spacing w:after="0"/>
            </w:pPr>
            <w:r/>
            <w:r>
              <w:rPr>
                <w:rFonts w:ascii="Aptos" w:hAnsi="Aptos"/>
                <w:b w:val="0"/>
                <w:sz w:val="17"/>
              </w:rPr>
              <w:t>Measure first; change VPUs under change control</w:t>
            </w:r>
          </w:p>
        </w:tc>
      </w:tr>
      <w:tr>
        <w:trPr>
          <w:cantSplit/>
        </w:trPr>
        <w:tc>
          <w:tcPr>
            <w:tcW w:type="dxa" w:w="2031"/>
            <w:vAlign w:val="center"/>
            <w:shd w:fill="F2F2F2"/>
          </w:tcPr>
          <w:p>
            <w:pPr>
              <w:spacing w:after="0"/>
            </w:pPr>
            <w:r/>
            <w:r>
              <w:rPr>
                <w:rFonts w:ascii="Aptos" w:hAnsi="Aptos"/>
                <w:b w:val="0"/>
                <w:sz w:val="17"/>
              </w:rPr>
              <w:t>Vendor rejects OS/image</w:t>
            </w:r>
          </w:p>
        </w:tc>
        <w:tc>
          <w:tcPr>
            <w:tcW w:type="dxa" w:w="3781"/>
            <w:vAlign w:val="center"/>
            <w:shd w:fill="F2F2F2"/>
          </w:tcPr>
          <w:p>
            <w:pPr>
              <w:spacing w:after="0"/>
            </w:pPr>
            <w:r/>
            <w:r>
              <w:rPr>
                <w:rFonts w:ascii="Aptos" w:hAnsi="Aptos"/>
                <w:b w:val="0"/>
                <w:sz w:val="17"/>
              </w:rPr>
              <w:t>Signed version matrix</w:t>
            </w:r>
          </w:p>
        </w:tc>
        <w:tc>
          <w:tcPr>
            <w:tcW w:type="dxa" w:w="4412"/>
            <w:vAlign w:val="center"/>
            <w:shd w:fill="F2F2F2"/>
          </w:tcPr>
          <w:p>
            <w:pPr>
              <w:spacing w:after="0"/>
            </w:pPr>
            <w:r/>
            <w:r>
              <w:rPr>
                <w:rFonts w:ascii="Aptos" w:hAnsi="Aptos"/>
                <w:b w:val="0"/>
                <w:sz w:val="17"/>
              </w:rPr>
              <w:t>Stop; choose approved OKE image or self-managed RHEL path</w:t>
            </w:r>
          </w:p>
        </w:tc>
      </w:tr>
    </w:tbl>
    <w:p>
      <w:pPr>
        <w:spacing w:after="0"/>
      </w:pPr>
    </w:p>
    <w:p>
      <w:pPr>
        <w:pStyle w:val="Heading1"/>
        <w:keepNext/>
      </w:pPr>
      <w:r>
        <w:t>Appendix A Execution log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1"/>
        <w:gridCol w:w="1611"/>
        <w:gridCol w:w="3571"/>
        <w:gridCol w:w="1891"/>
        <w:gridCol w:w="1681"/>
      </w:tblGrid>
      <w:tr>
        <w:trPr>
          <w:tblHeader/>
          <w:cantSplit/>
        </w:trPr>
        <w:tc>
          <w:tcPr>
            <w:tcW w:type="dxa" w:w="1471"/>
            <w:vAlign w:val="center"/>
            <w:shd w:fill="1F4E78"/>
          </w:tcPr>
          <w:p>
            <w:pPr>
              <w:spacing w:after="0"/>
            </w:pPr>
            <w:r/>
            <w:r>
              <w:rPr>
                <w:rFonts w:ascii="Aptos" w:hAnsi="Aptos"/>
                <w:b/>
                <w:color w:val="FFFFFF"/>
                <w:sz w:val="18"/>
              </w:rPr>
              <w:t>UTC time</w:t>
            </w:r>
          </w:p>
        </w:tc>
        <w:tc>
          <w:tcPr>
            <w:tcW w:type="dxa" w:w="1611"/>
            <w:vAlign w:val="center"/>
            <w:shd w:fill="1F4E78"/>
          </w:tcPr>
          <w:p>
            <w:pPr>
              <w:spacing w:after="0"/>
            </w:pPr>
            <w:r/>
            <w:r>
              <w:rPr>
                <w:rFonts w:ascii="Aptos" w:hAnsi="Aptos"/>
                <w:b/>
                <w:color w:val="FFFFFF"/>
                <w:sz w:val="18"/>
              </w:rPr>
              <w:t>Operator</w:t>
            </w:r>
          </w:p>
        </w:tc>
        <w:tc>
          <w:tcPr>
            <w:tcW w:type="dxa" w:w="3571"/>
            <w:vAlign w:val="center"/>
            <w:shd w:fill="1F4E78"/>
          </w:tcPr>
          <w:p>
            <w:pPr>
              <w:spacing w:after="0"/>
            </w:pPr>
            <w:r/>
            <w:r>
              <w:rPr>
                <w:rFonts w:ascii="Aptos" w:hAnsi="Aptos"/>
                <w:b/>
                <w:color w:val="FFFFFF"/>
                <w:sz w:val="18"/>
              </w:rPr>
              <w:t>Step / command</w:t>
            </w:r>
          </w:p>
        </w:tc>
        <w:tc>
          <w:tcPr>
            <w:tcW w:type="dxa" w:w="1891"/>
            <w:vAlign w:val="center"/>
            <w:shd w:fill="1F4E78"/>
          </w:tcPr>
          <w:p>
            <w:pPr>
              <w:spacing w:after="0"/>
            </w:pPr>
            <w:r/>
            <w:r>
              <w:rPr>
                <w:rFonts w:ascii="Aptos" w:hAnsi="Aptos"/>
                <w:b/>
                <w:color w:val="FFFFFF"/>
                <w:sz w:val="18"/>
              </w:rPr>
              <w:t>Result</w:t>
            </w:r>
          </w:p>
        </w:tc>
        <w:tc>
          <w:tcPr>
            <w:tcW w:type="dxa" w:w="1681"/>
            <w:vAlign w:val="center"/>
            <w:shd w:fill="1F4E78"/>
          </w:tcPr>
          <w:p>
            <w:pPr>
              <w:spacing w:after="0"/>
            </w:pPr>
            <w:r/>
            <w:r>
              <w:rPr>
                <w:rFonts w:ascii="Aptos" w:hAnsi="Aptos"/>
                <w:b/>
                <w:color w:val="FFFFFF"/>
                <w:sz w:val="18"/>
              </w:rPr>
              <w:t>Evidence link</w:t>
            </w:r>
          </w:p>
        </w:tc>
      </w:tr>
      <w:tr>
        <w:trPr>
          <w:cantSplit/>
        </w:trPr>
        <w:tc>
          <w:tcPr>
            <w:tcW w:type="dxa" w:w="1471"/>
            <w:vAlign w:val="center"/>
          </w:tcPr>
          <w:p>
            <w:pPr>
              <w:spacing w:after="0"/>
            </w:pPr>
            <w:r/>
            <w:r>
              <w:rPr>
                <w:rFonts w:ascii="Aptos" w:hAnsi="Aptos"/>
                <w:b w:val="0"/>
                <w:sz w:val="17"/>
              </w:rPr>
            </w:r>
          </w:p>
        </w:tc>
        <w:tc>
          <w:tcPr>
            <w:tcW w:type="dxa" w:w="1611"/>
            <w:vAlign w:val="center"/>
          </w:tcPr>
          <w:p>
            <w:pPr>
              <w:spacing w:after="0"/>
            </w:pPr>
            <w:r/>
            <w:r>
              <w:rPr>
                <w:rFonts w:ascii="Aptos" w:hAnsi="Aptos"/>
                <w:b w:val="0"/>
                <w:sz w:val="17"/>
              </w:rPr>
            </w:r>
          </w:p>
        </w:tc>
        <w:tc>
          <w:tcPr>
            <w:tcW w:type="dxa" w:w="3571"/>
            <w:vAlign w:val="center"/>
          </w:tcPr>
          <w:p>
            <w:pPr>
              <w:spacing w:after="0"/>
            </w:pPr>
            <w:r/>
            <w:r>
              <w:rPr>
                <w:rFonts w:ascii="Aptos" w:hAnsi="Aptos"/>
                <w:b w:val="0"/>
                <w:sz w:val="17"/>
              </w:rPr>
            </w:r>
          </w:p>
        </w:tc>
        <w:tc>
          <w:tcPr>
            <w:tcW w:type="dxa" w:w="1891"/>
            <w:vAlign w:val="center"/>
          </w:tcPr>
          <w:p>
            <w:pPr>
              <w:spacing w:after="0"/>
            </w:pPr>
            <w:r/>
            <w:r>
              <w:rPr>
                <w:rFonts w:ascii="Aptos" w:hAnsi="Aptos"/>
                <w:b w:val="0"/>
                <w:sz w:val="17"/>
              </w:rPr>
              <w:t>PASS / FAIL / BLOCKED</w:t>
            </w:r>
          </w:p>
        </w:tc>
        <w:tc>
          <w:tcPr>
            <w:tcW w:type="dxa" w:w="1681"/>
            <w:vAlign w:val="center"/>
          </w:tcPr>
          <w:p>
            <w:pPr>
              <w:spacing w:after="0"/>
            </w:pPr>
            <w:r/>
            <w:r>
              <w:rPr>
                <w:rFonts w:ascii="Aptos" w:hAnsi="Aptos"/>
                <w:b w:val="0"/>
                <w:sz w:val="17"/>
              </w:rPr>
            </w:r>
          </w:p>
        </w:tc>
      </w:tr>
      <w:tr>
        <w:trPr>
          <w:cantSplit/>
        </w:trPr>
        <w:tc>
          <w:tcPr>
            <w:tcW w:type="dxa" w:w="1471"/>
            <w:vAlign w:val="center"/>
            <w:shd w:fill="F2F2F2"/>
          </w:tcPr>
          <w:p>
            <w:pPr>
              <w:spacing w:after="0"/>
            </w:pPr>
            <w:r/>
            <w:r>
              <w:rPr>
                <w:rFonts w:ascii="Aptos" w:hAnsi="Aptos"/>
                <w:b w:val="0"/>
                <w:sz w:val="17"/>
              </w:rPr>
            </w:r>
          </w:p>
        </w:tc>
        <w:tc>
          <w:tcPr>
            <w:tcW w:type="dxa" w:w="1611"/>
            <w:vAlign w:val="center"/>
            <w:shd w:fill="F2F2F2"/>
          </w:tcPr>
          <w:p>
            <w:pPr>
              <w:spacing w:after="0"/>
            </w:pPr>
            <w:r/>
            <w:r>
              <w:rPr>
                <w:rFonts w:ascii="Aptos" w:hAnsi="Aptos"/>
                <w:b w:val="0"/>
                <w:sz w:val="17"/>
              </w:rPr>
            </w:r>
          </w:p>
        </w:tc>
        <w:tc>
          <w:tcPr>
            <w:tcW w:type="dxa" w:w="3571"/>
            <w:vAlign w:val="center"/>
            <w:shd w:fill="F2F2F2"/>
          </w:tcPr>
          <w:p>
            <w:pPr>
              <w:spacing w:after="0"/>
            </w:pPr>
            <w:r/>
            <w:r>
              <w:rPr>
                <w:rFonts w:ascii="Aptos" w:hAnsi="Aptos"/>
                <w:b w:val="0"/>
                <w:sz w:val="17"/>
              </w:rPr>
            </w:r>
          </w:p>
        </w:tc>
        <w:tc>
          <w:tcPr>
            <w:tcW w:type="dxa" w:w="1891"/>
            <w:vAlign w:val="center"/>
            <w:shd w:fill="F2F2F2"/>
          </w:tcPr>
          <w:p>
            <w:pPr>
              <w:spacing w:after="0"/>
            </w:pPr>
            <w:r/>
            <w:r>
              <w:rPr>
                <w:rFonts w:ascii="Aptos" w:hAnsi="Aptos"/>
                <w:b w:val="0"/>
                <w:sz w:val="17"/>
              </w:rPr>
              <w:t>PASS / FAIL / BLOCKED</w:t>
            </w:r>
          </w:p>
        </w:tc>
        <w:tc>
          <w:tcPr>
            <w:tcW w:type="dxa" w:w="1681"/>
            <w:vAlign w:val="center"/>
            <w:shd w:fill="F2F2F2"/>
          </w:tcPr>
          <w:p>
            <w:pPr>
              <w:spacing w:after="0"/>
            </w:pPr>
            <w:r/>
            <w:r>
              <w:rPr>
                <w:rFonts w:ascii="Aptos" w:hAnsi="Aptos"/>
                <w:b w:val="0"/>
                <w:sz w:val="17"/>
              </w:rPr>
            </w:r>
          </w:p>
        </w:tc>
      </w:tr>
      <w:tr>
        <w:trPr>
          <w:cantSplit/>
        </w:trPr>
        <w:tc>
          <w:tcPr>
            <w:tcW w:type="dxa" w:w="1471"/>
            <w:vAlign w:val="center"/>
          </w:tcPr>
          <w:p>
            <w:pPr>
              <w:spacing w:after="0"/>
            </w:pPr>
            <w:r/>
            <w:r>
              <w:rPr>
                <w:rFonts w:ascii="Aptos" w:hAnsi="Aptos"/>
                <w:b w:val="0"/>
                <w:sz w:val="17"/>
              </w:rPr>
            </w:r>
          </w:p>
        </w:tc>
        <w:tc>
          <w:tcPr>
            <w:tcW w:type="dxa" w:w="1611"/>
            <w:vAlign w:val="center"/>
          </w:tcPr>
          <w:p>
            <w:pPr>
              <w:spacing w:after="0"/>
            </w:pPr>
            <w:r/>
            <w:r>
              <w:rPr>
                <w:rFonts w:ascii="Aptos" w:hAnsi="Aptos"/>
                <w:b w:val="0"/>
                <w:sz w:val="17"/>
              </w:rPr>
            </w:r>
          </w:p>
        </w:tc>
        <w:tc>
          <w:tcPr>
            <w:tcW w:type="dxa" w:w="3571"/>
            <w:vAlign w:val="center"/>
          </w:tcPr>
          <w:p>
            <w:pPr>
              <w:spacing w:after="0"/>
            </w:pPr>
            <w:r/>
            <w:r>
              <w:rPr>
                <w:rFonts w:ascii="Aptos" w:hAnsi="Aptos"/>
                <w:b w:val="0"/>
                <w:sz w:val="17"/>
              </w:rPr>
            </w:r>
          </w:p>
        </w:tc>
        <w:tc>
          <w:tcPr>
            <w:tcW w:type="dxa" w:w="1891"/>
            <w:vAlign w:val="center"/>
          </w:tcPr>
          <w:p>
            <w:pPr>
              <w:spacing w:after="0"/>
            </w:pPr>
            <w:r/>
            <w:r>
              <w:rPr>
                <w:rFonts w:ascii="Aptos" w:hAnsi="Aptos"/>
                <w:b w:val="0"/>
                <w:sz w:val="17"/>
              </w:rPr>
              <w:t>PASS / FAIL / BLOCKED</w:t>
            </w:r>
          </w:p>
        </w:tc>
        <w:tc>
          <w:tcPr>
            <w:tcW w:type="dxa" w:w="1681"/>
            <w:vAlign w:val="center"/>
          </w:tcPr>
          <w:p>
            <w:pPr>
              <w:spacing w:after="0"/>
            </w:pPr>
            <w:r/>
            <w:r>
              <w:rPr>
                <w:rFonts w:ascii="Aptos" w:hAnsi="Aptos"/>
                <w:b w:val="0"/>
                <w:sz w:val="17"/>
              </w:rPr>
            </w:r>
          </w:p>
        </w:tc>
      </w:tr>
      <w:tr>
        <w:trPr>
          <w:cantSplit/>
        </w:trPr>
        <w:tc>
          <w:tcPr>
            <w:tcW w:type="dxa" w:w="1471"/>
            <w:vAlign w:val="center"/>
            <w:shd w:fill="F2F2F2"/>
          </w:tcPr>
          <w:p>
            <w:pPr>
              <w:spacing w:after="0"/>
            </w:pPr>
            <w:r/>
            <w:r>
              <w:rPr>
                <w:rFonts w:ascii="Aptos" w:hAnsi="Aptos"/>
                <w:b w:val="0"/>
                <w:sz w:val="17"/>
              </w:rPr>
            </w:r>
          </w:p>
        </w:tc>
        <w:tc>
          <w:tcPr>
            <w:tcW w:type="dxa" w:w="1611"/>
            <w:vAlign w:val="center"/>
            <w:shd w:fill="F2F2F2"/>
          </w:tcPr>
          <w:p>
            <w:pPr>
              <w:spacing w:after="0"/>
            </w:pPr>
            <w:r/>
            <w:r>
              <w:rPr>
                <w:rFonts w:ascii="Aptos" w:hAnsi="Aptos"/>
                <w:b w:val="0"/>
                <w:sz w:val="17"/>
              </w:rPr>
            </w:r>
          </w:p>
        </w:tc>
        <w:tc>
          <w:tcPr>
            <w:tcW w:type="dxa" w:w="3571"/>
            <w:vAlign w:val="center"/>
            <w:shd w:fill="F2F2F2"/>
          </w:tcPr>
          <w:p>
            <w:pPr>
              <w:spacing w:after="0"/>
            </w:pPr>
            <w:r/>
            <w:r>
              <w:rPr>
                <w:rFonts w:ascii="Aptos" w:hAnsi="Aptos"/>
                <w:b w:val="0"/>
                <w:sz w:val="17"/>
              </w:rPr>
            </w:r>
          </w:p>
        </w:tc>
        <w:tc>
          <w:tcPr>
            <w:tcW w:type="dxa" w:w="1891"/>
            <w:vAlign w:val="center"/>
            <w:shd w:fill="F2F2F2"/>
          </w:tcPr>
          <w:p>
            <w:pPr>
              <w:spacing w:after="0"/>
            </w:pPr>
            <w:r/>
            <w:r>
              <w:rPr>
                <w:rFonts w:ascii="Aptos" w:hAnsi="Aptos"/>
                <w:b w:val="0"/>
                <w:sz w:val="17"/>
              </w:rPr>
              <w:t>PASS / FAIL / BLOCKED</w:t>
            </w:r>
          </w:p>
        </w:tc>
        <w:tc>
          <w:tcPr>
            <w:tcW w:type="dxa" w:w="1681"/>
            <w:vAlign w:val="center"/>
            <w:shd w:fill="F2F2F2"/>
          </w:tcPr>
          <w:p>
            <w:pPr>
              <w:spacing w:after="0"/>
            </w:pPr>
            <w:r/>
            <w:r>
              <w:rPr>
                <w:rFonts w:ascii="Aptos" w:hAnsi="Aptos"/>
                <w:b w:val="0"/>
                <w:sz w:val="17"/>
              </w:rPr>
            </w:r>
          </w:p>
        </w:tc>
      </w:tr>
      <w:tr>
        <w:trPr>
          <w:cantSplit/>
        </w:trPr>
        <w:tc>
          <w:tcPr>
            <w:tcW w:type="dxa" w:w="1471"/>
            <w:vAlign w:val="center"/>
          </w:tcPr>
          <w:p>
            <w:pPr>
              <w:spacing w:after="0"/>
            </w:pPr>
            <w:r/>
            <w:r>
              <w:rPr>
                <w:rFonts w:ascii="Aptos" w:hAnsi="Aptos"/>
                <w:b w:val="0"/>
                <w:sz w:val="17"/>
              </w:rPr>
            </w:r>
          </w:p>
        </w:tc>
        <w:tc>
          <w:tcPr>
            <w:tcW w:type="dxa" w:w="1611"/>
            <w:vAlign w:val="center"/>
          </w:tcPr>
          <w:p>
            <w:pPr>
              <w:spacing w:after="0"/>
            </w:pPr>
            <w:r/>
            <w:r>
              <w:rPr>
                <w:rFonts w:ascii="Aptos" w:hAnsi="Aptos"/>
                <w:b w:val="0"/>
                <w:sz w:val="17"/>
              </w:rPr>
            </w:r>
          </w:p>
        </w:tc>
        <w:tc>
          <w:tcPr>
            <w:tcW w:type="dxa" w:w="3571"/>
            <w:vAlign w:val="center"/>
          </w:tcPr>
          <w:p>
            <w:pPr>
              <w:spacing w:after="0"/>
            </w:pPr>
            <w:r/>
            <w:r>
              <w:rPr>
                <w:rFonts w:ascii="Aptos" w:hAnsi="Aptos"/>
                <w:b w:val="0"/>
                <w:sz w:val="17"/>
              </w:rPr>
            </w:r>
          </w:p>
        </w:tc>
        <w:tc>
          <w:tcPr>
            <w:tcW w:type="dxa" w:w="1891"/>
            <w:vAlign w:val="center"/>
          </w:tcPr>
          <w:p>
            <w:pPr>
              <w:spacing w:after="0"/>
            </w:pPr>
            <w:r/>
            <w:r>
              <w:rPr>
                <w:rFonts w:ascii="Aptos" w:hAnsi="Aptos"/>
                <w:b w:val="0"/>
                <w:sz w:val="17"/>
              </w:rPr>
              <w:t>PASS / FAIL / BLOCKED</w:t>
            </w:r>
          </w:p>
        </w:tc>
        <w:tc>
          <w:tcPr>
            <w:tcW w:type="dxa" w:w="1681"/>
            <w:vAlign w:val="center"/>
          </w:tcPr>
          <w:p>
            <w:pPr>
              <w:spacing w:after="0"/>
            </w:pPr>
            <w:r/>
            <w:r>
              <w:rPr>
                <w:rFonts w:ascii="Aptos" w:hAnsi="Aptos"/>
                <w:b w:val="0"/>
                <w:sz w:val="17"/>
              </w:rPr>
            </w:r>
          </w:p>
        </w:tc>
      </w:tr>
      <w:tr>
        <w:trPr>
          <w:cantSplit/>
        </w:trPr>
        <w:tc>
          <w:tcPr>
            <w:tcW w:type="dxa" w:w="1471"/>
            <w:vAlign w:val="center"/>
            <w:shd w:fill="F2F2F2"/>
          </w:tcPr>
          <w:p>
            <w:pPr>
              <w:spacing w:after="0"/>
            </w:pPr>
            <w:r/>
            <w:r>
              <w:rPr>
                <w:rFonts w:ascii="Aptos" w:hAnsi="Aptos"/>
                <w:b w:val="0"/>
                <w:sz w:val="17"/>
              </w:rPr>
            </w:r>
          </w:p>
        </w:tc>
        <w:tc>
          <w:tcPr>
            <w:tcW w:type="dxa" w:w="1611"/>
            <w:vAlign w:val="center"/>
            <w:shd w:fill="F2F2F2"/>
          </w:tcPr>
          <w:p>
            <w:pPr>
              <w:spacing w:after="0"/>
            </w:pPr>
            <w:r/>
            <w:r>
              <w:rPr>
                <w:rFonts w:ascii="Aptos" w:hAnsi="Aptos"/>
                <w:b w:val="0"/>
                <w:sz w:val="17"/>
              </w:rPr>
            </w:r>
          </w:p>
        </w:tc>
        <w:tc>
          <w:tcPr>
            <w:tcW w:type="dxa" w:w="3571"/>
            <w:vAlign w:val="center"/>
            <w:shd w:fill="F2F2F2"/>
          </w:tcPr>
          <w:p>
            <w:pPr>
              <w:spacing w:after="0"/>
            </w:pPr>
            <w:r/>
            <w:r>
              <w:rPr>
                <w:rFonts w:ascii="Aptos" w:hAnsi="Aptos"/>
                <w:b w:val="0"/>
                <w:sz w:val="17"/>
              </w:rPr>
            </w:r>
          </w:p>
        </w:tc>
        <w:tc>
          <w:tcPr>
            <w:tcW w:type="dxa" w:w="1891"/>
            <w:vAlign w:val="center"/>
            <w:shd w:fill="F2F2F2"/>
          </w:tcPr>
          <w:p>
            <w:pPr>
              <w:spacing w:after="0"/>
            </w:pPr>
            <w:r/>
            <w:r>
              <w:rPr>
                <w:rFonts w:ascii="Aptos" w:hAnsi="Aptos"/>
                <w:b w:val="0"/>
                <w:sz w:val="17"/>
              </w:rPr>
              <w:t>PASS / FAIL / BLOCKED</w:t>
            </w:r>
          </w:p>
        </w:tc>
        <w:tc>
          <w:tcPr>
            <w:tcW w:type="dxa" w:w="1681"/>
            <w:vAlign w:val="center"/>
            <w:shd w:fill="F2F2F2"/>
          </w:tcPr>
          <w:p>
            <w:pPr>
              <w:spacing w:after="0"/>
            </w:pPr>
            <w:r/>
            <w:r>
              <w:rPr>
                <w:rFonts w:ascii="Aptos" w:hAnsi="Aptos"/>
                <w:b w:val="0"/>
                <w:sz w:val="17"/>
              </w:rPr>
            </w:r>
          </w:p>
        </w:tc>
      </w:tr>
      <w:tr>
        <w:trPr>
          <w:cantSplit/>
        </w:trPr>
        <w:tc>
          <w:tcPr>
            <w:tcW w:type="dxa" w:w="1471"/>
            <w:vAlign w:val="center"/>
          </w:tcPr>
          <w:p>
            <w:pPr>
              <w:spacing w:after="0"/>
            </w:pPr>
            <w:r/>
            <w:r>
              <w:rPr>
                <w:rFonts w:ascii="Aptos" w:hAnsi="Aptos"/>
                <w:b w:val="0"/>
                <w:sz w:val="17"/>
              </w:rPr>
            </w:r>
          </w:p>
        </w:tc>
        <w:tc>
          <w:tcPr>
            <w:tcW w:type="dxa" w:w="1611"/>
            <w:vAlign w:val="center"/>
          </w:tcPr>
          <w:p>
            <w:pPr>
              <w:spacing w:after="0"/>
            </w:pPr>
            <w:r/>
            <w:r>
              <w:rPr>
                <w:rFonts w:ascii="Aptos" w:hAnsi="Aptos"/>
                <w:b w:val="0"/>
                <w:sz w:val="17"/>
              </w:rPr>
            </w:r>
          </w:p>
        </w:tc>
        <w:tc>
          <w:tcPr>
            <w:tcW w:type="dxa" w:w="3571"/>
            <w:vAlign w:val="center"/>
          </w:tcPr>
          <w:p>
            <w:pPr>
              <w:spacing w:after="0"/>
            </w:pPr>
            <w:r/>
            <w:r>
              <w:rPr>
                <w:rFonts w:ascii="Aptos" w:hAnsi="Aptos"/>
                <w:b w:val="0"/>
                <w:sz w:val="17"/>
              </w:rPr>
            </w:r>
          </w:p>
        </w:tc>
        <w:tc>
          <w:tcPr>
            <w:tcW w:type="dxa" w:w="1891"/>
            <w:vAlign w:val="center"/>
          </w:tcPr>
          <w:p>
            <w:pPr>
              <w:spacing w:after="0"/>
            </w:pPr>
            <w:r/>
            <w:r>
              <w:rPr>
                <w:rFonts w:ascii="Aptos" w:hAnsi="Aptos"/>
                <w:b w:val="0"/>
                <w:sz w:val="17"/>
              </w:rPr>
              <w:t>PASS / FAIL / BLOCKED</w:t>
            </w:r>
          </w:p>
        </w:tc>
        <w:tc>
          <w:tcPr>
            <w:tcW w:type="dxa" w:w="1681"/>
            <w:vAlign w:val="center"/>
          </w:tcPr>
          <w:p>
            <w:pPr>
              <w:spacing w:after="0"/>
            </w:pPr>
            <w:r/>
            <w:r>
              <w:rPr>
                <w:rFonts w:ascii="Aptos" w:hAnsi="Aptos"/>
                <w:b w:val="0"/>
                <w:sz w:val="17"/>
              </w:rPr>
            </w:r>
          </w:p>
        </w:tc>
      </w:tr>
      <w:tr>
        <w:trPr>
          <w:cantSplit/>
        </w:trPr>
        <w:tc>
          <w:tcPr>
            <w:tcW w:type="dxa" w:w="1471"/>
            <w:vAlign w:val="center"/>
            <w:shd w:fill="F2F2F2"/>
          </w:tcPr>
          <w:p>
            <w:pPr>
              <w:spacing w:after="0"/>
            </w:pPr>
            <w:r/>
            <w:r>
              <w:rPr>
                <w:rFonts w:ascii="Aptos" w:hAnsi="Aptos"/>
                <w:b w:val="0"/>
                <w:sz w:val="17"/>
              </w:rPr>
            </w:r>
          </w:p>
        </w:tc>
        <w:tc>
          <w:tcPr>
            <w:tcW w:type="dxa" w:w="1611"/>
            <w:vAlign w:val="center"/>
            <w:shd w:fill="F2F2F2"/>
          </w:tcPr>
          <w:p>
            <w:pPr>
              <w:spacing w:after="0"/>
            </w:pPr>
            <w:r/>
            <w:r>
              <w:rPr>
                <w:rFonts w:ascii="Aptos" w:hAnsi="Aptos"/>
                <w:b w:val="0"/>
                <w:sz w:val="17"/>
              </w:rPr>
            </w:r>
          </w:p>
        </w:tc>
        <w:tc>
          <w:tcPr>
            <w:tcW w:type="dxa" w:w="3571"/>
            <w:vAlign w:val="center"/>
            <w:shd w:fill="F2F2F2"/>
          </w:tcPr>
          <w:p>
            <w:pPr>
              <w:spacing w:after="0"/>
            </w:pPr>
            <w:r/>
            <w:r>
              <w:rPr>
                <w:rFonts w:ascii="Aptos" w:hAnsi="Aptos"/>
                <w:b w:val="0"/>
                <w:sz w:val="17"/>
              </w:rPr>
            </w:r>
          </w:p>
        </w:tc>
        <w:tc>
          <w:tcPr>
            <w:tcW w:type="dxa" w:w="1891"/>
            <w:vAlign w:val="center"/>
            <w:shd w:fill="F2F2F2"/>
          </w:tcPr>
          <w:p>
            <w:pPr>
              <w:spacing w:after="0"/>
            </w:pPr>
            <w:r/>
            <w:r>
              <w:rPr>
                <w:rFonts w:ascii="Aptos" w:hAnsi="Aptos"/>
                <w:b w:val="0"/>
                <w:sz w:val="17"/>
              </w:rPr>
              <w:t>PASS / FAIL / BLOCKED</w:t>
            </w:r>
          </w:p>
        </w:tc>
        <w:tc>
          <w:tcPr>
            <w:tcW w:type="dxa" w:w="1681"/>
            <w:vAlign w:val="center"/>
            <w:shd w:fill="F2F2F2"/>
          </w:tcPr>
          <w:p>
            <w:pPr>
              <w:spacing w:after="0"/>
            </w:pPr>
            <w:r/>
            <w:r>
              <w:rPr>
                <w:rFonts w:ascii="Aptos" w:hAnsi="Aptos"/>
                <w:b w:val="0"/>
                <w:sz w:val="17"/>
              </w:rPr>
            </w:r>
          </w:p>
        </w:tc>
      </w:tr>
    </w:tbl>
    <w:p>
      <w:pPr>
        <w:spacing w:after="0"/>
      </w:pPr>
    </w:p>
    <w:p>
      <w:pPr>
        <w:pStyle w:val="Heading1"/>
        <w:keepNext/>
      </w:pPr>
      <w:r>
        <w:t>Appendix B References</w:t>
      </w:r>
    </w:p>
    <w:p>
      <w:pPr>
        <w:spacing w:after="40"/>
      </w:pPr>
      <w:r>
        <w:rPr>
          <w:b/>
        </w:rPr>
        <w:t xml:space="preserve">[R1] DataWalk — Preparing for DataWalk on Containers. </w:t>
      </w:r>
      <w:r>
        <w:t>https://datawalk.com/preparing-for-datawalk-on-containers/</w:t>
      </w:r>
    </w:p>
    <w:p>
      <w:pPr>
        <w:spacing w:after="40"/>
      </w:pPr>
      <w:r>
        <w:rPr>
          <w:b/>
        </w:rPr>
        <w:t xml:space="preserve">[R2] Oracle — Supported OKE Worker Images and Shapes. </w:t>
      </w:r>
      <w:r>
        <w:t>https://docs.oracle.com/en-us/iaas/Content/ContEng/Reference/contengimagesshapes.htm</w:t>
      </w:r>
    </w:p>
    <w:p>
      <w:pPr>
        <w:spacing w:after="40"/>
      </w:pPr>
      <w:r>
        <w:rPr>
          <w:b/>
        </w:rPr>
        <w:t xml:space="preserve">[R3] Oracle — Supported Kubernetes Versions. </w:t>
      </w:r>
      <w:r>
        <w:t>https://docs.oracle.com/en-us/iaas/Content/ContEng/Concepts/contengaboutk8sversions.htm</w:t>
      </w:r>
    </w:p>
    <w:p>
      <w:pPr>
        <w:spacing w:after="40"/>
      </w:pPr>
      <w:r>
        <w:rPr>
          <w:b/>
        </w:rPr>
        <w:t xml:space="preserve">[R4] Oracle — OKE Network Resource Configuration. </w:t>
      </w:r>
      <w:r>
        <w:t>https://docs.oracle.com/en-us/iaas/Content/ContEng/Concepts/contengnetworkconfig.htm</w:t>
      </w:r>
    </w:p>
    <w:p>
      <w:pPr>
        <w:spacing w:after="40"/>
      </w:pPr>
      <w:r>
        <w:rPr>
          <w:b/>
        </w:rPr>
        <w:t xml:space="preserve">[R5] Oracle — OKE Security Best Practices. </w:t>
      </w:r>
      <w:r>
        <w:t>https://docs.oracle.com/en-us/iaas/Content/ContEng/Tasks/contengbestpractices_topic-Security-best-practices.htm</w:t>
      </w:r>
    </w:p>
    <w:p>
      <w:pPr>
        <w:spacing w:after="40"/>
      </w:pPr>
      <w:r>
        <w:rPr>
          <w:b/>
        </w:rPr>
        <w:t xml:space="preserve">[R6] Oracle — Compute Shapes. </w:t>
      </w:r>
      <w:r>
        <w:t>https://docs.oracle.com/en-us/iaas/Content/Compute/References/computeshapes.htm</w:t>
      </w:r>
    </w:p>
    <w:p>
      <w:pPr>
        <w:spacing w:after="40"/>
      </w:pPr>
      <w:r>
        <w:rPr>
          <w:b/>
        </w:rPr>
        <w:t xml:space="preserve">[R7] Oracle — Block Volume Performance. </w:t>
      </w:r>
      <w:r>
        <w:t>https://docs.oracle.com/en-us/iaas/Content/Block/Concepts/blockvolumeperformance.htm</w:t>
      </w:r>
    </w:p>
    <w:p>
      <w:pPr>
        <w:spacing w:after="40"/>
      </w:pPr>
      <w:r>
        <w:rPr>
          <w:b/>
        </w:rPr>
        <w:t xml:space="preserve">[R8] Oracle — Resource Manager Overview. </w:t>
      </w:r>
      <w:r>
        <w:t>https://docs.oracle.com/en-us/iaas/Content/ResourceManager/Concepts/resourcemanager.htm</w:t>
      </w:r>
    </w:p>
    <w:p>
      <w:pPr>
        <w:spacing w:after="40"/>
      </w:pPr>
      <w:r>
        <w:rPr>
          <w:b/>
        </w:rPr>
        <w:t xml:space="preserve">[R9] Oracle — Terraform Configurations for Resource Manager. </w:t>
      </w:r>
      <w:r>
        <w:t>https://docs.oracle.com/en-us/iaas/Content/ResourceManager/Concepts/terraformconfigresourcemanager.htm</w:t>
      </w:r>
    </w:p>
    <w:p>
      <w:pPr>
        <w:spacing w:after="40"/>
      </w:pPr>
      <w:r>
        <w:rPr>
          <w:b/>
        </w:rPr>
        <w:t xml:space="preserve">[R10] Oracle — Service Gateway. </w:t>
      </w:r>
      <w:r>
        <w:t>https://docs.oracle.com/en-us/iaas/Content/Network/Tasks/servicegateway.htm</w:t>
      </w:r>
    </w:p>
    <w:p>
      <w:pPr>
        <w:spacing w:after="40"/>
      </w:pPr>
      <w:r>
        <w:rPr>
          <w:b/>
        </w:rPr>
        <w:t xml:space="preserve">[R11] OCI DWHS repository — VM foundation stack. </w:t>
      </w:r>
      <w:r>
        <w:t>https://github.com/oci-appdev/dwhs/tree/main/terraform/oci-vm-foundation</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DataWalk POC — Nonproduction Only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DATAWALK OCI POC  |  INFRASTRUCTURE BUILD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after="60"/>
      <w:ind w:left="288"/>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DataWalk OCI POC Infrastructure Build Runbook</dc:title>
  <dc:subject>Dedicated DataWalk Dev-equivalent infrastructure build on OCI</dc:subject>
  <dc:creator>John Nguyen-Tran / OCI POC Team</dc:creator>
  <cp:keywords>OCI, DataWalk, POC, E6 Flex, Resource Manager, Kubernetes, RHEL 8.10</cp:keywords>
  <dc:description>generated by python-docx</dc:description>
  <cp:lastModifiedBy/>
  <cp:revision>1</cp:revision>
  <dcterms:created xsi:type="dcterms:W3CDTF">2013-12-23T23:15:00Z</dcterms:created>
  <dcterms:modified xsi:type="dcterms:W3CDTF">2013-12-23T23:15:00Z</dcterms:modified>
  <cp:category/>
</cp:coreProperties>
</file>