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jc w:val="center"/>
      </w:pPr>
      <w:r>
        <w:rPr>
          <w:rFonts w:ascii="Aptos Display" w:hAnsi="Aptos Display"/>
          <w:b/>
          <w:color w:val="000000"/>
          <w:sz w:val="56"/>
        </w:rPr>
        <w:t>Hyperscience OCI POC</w:t>
      </w:r>
    </w:p>
    <w:p>
      <w:pPr>
        <w:jc w:val="center"/>
      </w:pPr>
      <w:r>
        <w:rPr>
          <w:rFonts w:ascii="Aptos Display" w:hAnsi="Aptos Display"/>
          <w:b/>
          <w:sz w:val="44"/>
        </w:rPr>
        <w:t>Infrastructure Build Runbook</w:t>
      </w:r>
    </w:p>
    <w:p>
      <w:pPr>
        <w:jc w:val="center"/>
      </w:pPr>
      <w:r>
        <w:t>Dedicated Hyperscience Dev/Test-equivalent environment on OCI A10 GPU VMs</w:t>
        <w:br/>
      </w:r>
      <w:r>
        <w:rPr>
          <w:i/>
        </w:rPr>
        <w:t>POC only • No production • DataWalk excluded • Standalone VMs only • No OKE or Kubernetes</w:t>
      </w:r>
    </w:p>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val="true"/>
          <w:cantSplit/>
        </w:trPr>
        <w:tc>
          <w:tcPr>
            <w:tcW w:type="dxa" w:w="5112"/>
            <w:vAlign w:val="center"/>
            <w:shd w:fill="1F4E78"/>
          </w:tcPr>
          <w:p>
            <w:pPr>
              <w:spacing w:after="0"/>
            </w:pPr>
            <w:r/>
            <w:r>
              <w:rPr>
                <w:rFonts w:ascii="Aptos" w:hAnsi="Aptos"/>
                <w:b/>
                <w:color w:val="FFFFFF"/>
                <w:sz w:val="18"/>
              </w:rPr>
              <w:t>Document control</w:t>
            </w:r>
          </w:p>
        </w:tc>
        <w:tc>
          <w:tcPr>
            <w:tcW w:type="dxa" w:w="5112"/>
            <w:vAlign w:val="center"/>
            <w:shd w:fill="1F4E78"/>
          </w:tcPr>
          <w:p>
            <w:pPr>
              <w:spacing w:after="0"/>
            </w:pPr>
            <w:r/>
            <w:r>
              <w:rPr>
                <w:rFonts w:ascii="Aptos" w:hAnsi="Aptos"/>
                <w:b/>
                <w:color w:val="FFFFFF"/>
                <w:sz w:val="18"/>
              </w:rPr>
              <w:t>Value</w:t>
            </w:r>
          </w:p>
        </w:tc>
      </w:tr>
      <w:tr>
        <w:trPr>
          <w:cantSplit/>
        </w:trPr>
        <w:tc>
          <w:tcPr>
            <w:tcW w:type="dxa" w:w="5112"/>
            <w:vAlign w:val="center"/>
          </w:tcPr>
          <w:p>
            <w:pPr>
              <w:spacing w:after="0"/>
            </w:pPr>
            <w:r/>
            <w:r>
              <w:rPr>
                <w:rFonts w:ascii="Aptos" w:hAnsi="Aptos"/>
                <w:b w:val="0"/>
                <w:sz w:val="17"/>
              </w:rPr>
              <w:t>Version</w:t>
            </w:r>
          </w:p>
        </w:tc>
        <w:tc>
          <w:tcPr>
            <w:tcW w:type="dxa" w:w="5112"/>
            <w:vAlign w:val="center"/>
          </w:tcPr>
          <w:p>
            <w:pPr>
              <w:spacing w:after="0"/>
            </w:pPr>
            <w:r/>
            <w:r>
              <w:rPr>
                <w:rFonts w:ascii="Aptos" w:hAnsi="Aptos"/>
                <w:b w:val="0"/>
                <w:sz w:val="17"/>
              </w:rPr>
              <w:t>2.2 - October 14 discovery update</w:t>
            </w:r>
          </w:p>
        </w:tc>
      </w:tr>
      <w:tr>
        <w:trPr>
          <w:cantSplit/>
        </w:trPr>
        <w:tc>
          <w:tcPr>
            <w:tcW w:type="dxa" w:w="5112"/>
            <w:vAlign w:val="center"/>
            <w:shd w:fill="F2F2F2"/>
          </w:tcPr>
          <w:p>
            <w:pPr>
              <w:spacing w:after="0"/>
            </w:pPr>
            <w:r/>
            <w:r>
              <w:rPr>
                <w:rFonts w:ascii="Aptos" w:hAnsi="Aptos"/>
                <w:b w:val="0"/>
                <w:sz w:val="17"/>
              </w:rPr>
              <w:t>Date</w:t>
            </w:r>
          </w:p>
        </w:tc>
        <w:tc>
          <w:tcPr>
            <w:tcW w:type="dxa" w:w="5112"/>
            <w:vAlign w:val="center"/>
            <w:shd w:fill="F2F2F2"/>
          </w:tcPr>
          <w:p>
            <w:pPr>
              <w:spacing w:after="0"/>
            </w:pPr>
            <w:r/>
            <w:r>
              <w:rPr>
                <w:rFonts w:ascii="Aptos" w:hAnsi="Aptos"/>
                <w:b w:val="0"/>
                <w:sz w:val="17"/>
              </w:rPr>
              <w:t>October 14, 2026</w:t>
            </w:r>
          </w:p>
        </w:tc>
      </w:tr>
      <w:tr>
        <w:trPr>
          <w:cantSplit/>
        </w:trPr>
        <w:tc>
          <w:tcPr>
            <w:tcW w:type="dxa" w:w="5112"/>
            <w:vAlign w:val="center"/>
          </w:tcPr>
          <w:p>
            <w:pPr>
              <w:spacing w:after="0"/>
            </w:pPr>
            <w:r/>
            <w:r>
              <w:rPr>
                <w:rFonts w:ascii="Aptos" w:hAnsi="Aptos"/>
                <w:b w:val="0"/>
                <w:sz w:val="17"/>
              </w:rPr>
              <w:t>Owner</w:t>
            </w:r>
          </w:p>
        </w:tc>
        <w:tc>
          <w:tcPr>
            <w:tcW w:type="dxa" w:w="5112"/>
            <w:vAlign w:val="center"/>
          </w:tcPr>
          <w:p>
            <w:pPr>
              <w:spacing w:after="0"/>
            </w:pPr>
            <w:r/>
            <w:r>
              <w:rPr>
                <w:rFonts w:ascii="Aptos" w:hAnsi="Aptos"/>
                <w:b w:val="0"/>
                <w:sz w:val="17"/>
              </w:rPr>
              <w:t>John Nguyen-Tran / OCI POC Lead</w:t>
            </w:r>
          </w:p>
        </w:tc>
      </w:tr>
      <w:tr>
        <w:trPr>
          <w:cantSplit/>
        </w:trPr>
        <w:tc>
          <w:tcPr>
            <w:tcW w:type="dxa" w:w="5112"/>
            <w:vAlign w:val="center"/>
            <w:shd w:fill="F2F2F2"/>
          </w:tcPr>
          <w:p>
            <w:pPr>
              <w:spacing w:after="0"/>
            </w:pPr>
            <w:r/>
            <w:r>
              <w:rPr>
                <w:rFonts w:ascii="Aptos" w:hAnsi="Aptos"/>
                <w:b w:val="0"/>
                <w:sz w:val="17"/>
              </w:rPr>
              <w:t>Execution status</w:t>
            </w:r>
          </w:p>
        </w:tc>
        <w:tc>
          <w:tcPr>
            <w:tcW w:type="dxa" w:w="5112"/>
            <w:vAlign w:val="center"/>
            <w:shd w:fill="F2F2F2"/>
          </w:tcPr>
          <w:p>
            <w:pPr>
              <w:spacing w:after="0"/>
            </w:pPr>
            <w:r/>
            <w:r>
              <w:rPr>
                <w:rFonts w:ascii="Aptos" w:hAnsi="Aptos"/>
                <w:b w:val="0"/>
                <w:sz w:val="17"/>
              </w:rPr>
              <w:t>NOT EXECUTED — operator runbook</w:t>
            </w:r>
          </w:p>
        </w:tc>
      </w:tr>
      <w:tr>
        <w:trPr>
          <w:cantSplit/>
        </w:trPr>
        <w:tc>
          <w:tcPr>
            <w:tcW w:type="dxa" w:w="5112"/>
            <w:vAlign w:val="center"/>
          </w:tcPr>
          <w:p>
            <w:pPr>
              <w:spacing w:after="0"/>
            </w:pPr>
            <w:r/>
            <w:r>
              <w:rPr>
                <w:rFonts w:ascii="Aptos" w:hAnsi="Aptos"/>
                <w:b w:val="0"/>
                <w:sz w:val="17"/>
              </w:rPr>
              <w:t>Target</w:t>
            </w:r>
          </w:p>
        </w:tc>
        <w:tc>
          <w:tcPr>
            <w:tcW w:type="dxa" w:w="5112"/>
            <w:vAlign w:val="center"/>
          </w:tcPr>
          <w:p>
            <w:pPr>
              <w:spacing w:after="0"/>
            </w:pPr>
            <w:r/>
            <w:r>
              <w:rPr>
                <w:rFonts w:ascii="Aptos" w:hAnsi="Aptos"/>
                <w:b w:val="0"/>
                <w:sz w:val="17"/>
              </w:rPr>
              <w:t>One Hyperscience nonproduction technical validation environment</w:t>
            </w:r>
          </w:p>
        </w:tc>
      </w:tr>
      <w:tr>
        <w:trPr>
          <w:cantSplit/>
        </w:trPr>
        <w:tc>
          <w:tcPr>
            <w:tcW w:type="dxa" w:w="5112"/>
            <w:vAlign w:val="center"/>
            <w:shd w:fill="F2F2F2"/>
          </w:tcPr>
          <w:p>
            <w:pPr>
              <w:spacing w:after="0"/>
            </w:pPr>
            <w:r/>
            <w:r>
              <w:rPr>
                <w:rFonts w:ascii="Aptos" w:hAnsi="Aptos"/>
                <w:b w:val="0"/>
                <w:sz w:val="17"/>
              </w:rPr>
              <w:t>Repository</w:t>
            </w:r>
          </w:p>
        </w:tc>
        <w:tc>
          <w:tcPr>
            <w:tcW w:type="dxa" w:w="5112"/>
            <w:vAlign w:val="center"/>
            <w:shd w:fill="F2F2F2"/>
          </w:tcPr>
          <w:p>
            <w:pPr>
              <w:spacing w:after="0"/>
            </w:pPr>
            <w:r/>
            <w:r>
              <w:rPr>
                <w:rFonts w:ascii="Aptos" w:hAnsi="Aptos"/>
                <w:b w:val="0"/>
                <w:sz w:val="17"/>
              </w:rPr>
              <w:t>oci-appdev/dwhs</w:t>
            </w:r>
          </w:p>
        </w:tc>
      </w:tr>
      <w:tr>
        <w:trPr>
          <w:cantSplit/>
        </w:trPr>
        <w:tc>
          <w:tcPr>
            <w:tcW w:type="dxa" w:w="5112"/>
            <w:vAlign w:val="center"/>
          </w:tcPr>
          <w:p>
            <w:pPr>
              <w:spacing w:after="0"/>
            </w:pPr>
            <w:r/>
            <w:r>
              <w:rPr>
                <w:rFonts w:ascii="Aptos" w:hAnsi="Aptos"/>
                <w:b w:val="0"/>
                <w:sz w:val="17"/>
              </w:rPr>
              <w:t>IaC baseline</w:t>
            </w:r>
          </w:p>
        </w:tc>
        <w:tc>
          <w:tcPr>
            <w:tcW w:type="dxa" w:w="5112"/>
            <w:vAlign w:val="center"/>
          </w:tcPr>
          <w:p>
            <w:pPr>
              <w:spacing w:after="0"/>
            </w:pPr>
            <w:r/>
            <w:r>
              <w:rPr>
                <w:rFonts w:ascii="Aptos" w:hAnsi="Aptos"/>
                <w:b w:val="0"/>
                <w:sz w:val="17"/>
              </w:rPr>
              <w:t>terraform/oci-vm-foundation (Oracle Resource Manager)</w:t>
            </w:r>
          </w:p>
        </w:tc>
      </w:tr>
    </w:tbl>
    <w:p>
      <w:pPr>
        <w:spacing w:after="0"/>
      </w:pPr>
    </w:p>
    <w:p>
      <w:r>
        <w:rPr>
          <w:b/>
        </w:rPr>
        <w:t xml:space="preserve">POC BOUNDARY  </w:t>
      </w:r>
      <w:r>
        <w:t>Build a new Hyperscience nonproduction environment on standalone OCI Compute with Podman, then import application assets and test them. Production, DataWalk integration, OKE, Kubernetes, Helm and ATO approval are excluded. Target technical completion is November 24, 2026, ahead of the November 25 funding deadline. No execution or approval is implied by this document.</w:t>
      </w:r>
    </w:p>
    <w:p>
      <w:r>
        <w:br w:type="page"/>
      </w:r>
    </w:p>
    <w:p>
      <w:pPr>
        <w:pStyle w:val="Heading1"/>
        <w:keepNext/>
      </w:pPr>
      <w:r>
        <w:t>1 Purpose and fixed POC architecture</w:t>
      </w:r>
    </w:p>
    <w:p>
      <w:r>
        <w:t>Use this runbook to provision, harden, validate, document, and hand off a private Hyperscience POC on OCI Government Cloud. The POC is a disposable technical validation environment and must not be upgraded in place or converted into production.</w:t>
      </w:r>
    </w:p>
    <w:p>
      <w:pPr>
        <w:pStyle w:val="Heading2"/>
        <w:keepNext/>
      </w:pPr>
      <w:r>
        <w:t>1 1 Included and excluded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val="true"/>
          <w:cantSplit/>
        </w:trPr>
        <w:tc>
          <w:tcPr>
            <w:tcW w:type="dxa" w:w="5112"/>
            <w:vAlign w:val="center"/>
            <w:shd w:fill="1F4E78"/>
          </w:tcPr>
          <w:p>
            <w:pPr>
              <w:spacing w:after="0"/>
            </w:pPr>
            <w:r/>
            <w:r>
              <w:rPr>
                <w:rFonts w:ascii="Aptos" w:hAnsi="Aptos"/>
                <w:b/>
                <w:color w:val="FFFFFF"/>
                <w:sz w:val="18"/>
              </w:rPr>
              <w:t>Included</w:t>
            </w:r>
          </w:p>
        </w:tc>
        <w:tc>
          <w:tcPr>
            <w:tcW w:type="dxa" w:w="5112"/>
            <w:vAlign w:val="center"/>
            <w:shd w:fill="1F4E78"/>
          </w:tcPr>
          <w:p>
            <w:pPr>
              <w:spacing w:after="0"/>
            </w:pPr>
            <w:r/>
            <w:r>
              <w:rPr>
                <w:rFonts w:ascii="Aptos" w:hAnsi="Aptos"/>
                <w:b/>
                <w:color w:val="FFFFFF"/>
                <w:sz w:val="18"/>
              </w:rPr>
              <w:t>Excluded</w:t>
            </w:r>
          </w:p>
        </w:tc>
      </w:tr>
      <w:tr>
        <w:trPr>
          <w:cantSplit/>
        </w:trPr>
        <w:tc>
          <w:tcPr>
            <w:tcW w:type="dxa" w:w="5112"/>
            <w:vAlign w:val="center"/>
          </w:tcPr>
          <w:p>
            <w:pPr>
              <w:spacing w:after="0"/>
            </w:pPr>
            <w:r/>
            <w:r>
              <w:rPr>
                <w:rFonts w:ascii="Aptos" w:hAnsi="Aptos"/>
                <w:b w:val="0"/>
                <w:sz w:val="17"/>
              </w:rPr>
              <w:t>One isolated Hyperscience Dev/Test-equivalent environment</w:t>
            </w:r>
          </w:p>
        </w:tc>
        <w:tc>
          <w:tcPr>
            <w:tcW w:type="dxa" w:w="5112"/>
            <w:vAlign w:val="center"/>
          </w:tcPr>
          <w:p>
            <w:pPr>
              <w:spacing w:after="0"/>
            </w:pPr>
            <w:r/>
            <w:r>
              <w:rPr>
                <w:rFonts w:ascii="Aptos" w:hAnsi="Aptos"/>
                <w:b w:val="0"/>
                <w:sz w:val="17"/>
              </w:rPr>
              <w:t>Hyperscience Production or HA/DR</w:t>
            </w:r>
          </w:p>
        </w:tc>
      </w:tr>
      <w:tr>
        <w:trPr>
          <w:cantSplit/>
        </w:trPr>
        <w:tc>
          <w:tcPr>
            <w:tcW w:type="dxa" w:w="5112"/>
            <w:vAlign w:val="center"/>
            <w:shd w:fill="F2F2F2"/>
          </w:tcPr>
          <w:p>
            <w:pPr>
              <w:spacing w:after="0"/>
            </w:pPr>
            <w:r/>
            <w:r>
              <w:rPr>
                <w:rFonts w:ascii="Aptos" w:hAnsi="Aptos"/>
                <w:b w:val="0"/>
                <w:sz w:val="17"/>
              </w:rPr>
              <w:t>One A10.2 application VM as the discovery baseline; trainer only if confirmed</w:t>
            </w:r>
          </w:p>
        </w:tc>
        <w:tc>
          <w:tcPr>
            <w:tcW w:type="dxa" w:w="5112"/>
            <w:vAlign w:val="center"/>
            <w:shd w:fill="F2F2F2"/>
          </w:tcPr>
          <w:p>
            <w:pPr>
              <w:spacing w:after="0"/>
            </w:pPr>
            <w:r/>
            <w:r>
              <w:rPr>
                <w:rFonts w:ascii="Aptos" w:hAnsi="Aptos"/>
                <w:b w:val="0"/>
                <w:sz w:val="17"/>
              </w:rPr>
              <w:t>Unapproved mandatory second GPU VM or co-location with DataWalk</w:t>
            </w:r>
          </w:p>
        </w:tc>
      </w:tr>
      <w:tr>
        <w:trPr>
          <w:cantSplit/>
        </w:trPr>
        <w:tc>
          <w:tcPr>
            <w:tcW w:type="dxa" w:w="5112"/>
            <w:vAlign w:val="center"/>
          </w:tcPr>
          <w:p>
            <w:pPr>
              <w:spacing w:after="0"/>
            </w:pPr>
            <w:r/>
            <w:r>
              <w:rPr>
                <w:rFonts w:ascii="Aptos" w:hAnsi="Aptos"/>
                <w:b w:val="0"/>
                <w:sz w:val="17"/>
              </w:rPr>
              <w:t>RHEL 8.10, Podman, NVIDIA drivers and container-toolkit readiness</w:t>
            </w:r>
          </w:p>
        </w:tc>
        <w:tc>
          <w:tcPr>
            <w:tcW w:type="dxa" w:w="5112"/>
            <w:vAlign w:val="center"/>
          </w:tcPr>
          <w:p>
            <w:pPr>
              <w:spacing w:after="0"/>
            </w:pPr>
            <w:r/>
            <w:r>
              <w:rPr>
                <w:rFonts w:ascii="Aptos" w:hAnsi="Aptos"/>
                <w:b w:val="0"/>
                <w:sz w:val="17"/>
              </w:rPr>
              <w:t>OKE, self-managed Kubernetes or Helm</w:t>
            </w:r>
          </w:p>
        </w:tc>
      </w:tr>
      <w:tr>
        <w:trPr>
          <w:cantSplit/>
        </w:trPr>
        <w:tc>
          <w:tcPr>
            <w:tcW w:type="dxa" w:w="5112"/>
            <w:vAlign w:val="center"/>
            <w:shd w:fill="F2F2F2"/>
          </w:tcPr>
          <w:p>
            <w:pPr>
              <w:spacing w:after="0"/>
            </w:pPr>
            <w:r/>
            <w:r>
              <w:rPr>
                <w:rFonts w:ascii="Aptos" w:hAnsi="Aptos"/>
                <w:b w:val="0"/>
                <w:sz w:val="17"/>
              </w:rPr>
              <w:t>Private VCN/subnet, FastConnect/DRG path, NSGs and private DNS</w:t>
            </w:r>
          </w:p>
        </w:tc>
        <w:tc>
          <w:tcPr>
            <w:tcW w:type="dxa" w:w="5112"/>
            <w:vAlign w:val="center"/>
            <w:shd w:fill="F2F2F2"/>
          </w:tcPr>
          <w:p>
            <w:pPr>
              <w:spacing w:after="0"/>
            </w:pPr>
            <w:r/>
            <w:r>
              <w:rPr>
                <w:rFonts w:ascii="Aptos" w:hAnsi="Aptos"/>
                <w:b w:val="0"/>
                <w:sz w:val="17"/>
              </w:rPr>
              <w:t>Public IPs, Internet gateway or direct Internet administration</w:t>
            </w:r>
          </w:p>
        </w:tc>
      </w:tr>
      <w:tr>
        <w:trPr>
          <w:cantSplit/>
        </w:trPr>
        <w:tc>
          <w:tcPr>
            <w:tcW w:type="dxa" w:w="5112"/>
            <w:vAlign w:val="center"/>
          </w:tcPr>
          <w:p>
            <w:pPr>
              <w:spacing w:after="0"/>
            </w:pPr>
            <w:r/>
            <w:r>
              <w:rPr>
                <w:rFonts w:ascii="Aptos" w:hAnsi="Aptos"/>
                <w:b w:val="0"/>
                <w:sz w:val="17"/>
              </w:rPr>
              <w:t>Database and file store documented from the existing deployment and approved bundle</w:t>
            </w:r>
          </w:p>
        </w:tc>
        <w:tc>
          <w:tcPr>
            <w:tcW w:type="dxa" w:w="5112"/>
            <w:vAlign w:val="center"/>
          </w:tcPr>
          <w:p>
            <w:pPr>
              <w:spacing w:after="0"/>
            </w:pPr>
            <w:r/>
            <w:r>
              <w:rPr>
                <w:rFonts w:ascii="Aptos" w:hAnsi="Aptos"/>
                <w:b w:val="0"/>
                <w:sz w:val="17"/>
              </w:rPr>
              <w:t>Assuming the standard bundle is identical to a TVE bundle</w:t>
            </w:r>
          </w:p>
        </w:tc>
      </w:tr>
      <w:tr>
        <w:trPr>
          <w:cantSplit/>
        </w:trPr>
        <w:tc>
          <w:tcPr>
            <w:tcW w:type="dxa" w:w="5112"/>
            <w:vAlign w:val="center"/>
            <w:shd w:fill="F2F2F2"/>
          </w:tcPr>
          <w:p>
            <w:pPr>
              <w:spacing w:after="0"/>
            </w:pPr>
            <w:r/>
            <w:r>
              <w:rPr>
                <w:rFonts w:ascii="Aptos" w:hAnsi="Aptos"/>
                <w:b w:val="0"/>
                <w:sz w:val="17"/>
              </w:rPr>
              <w:t>Logging, monitoring, backup evidence, security validation and teardown</w:t>
            </w:r>
          </w:p>
        </w:tc>
        <w:tc>
          <w:tcPr>
            <w:tcW w:type="dxa" w:w="5112"/>
            <w:vAlign w:val="center"/>
            <w:shd w:fill="F2F2F2"/>
          </w:tcPr>
          <w:p>
            <w:pPr>
              <w:spacing w:after="0"/>
            </w:pPr>
            <w:r/>
            <w:r>
              <w:rPr>
                <w:rFonts w:ascii="Aptos" w:hAnsi="Aptos"/>
                <w:b w:val="0"/>
                <w:sz w:val="17"/>
              </w:rPr>
              <w:t>Hyperscience license, bundle or application configuration ownership</w:t>
            </w:r>
          </w:p>
        </w:tc>
      </w:tr>
    </w:tbl>
    <w:p>
      <w:pPr>
        <w:spacing w:after="0"/>
      </w:pPr>
    </w:p>
    <w:p>
      <w:pPr>
        <w:pStyle w:val="Heading2"/>
        <w:keepNext/>
      </w:pPr>
      <w:r>
        <w:t>1 2 Target topology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71"/>
        <w:gridCol w:w="8053"/>
      </w:tblGrid>
      <w:tr>
        <w:trPr>
          <w:tblHeader w:val="true"/>
          <w:cantSplit/>
        </w:trPr>
        <w:tc>
          <w:tcPr>
            <w:tcW w:type="dxa" w:w="2171"/>
            <w:vAlign w:val="center"/>
            <w:shd w:fill="1F4E78"/>
          </w:tcPr>
          <w:p>
            <w:pPr>
              <w:spacing w:after="0"/>
            </w:pPr>
            <w:r/>
            <w:r>
              <w:rPr>
                <w:rFonts w:ascii="Aptos" w:hAnsi="Aptos"/>
                <w:b/>
                <w:color w:val="FFFFFF"/>
                <w:sz w:val="18"/>
              </w:rPr>
              <w:t>Zone</w:t>
            </w:r>
          </w:p>
        </w:tc>
        <w:tc>
          <w:tcPr>
            <w:tcW w:type="dxa" w:w="8053"/>
            <w:vAlign w:val="center"/>
            <w:shd w:fill="1F4E78"/>
          </w:tcPr>
          <w:p>
            <w:pPr>
              <w:spacing w:after="0"/>
            </w:pPr>
            <w:r/>
            <w:r>
              <w:rPr>
                <w:rFonts w:ascii="Aptos" w:hAnsi="Aptos"/>
                <w:b/>
                <w:color w:val="FFFFFF"/>
                <w:sz w:val="18"/>
              </w:rPr>
              <w:t>Required components</w:t>
            </w:r>
          </w:p>
        </w:tc>
      </w:tr>
      <w:tr>
        <w:trPr>
          <w:cantSplit/>
        </w:trPr>
        <w:tc>
          <w:tcPr>
            <w:tcW w:type="dxa" w:w="2171"/>
            <w:vAlign w:val="center"/>
          </w:tcPr>
          <w:p>
            <w:pPr>
              <w:spacing w:after="0"/>
            </w:pPr>
            <w:r/>
            <w:r>
              <w:rPr>
                <w:rFonts w:ascii="Aptos" w:hAnsi="Aptos"/>
                <w:b w:val="0"/>
                <w:sz w:val="17"/>
              </w:rPr>
              <w:t>Enterprise</w:t>
            </w:r>
          </w:p>
        </w:tc>
        <w:tc>
          <w:tcPr>
            <w:tcW w:type="dxa" w:w="8053"/>
            <w:vAlign w:val="center"/>
          </w:tcPr>
          <w:p>
            <w:pPr>
              <w:spacing w:after="0"/>
            </w:pPr>
            <w:r/>
            <w:r>
              <w:rPr>
                <w:rFonts w:ascii="Aptos" w:hAnsi="Aptos"/>
                <w:b w:val="0"/>
                <w:sz w:val="17"/>
              </w:rPr>
              <w:t>Approved admin workstation → Windows jump host; approved POC users and test-data source</w:t>
            </w:r>
          </w:p>
        </w:tc>
      </w:tr>
      <w:tr>
        <w:trPr>
          <w:cantSplit/>
        </w:trPr>
        <w:tc>
          <w:tcPr>
            <w:tcW w:type="dxa" w:w="2171"/>
            <w:vAlign w:val="center"/>
            <w:shd w:fill="F2F2F2"/>
          </w:tcPr>
          <w:p>
            <w:pPr>
              <w:spacing w:after="0"/>
            </w:pPr>
            <w:r/>
            <w:r>
              <w:rPr>
                <w:rFonts w:ascii="Aptos" w:hAnsi="Aptos"/>
                <w:b w:val="0"/>
                <w:sz w:val="17"/>
              </w:rPr>
              <w:t>Hybrid path</w:t>
            </w:r>
          </w:p>
        </w:tc>
        <w:tc>
          <w:tcPr>
            <w:tcW w:type="dxa" w:w="8053"/>
            <w:vAlign w:val="center"/>
            <w:shd w:fill="F2F2F2"/>
          </w:tcPr>
          <w:p>
            <w:pPr>
              <w:spacing w:after="0"/>
            </w:pPr>
            <w:r/>
            <w:r>
              <w:rPr>
                <w:rFonts w:ascii="Aptos" w:hAnsi="Aptos"/>
                <w:b w:val="0"/>
                <w:sz w:val="17"/>
              </w:rPr>
              <w:t>FastConnect → DRG → SCCA inspection/network firewall → Hyperscience private VCN</w:t>
            </w:r>
          </w:p>
        </w:tc>
      </w:tr>
      <w:tr>
        <w:trPr>
          <w:cantSplit/>
        </w:trPr>
        <w:tc>
          <w:tcPr>
            <w:tcW w:type="dxa" w:w="2171"/>
            <w:vAlign w:val="center"/>
          </w:tcPr>
          <w:p>
            <w:pPr>
              <w:spacing w:after="0"/>
            </w:pPr>
            <w:r/>
            <w:r>
              <w:rPr>
                <w:rFonts w:ascii="Aptos" w:hAnsi="Aptos"/>
                <w:b w:val="0"/>
                <w:sz w:val="17"/>
              </w:rPr>
              <w:t>Application VM</w:t>
            </w:r>
          </w:p>
        </w:tc>
        <w:tc>
          <w:tcPr>
            <w:tcW w:type="dxa" w:w="8053"/>
            <w:vAlign w:val="center"/>
          </w:tcPr>
          <w:p>
            <w:pPr>
              <w:spacing w:after="0"/>
            </w:pPr>
            <w:r/>
            <w:r>
              <w:rPr>
                <w:rFonts w:ascii="Aptos" w:hAnsi="Aptos"/>
                <w:b w:val="0"/>
                <w:sz w:val="17"/>
              </w:rPr>
              <w:t>hs-poc-app01 — VM.GPU.A10.2; Hyperscience application and ORCA inference when in scope</w:t>
            </w:r>
          </w:p>
        </w:tc>
      </w:tr>
      <w:tr>
        <w:trPr>
          <w:cantSplit/>
        </w:trPr>
        <w:tc>
          <w:tcPr>
            <w:tcW w:type="dxa" w:w="2171"/>
            <w:vAlign w:val="center"/>
            <w:shd w:fill="F2F2F2"/>
          </w:tcPr>
          <w:p>
            <w:pPr>
              <w:spacing w:after="0"/>
            </w:pPr>
            <w:r/>
            <w:r>
              <w:rPr>
                <w:rFonts w:ascii="Aptos" w:hAnsi="Aptos"/>
                <w:b w:val="0"/>
                <w:sz w:val="17"/>
              </w:rPr>
              <w:t>Optional trainer</w:t>
            </w:r>
          </w:p>
        </w:tc>
        <w:tc>
          <w:tcPr>
            <w:tcW w:type="dxa" w:w="8053"/>
            <w:vAlign w:val="center"/>
            <w:shd w:fill="F2F2F2"/>
          </w:tcPr>
          <w:p>
            <w:pPr>
              <w:spacing w:after="0"/>
            </w:pPr>
            <w:r/>
            <w:r>
              <w:rPr>
                <w:rFonts w:ascii="Aptos" w:hAnsi="Aptos"/>
                <w:b w:val="0"/>
                <w:sz w:val="17"/>
              </w:rPr>
              <w:t>Provision a separate trainer only after Chase and the MSS team confirm the use case, topology and sizing; do not Apply the old two-VM plan by default</w:t>
            </w:r>
          </w:p>
        </w:tc>
      </w:tr>
      <w:tr>
        <w:trPr>
          <w:cantSplit/>
        </w:trPr>
        <w:tc>
          <w:tcPr>
            <w:tcW w:type="dxa" w:w="2171"/>
            <w:vAlign w:val="center"/>
          </w:tcPr>
          <w:p>
            <w:pPr>
              <w:spacing w:after="0"/>
            </w:pPr>
            <w:r/>
            <w:r>
              <w:rPr>
                <w:rFonts w:ascii="Aptos" w:hAnsi="Aptos"/>
                <w:b w:val="0"/>
                <w:sz w:val="17"/>
              </w:rPr>
              <w:t>OCI services</w:t>
            </w:r>
          </w:p>
        </w:tc>
        <w:tc>
          <w:tcPr>
            <w:tcW w:type="dxa" w:w="8053"/>
            <w:vAlign w:val="center"/>
          </w:tcPr>
          <w:p>
            <w:pPr>
              <w:spacing w:after="0"/>
            </w:pPr>
            <w:r/>
            <w:r>
              <w:rPr>
                <w:rFonts w:ascii="Aptos" w:hAnsi="Aptos"/>
                <w:b w:val="0"/>
                <w:sz w:val="17"/>
              </w:rPr>
              <w:t>Service Gateway, Object Storage for approved bundle/evidence transfer, Vault/KMS, Logging, Monitoring and Audit</w:t>
            </w:r>
          </w:p>
        </w:tc>
      </w:tr>
    </w:tbl>
    <w:p>
      <w:pPr>
        <w:spacing w:after="0"/>
      </w:pPr>
    </w:p>
    <w:p>
      <w:r>
        <w:rPr>
          <w:b/>
        </w:rPr>
        <w:t xml:space="preserve">DESIGN POSITION  </w:t>
      </w:r>
      <w:r>
        <w:t>The October 14 call selected Podman on a standalone GPU VM. A separate trainer was not approved on this call. Retain the earlier trainer design only as a conditional option. A10.2 is a VM shape, not bare metal; its two discrete 24 GB GPUs do not form one pooled 48 GB GPU.</w:t>
      </w:r>
    </w:p>
    <w:p>
      <w:r>
        <w:br w:type="page"/>
      </w:r>
    </w:p>
    <w:p>
      <w:pPr>
        <w:pStyle w:val="Heading1"/>
        <w:keepNext/>
      </w:pPr>
      <w:r>
        <w:t>2 Decisions and sizing</w:t>
      </w:r>
    </w:p>
    <w:p>
      <w:pPr>
        <w:pStyle w:val="Heading2"/>
        <w:keepNext/>
      </w:pPr>
      <w:r>
        <w:t>2 1 Build record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11"/>
        <w:gridCol w:w="6513"/>
      </w:tblGrid>
      <w:tr>
        <w:trPr>
          <w:tblHeader w:val="true"/>
          <w:cantSplit/>
        </w:trPr>
        <w:tc>
          <w:tcPr>
            <w:tcW w:type="dxa" w:w="3711"/>
            <w:vAlign w:val="center"/>
            <w:shd w:fill="1F4E78"/>
          </w:tcPr>
          <w:p>
            <w:pPr>
              <w:spacing w:after="0"/>
            </w:pPr>
            <w:r/>
            <w:r>
              <w:rPr>
                <w:rFonts w:ascii="Aptos" w:hAnsi="Aptos"/>
                <w:b/>
                <w:color w:val="FFFFFF"/>
                <w:sz w:val="18"/>
              </w:rPr>
              <w:t>Field</w:t>
            </w:r>
          </w:p>
        </w:tc>
        <w:tc>
          <w:tcPr>
            <w:tcW w:type="dxa" w:w="6513"/>
            <w:vAlign w:val="center"/>
            <w:shd w:fill="1F4E78"/>
          </w:tcPr>
          <w:p>
            <w:pPr>
              <w:spacing w:after="0"/>
            </w:pPr>
            <w:r/>
            <w:r>
              <w:rPr>
                <w:rFonts w:ascii="Aptos" w:hAnsi="Aptos"/>
                <w:b/>
                <w:color w:val="FFFFFF"/>
                <w:sz w:val="18"/>
              </w:rPr>
              <w:t>Record before execution</w:t>
            </w:r>
          </w:p>
        </w:tc>
      </w:tr>
      <w:tr>
        <w:trPr>
          <w:cantSplit/>
        </w:trPr>
        <w:tc>
          <w:tcPr>
            <w:tcW w:type="dxa" w:w="3711"/>
            <w:vAlign w:val="center"/>
          </w:tcPr>
          <w:p>
            <w:pPr>
              <w:spacing w:after="0"/>
            </w:pPr>
            <w:r/>
            <w:r>
              <w:rPr>
                <w:rFonts w:ascii="Aptos" w:hAnsi="Aptos"/>
                <w:b w:val="0"/>
                <w:sz w:val="17"/>
              </w:rPr>
              <w:t>OCI tenancy / region / realm</w:t>
            </w:r>
          </w:p>
        </w:tc>
        <w:tc>
          <w:tcPr>
            <w:tcW w:type="dxa" w:w="6513"/>
            <w:vAlign w:val="center"/>
          </w:tcPr>
          <w:p>
            <w:pPr>
              <w:spacing w:after="0"/>
            </w:pPr>
            <w:r/>
            <w:r>
              <w:rPr>
                <w:rFonts w:ascii="Aptos" w:hAnsi="Aptos"/>
                <w:b w:val="0"/>
                <w:sz w:val="17"/>
              </w:rPr>
              <w:t>____________________________________________</w:t>
            </w:r>
          </w:p>
        </w:tc>
      </w:tr>
      <w:tr>
        <w:trPr>
          <w:cantSplit/>
        </w:trPr>
        <w:tc>
          <w:tcPr>
            <w:tcW w:type="dxa" w:w="3711"/>
            <w:vAlign w:val="center"/>
            <w:shd w:fill="F2F2F2"/>
          </w:tcPr>
          <w:p>
            <w:pPr>
              <w:spacing w:after="0"/>
            </w:pPr>
            <w:r/>
            <w:r>
              <w:rPr>
                <w:rFonts w:ascii="Aptos" w:hAnsi="Aptos"/>
                <w:b w:val="0"/>
                <w:sz w:val="17"/>
              </w:rPr>
              <w:t>POC compartment OCID</w:t>
            </w:r>
          </w:p>
        </w:tc>
        <w:tc>
          <w:tcPr>
            <w:tcW w:type="dxa" w:w="6513"/>
            <w:vAlign w:val="center"/>
            <w:shd w:fill="F2F2F2"/>
          </w:tcPr>
          <w:p>
            <w:pPr>
              <w:spacing w:after="0"/>
            </w:pPr>
            <w:r/>
            <w:r>
              <w:rPr>
                <w:rFonts w:ascii="Aptos" w:hAnsi="Aptos"/>
                <w:b w:val="0"/>
                <w:sz w:val="17"/>
              </w:rPr>
              <w:t>____________________________________________</w:t>
            </w:r>
          </w:p>
        </w:tc>
      </w:tr>
      <w:tr>
        <w:trPr>
          <w:cantSplit/>
        </w:trPr>
        <w:tc>
          <w:tcPr>
            <w:tcW w:type="dxa" w:w="3711"/>
            <w:vAlign w:val="center"/>
          </w:tcPr>
          <w:p>
            <w:pPr>
              <w:spacing w:after="0"/>
            </w:pPr>
            <w:r/>
            <w:r>
              <w:rPr>
                <w:rFonts w:ascii="Aptos" w:hAnsi="Aptos"/>
                <w:b w:val="0"/>
                <w:sz w:val="17"/>
              </w:rPr>
              <w:t>Change, funding and security tickets</w:t>
            </w:r>
          </w:p>
        </w:tc>
        <w:tc>
          <w:tcPr>
            <w:tcW w:type="dxa" w:w="6513"/>
            <w:vAlign w:val="center"/>
          </w:tcPr>
          <w:p>
            <w:pPr>
              <w:spacing w:after="0"/>
            </w:pPr>
            <w:r/>
            <w:r>
              <w:rPr>
                <w:rFonts w:ascii="Aptos" w:hAnsi="Aptos"/>
                <w:b w:val="0"/>
                <w:sz w:val="17"/>
              </w:rPr>
              <w:t>____________________________________________</w:t>
            </w:r>
          </w:p>
        </w:tc>
      </w:tr>
      <w:tr>
        <w:trPr>
          <w:cantSplit/>
        </w:trPr>
        <w:tc>
          <w:tcPr>
            <w:tcW w:type="dxa" w:w="3711"/>
            <w:vAlign w:val="center"/>
            <w:shd w:fill="F2F2F2"/>
          </w:tcPr>
          <w:p>
            <w:pPr>
              <w:spacing w:after="0"/>
            </w:pPr>
            <w:r/>
            <w:r>
              <w:rPr>
                <w:rFonts w:ascii="Aptos" w:hAnsi="Aptos"/>
                <w:b w:val="0"/>
                <w:sz w:val="17"/>
              </w:rPr>
              <w:t>VCN / subnet / on-prem CIDRs</w:t>
            </w:r>
          </w:p>
        </w:tc>
        <w:tc>
          <w:tcPr>
            <w:tcW w:type="dxa" w:w="6513"/>
            <w:vAlign w:val="center"/>
            <w:shd w:fill="F2F2F2"/>
          </w:tcPr>
          <w:p>
            <w:pPr>
              <w:spacing w:after="0"/>
            </w:pPr>
            <w:r/>
            <w:r>
              <w:rPr>
                <w:rFonts w:ascii="Aptos" w:hAnsi="Aptos"/>
                <w:b w:val="0"/>
                <w:sz w:val="17"/>
              </w:rPr>
              <w:t>____________________________________________</w:t>
            </w:r>
          </w:p>
        </w:tc>
      </w:tr>
      <w:tr>
        <w:trPr>
          <w:cantSplit/>
        </w:trPr>
        <w:tc>
          <w:tcPr>
            <w:tcW w:type="dxa" w:w="3711"/>
            <w:vAlign w:val="center"/>
          </w:tcPr>
          <w:p>
            <w:pPr>
              <w:spacing w:after="0"/>
            </w:pPr>
            <w:r/>
            <w:r>
              <w:rPr>
                <w:rFonts w:ascii="Aptos" w:hAnsi="Aptos"/>
                <w:b w:val="0"/>
                <w:sz w:val="17"/>
              </w:rPr>
              <w:t>DRG and DRG route-table OCIDs</w:t>
            </w:r>
          </w:p>
        </w:tc>
        <w:tc>
          <w:tcPr>
            <w:tcW w:type="dxa" w:w="6513"/>
            <w:vAlign w:val="center"/>
          </w:tcPr>
          <w:p>
            <w:pPr>
              <w:spacing w:after="0"/>
            </w:pPr>
            <w:r/>
            <w:r>
              <w:rPr>
                <w:rFonts w:ascii="Aptos" w:hAnsi="Aptos"/>
                <w:b w:val="0"/>
                <w:sz w:val="17"/>
              </w:rPr>
              <w:t>____________________________________________</w:t>
            </w:r>
          </w:p>
        </w:tc>
      </w:tr>
      <w:tr>
        <w:trPr>
          <w:cantSplit/>
        </w:trPr>
        <w:tc>
          <w:tcPr>
            <w:tcW w:type="dxa" w:w="3711"/>
            <w:vAlign w:val="center"/>
            <w:shd w:fill="F2F2F2"/>
          </w:tcPr>
          <w:p>
            <w:pPr>
              <w:spacing w:after="0"/>
            </w:pPr>
            <w:r/>
            <w:r>
              <w:rPr>
                <w:rFonts w:ascii="Aptos" w:hAnsi="Aptos"/>
                <w:b w:val="0"/>
                <w:sz w:val="17"/>
              </w:rPr>
              <w:t>RHEL 8.10 image OCID and subscription path</w:t>
            </w:r>
          </w:p>
        </w:tc>
        <w:tc>
          <w:tcPr>
            <w:tcW w:type="dxa" w:w="6513"/>
            <w:vAlign w:val="center"/>
            <w:shd w:fill="F2F2F2"/>
          </w:tcPr>
          <w:p>
            <w:pPr>
              <w:spacing w:after="0"/>
            </w:pPr>
            <w:r/>
            <w:r>
              <w:rPr>
                <w:rFonts w:ascii="Aptos" w:hAnsi="Aptos"/>
                <w:b w:val="0"/>
                <w:sz w:val="17"/>
              </w:rPr>
              <w:t>____________________________________________</w:t>
            </w:r>
          </w:p>
        </w:tc>
      </w:tr>
      <w:tr>
        <w:trPr>
          <w:cantSplit/>
        </w:trPr>
        <w:tc>
          <w:tcPr>
            <w:tcW w:type="dxa" w:w="3711"/>
            <w:vAlign w:val="center"/>
          </w:tcPr>
          <w:p>
            <w:pPr>
              <w:spacing w:after="0"/>
            </w:pPr>
            <w:r/>
            <w:r>
              <w:rPr>
                <w:rFonts w:ascii="Aptos" w:hAnsi="Aptos"/>
                <w:b w:val="0"/>
                <w:sz w:val="17"/>
              </w:rPr>
              <w:t>Hyperscience version and bundle checksum</w:t>
            </w:r>
          </w:p>
        </w:tc>
        <w:tc>
          <w:tcPr>
            <w:tcW w:type="dxa" w:w="6513"/>
            <w:vAlign w:val="center"/>
          </w:tcPr>
          <w:p>
            <w:pPr>
              <w:spacing w:after="0"/>
            </w:pPr>
            <w:r/>
            <w:r>
              <w:rPr>
                <w:rFonts w:ascii="Aptos" w:hAnsi="Aptos"/>
                <w:b w:val="0"/>
                <w:sz w:val="17"/>
              </w:rPr>
              <w:t>43.2 discussed; Chase to confirm exact release, bundle and checksum</w:t>
            </w:r>
          </w:p>
        </w:tc>
      </w:tr>
      <w:tr>
        <w:trPr>
          <w:cantSplit/>
        </w:trPr>
        <w:tc>
          <w:tcPr>
            <w:tcW w:type="dxa" w:w="3711"/>
            <w:vAlign w:val="center"/>
            <w:shd w:fill="F2F2F2"/>
          </w:tcPr>
          <w:p>
            <w:pPr>
              <w:spacing w:after="0"/>
            </w:pPr>
            <w:r/>
            <w:r>
              <w:rPr>
                <w:rFonts w:ascii="Aptos" w:hAnsi="Aptos"/>
                <w:b w:val="0"/>
                <w:sz w:val="17"/>
              </w:rPr>
              <w:t>GPU use cases: ORCA / Long-form / FI / TI</w:t>
            </w:r>
          </w:p>
        </w:tc>
        <w:tc>
          <w:tcPr>
            <w:tcW w:type="dxa" w:w="6513"/>
            <w:vAlign w:val="center"/>
            <w:shd w:fill="F2F2F2"/>
          </w:tcPr>
          <w:p>
            <w:pPr>
              <w:spacing w:after="0"/>
            </w:pPr>
            <w:r/>
            <w:r>
              <w:rPr>
                <w:rFonts w:ascii="Aptos" w:hAnsi="Aptos"/>
                <w:b w:val="0"/>
                <w:sz w:val="17"/>
              </w:rPr>
              <w:t>____________________________________________</w:t>
            </w:r>
          </w:p>
        </w:tc>
      </w:tr>
      <w:tr>
        <w:trPr>
          <w:cantSplit/>
        </w:trPr>
        <w:tc>
          <w:tcPr>
            <w:tcW w:type="dxa" w:w="3711"/>
            <w:vAlign w:val="center"/>
          </w:tcPr>
          <w:p>
            <w:pPr>
              <w:spacing w:after="0"/>
            </w:pPr>
            <w:r/>
            <w:r>
              <w:rPr>
                <w:rFonts w:ascii="Aptos" w:hAnsi="Aptos"/>
                <w:b w:val="0"/>
                <w:sz w:val="17"/>
              </w:rPr>
              <w:t>NVIDIA driver and toolkit versions</w:t>
            </w:r>
          </w:p>
        </w:tc>
        <w:tc>
          <w:tcPr>
            <w:tcW w:type="dxa" w:w="6513"/>
            <w:vAlign w:val="center"/>
          </w:tcPr>
          <w:p>
            <w:pPr>
              <w:spacing w:after="0"/>
            </w:pPr>
            <w:r/>
            <w:r>
              <w:rPr>
                <w:rFonts w:ascii="Aptos" w:hAnsi="Aptos"/>
                <w:b w:val="0"/>
                <w:sz w:val="17"/>
              </w:rPr>
              <w:t>____________________________________________</w:t>
            </w:r>
          </w:p>
        </w:tc>
      </w:tr>
      <w:tr>
        <w:trPr>
          <w:cantSplit/>
        </w:trPr>
        <w:tc>
          <w:tcPr>
            <w:tcW w:type="dxa" w:w="3711"/>
            <w:vAlign w:val="center"/>
            <w:shd w:fill="F2F2F2"/>
          </w:tcPr>
          <w:p>
            <w:pPr>
              <w:spacing w:after="0"/>
            </w:pPr>
            <w:r/>
            <w:r>
              <w:rPr>
                <w:rFonts w:ascii="Aptos" w:hAnsi="Aptos"/>
                <w:b w:val="0"/>
                <w:sz w:val="17"/>
              </w:rPr>
              <w:t>Private DNS name and TLS certificate</w:t>
            </w:r>
          </w:p>
        </w:tc>
        <w:tc>
          <w:tcPr>
            <w:tcW w:type="dxa" w:w="6513"/>
            <w:vAlign w:val="center"/>
            <w:shd w:fill="F2F2F2"/>
          </w:tcPr>
          <w:p>
            <w:pPr>
              <w:spacing w:after="0"/>
            </w:pPr>
            <w:r/>
            <w:r>
              <w:rPr>
                <w:rFonts w:ascii="Aptos" w:hAnsi="Aptos"/>
                <w:b w:val="0"/>
                <w:sz w:val="17"/>
              </w:rPr>
              <w:t>____________________________________________</w:t>
            </w:r>
          </w:p>
        </w:tc>
      </w:tr>
      <w:tr>
        <w:trPr>
          <w:cantSplit/>
        </w:trPr>
        <w:tc>
          <w:tcPr>
            <w:tcW w:type="dxa" w:w="3711"/>
            <w:vAlign w:val="center"/>
          </w:tcPr>
          <w:p>
            <w:pPr>
              <w:spacing w:after="0"/>
            </w:pPr>
            <w:r/>
            <w:r>
              <w:rPr>
                <w:rFonts w:ascii="Aptos" w:hAnsi="Aptos"/>
                <w:b w:val="0"/>
                <w:sz w:val="17"/>
              </w:rPr>
              <w:t>POC data set, retention and destruction owner</w:t>
            </w:r>
          </w:p>
        </w:tc>
        <w:tc>
          <w:tcPr>
            <w:tcW w:type="dxa" w:w="6513"/>
            <w:vAlign w:val="center"/>
          </w:tcPr>
          <w:p>
            <w:pPr>
              <w:spacing w:after="0"/>
            </w:pPr>
            <w:r/>
            <w:r>
              <w:rPr>
                <w:rFonts w:ascii="Aptos" w:hAnsi="Aptos"/>
                <w:b w:val="0"/>
                <w:sz w:val="17"/>
              </w:rPr>
              <w:t>____________________________________________</w:t>
            </w:r>
          </w:p>
        </w:tc>
      </w:tr>
    </w:tbl>
    <w:p>
      <w:pPr>
        <w:spacing w:after="0"/>
      </w:pPr>
    </w:p>
    <w:p>
      <w:pPr>
        <w:pStyle w:val="Heading2"/>
        <w:keepNext/>
      </w:pPr>
      <w:r>
        <w:t>2 2 Provisional sizing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1"/>
        <w:gridCol w:w="3151"/>
        <w:gridCol w:w="5112"/>
      </w:tblGrid>
      <w:tr>
        <w:trPr>
          <w:tblHeader w:val="true"/>
          <w:cantSplit/>
        </w:trPr>
        <w:tc>
          <w:tcPr>
            <w:tcW w:type="dxa" w:w="1961"/>
            <w:vAlign w:val="center"/>
            <w:shd w:fill="1F4E78"/>
          </w:tcPr>
          <w:p>
            <w:pPr>
              <w:spacing w:after="0"/>
            </w:pPr>
            <w:r/>
            <w:r>
              <w:rPr>
                <w:rFonts w:ascii="Aptos" w:hAnsi="Aptos"/>
                <w:b/>
                <w:color w:val="FFFFFF"/>
                <w:sz w:val="18"/>
              </w:rPr>
              <w:t>Role</w:t>
            </w:r>
          </w:p>
        </w:tc>
        <w:tc>
          <w:tcPr>
            <w:tcW w:type="dxa" w:w="3151"/>
            <w:vAlign w:val="center"/>
            <w:shd w:fill="1F4E78"/>
          </w:tcPr>
          <w:p>
            <w:pPr>
              <w:spacing w:after="0"/>
            </w:pPr>
            <w:r/>
            <w:r>
              <w:rPr>
                <w:rFonts w:ascii="Aptos" w:hAnsi="Aptos"/>
                <w:b/>
                <w:color w:val="FFFFFF"/>
                <w:sz w:val="18"/>
              </w:rPr>
              <w:t>Planning value</w:t>
            </w:r>
          </w:p>
        </w:tc>
        <w:tc>
          <w:tcPr>
            <w:tcW w:type="dxa" w:w="5112"/>
            <w:vAlign w:val="center"/>
            <w:shd w:fill="1F4E78"/>
          </w:tcPr>
          <w:p>
            <w:pPr>
              <w:spacing w:after="0"/>
            </w:pPr>
            <w:r/>
            <w:r>
              <w:rPr>
                <w:rFonts w:ascii="Aptos" w:hAnsi="Aptos"/>
                <w:b/>
                <w:color w:val="FFFFFF"/>
                <w:sz w:val="18"/>
              </w:rPr>
              <w:t>Reason / gate</w:t>
            </w:r>
          </w:p>
        </w:tc>
      </w:tr>
      <w:tr>
        <w:trPr>
          <w:cantSplit/>
        </w:trPr>
        <w:tc>
          <w:tcPr>
            <w:tcW w:type="dxa" w:w="1961"/>
            <w:vAlign w:val="center"/>
          </w:tcPr>
          <w:p>
            <w:pPr>
              <w:spacing w:after="0"/>
            </w:pPr>
            <w:r/>
            <w:r>
              <w:rPr>
                <w:rFonts w:ascii="Aptos" w:hAnsi="Aptos"/>
                <w:b w:val="0"/>
                <w:sz w:val="17"/>
              </w:rPr>
              <w:t>Application</w:t>
            </w:r>
          </w:p>
        </w:tc>
        <w:tc>
          <w:tcPr>
            <w:tcW w:type="dxa" w:w="3151"/>
            <w:vAlign w:val="center"/>
          </w:tcPr>
          <w:p>
            <w:pPr>
              <w:spacing w:after="0"/>
            </w:pPr>
            <w:r/>
            <w:r>
              <w:rPr>
                <w:rFonts w:ascii="Aptos" w:hAnsi="Aptos"/>
                <w:b w:val="0"/>
                <w:sz w:val="17"/>
              </w:rPr>
              <w:t>1 × VM.GPU.A10.2</w:t>
            </w:r>
          </w:p>
        </w:tc>
        <w:tc>
          <w:tcPr>
            <w:tcW w:type="dxa" w:w="5112"/>
            <w:vAlign w:val="center"/>
          </w:tcPr>
          <w:p>
            <w:pPr>
              <w:spacing w:after="0"/>
            </w:pPr>
            <w:r/>
            <w:r>
              <w:rPr>
                <w:rFonts w:ascii="Aptos" w:hAnsi="Aptos"/>
                <w:b w:val="0"/>
                <w:sz w:val="17"/>
              </w:rPr>
              <w:t>30 OCPUs, 480 GB RAM, 2 × A10 24 GB; fixed shape, not an 8/32 or 16/64 flex VM</w:t>
            </w:r>
          </w:p>
        </w:tc>
      </w:tr>
      <w:tr>
        <w:trPr>
          <w:cantSplit/>
        </w:trPr>
        <w:tc>
          <w:tcPr>
            <w:tcW w:type="dxa" w:w="1961"/>
            <w:vAlign w:val="center"/>
            <w:shd w:fill="F2F2F2"/>
          </w:tcPr>
          <w:p>
            <w:pPr>
              <w:spacing w:after="0"/>
            </w:pPr>
            <w:r/>
            <w:r>
              <w:rPr>
                <w:rFonts w:ascii="Aptos" w:hAnsi="Aptos"/>
                <w:b w:val="0"/>
                <w:sz w:val="17"/>
              </w:rPr>
              <w:t>Trainer</w:t>
            </w:r>
          </w:p>
        </w:tc>
        <w:tc>
          <w:tcPr>
            <w:tcW w:type="dxa" w:w="3151"/>
            <w:vAlign w:val="center"/>
            <w:shd w:fill="F2F2F2"/>
          </w:tcPr>
          <w:p>
            <w:pPr>
              <w:spacing w:after="0"/>
            </w:pPr>
            <w:r/>
            <w:r>
              <w:rPr>
                <w:rFonts w:ascii="Aptos" w:hAnsi="Aptos"/>
                <w:b w:val="0"/>
                <w:sz w:val="17"/>
              </w:rPr>
              <w:t>Conditional only</w:t>
            </w:r>
          </w:p>
        </w:tc>
        <w:tc>
          <w:tcPr>
            <w:tcW w:type="dxa" w:w="5112"/>
            <w:vAlign w:val="center"/>
            <w:shd w:fill="F2F2F2"/>
          </w:tcPr>
          <w:p>
            <w:pPr>
              <w:spacing w:after="0"/>
            </w:pPr>
            <w:r/>
            <w:r>
              <w:rPr>
                <w:rFonts w:ascii="Aptos" w:hAnsi="Aptos"/>
                <w:b w:val="0"/>
                <w:sz w:val="17"/>
              </w:rPr>
              <w:t>Confirm whether imported models and GPU inference meet the POC scope without new training; approve a separate trainer before adding capacity</w:t>
            </w:r>
          </w:p>
        </w:tc>
      </w:tr>
      <w:tr>
        <w:trPr>
          <w:cantSplit/>
        </w:trPr>
        <w:tc>
          <w:tcPr>
            <w:tcW w:type="dxa" w:w="1961"/>
            <w:vAlign w:val="center"/>
          </w:tcPr>
          <w:p>
            <w:pPr>
              <w:spacing w:after="0"/>
            </w:pPr>
            <w:r/>
            <w:r>
              <w:rPr>
                <w:rFonts w:ascii="Aptos" w:hAnsi="Aptos"/>
                <w:b w:val="0"/>
                <w:sz w:val="17"/>
              </w:rPr>
              <w:t>Boot volume</w:t>
            </w:r>
          </w:p>
        </w:tc>
        <w:tc>
          <w:tcPr>
            <w:tcW w:type="dxa" w:w="3151"/>
            <w:vAlign w:val="center"/>
          </w:tcPr>
          <w:p>
            <w:pPr>
              <w:spacing w:after="0"/>
            </w:pPr>
            <w:r/>
            <w:r>
              <w:rPr>
                <w:rFonts w:ascii="Aptos" w:hAnsi="Aptos"/>
                <w:b w:val="0"/>
                <w:sz w:val="17"/>
              </w:rPr>
              <w:t>100 GB per VM</w:t>
            </w:r>
          </w:p>
        </w:tc>
        <w:tc>
          <w:tcPr>
            <w:tcW w:type="dxa" w:w="5112"/>
            <w:vAlign w:val="center"/>
          </w:tcPr>
          <w:p>
            <w:pPr>
              <w:spacing w:after="0"/>
            </w:pPr>
            <w:r/>
            <w:r>
              <w:rPr>
                <w:rFonts w:ascii="Aptos" w:hAnsi="Aptos"/>
                <w:b w:val="0"/>
                <w:sz w:val="17"/>
              </w:rPr>
              <w:t>OS, agents and logs only</w:t>
            </w:r>
          </w:p>
        </w:tc>
      </w:tr>
      <w:tr>
        <w:trPr>
          <w:cantSplit/>
        </w:trPr>
        <w:tc>
          <w:tcPr>
            <w:tcW w:type="dxa" w:w="1961"/>
            <w:vAlign w:val="center"/>
            <w:shd w:fill="F2F2F2"/>
          </w:tcPr>
          <w:p>
            <w:pPr>
              <w:spacing w:after="0"/>
            </w:pPr>
            <w:r/>
            <w:r>
              <w:rPr>
                <w:rFonts w:ascii="Aptos" w:hAnsi="Aptos"/>
                <w:b w:val="0"/>
                <w:sz w:val="17"/>
              </w:rPr>
              <w:t>Data volume</w:t>
            </w:r>
          </w:p>
        </w:tc>
        <w:tc>
          <w:tcPr>
            <w:tcW w:type="dxa" w:w="3151"/>
            <w:vAlign w:val="center"/>
            <w:shd w:fill="F2F2F2"/>
          </w:tcPr>
          <w:p>
            <w:pPr>
              <w:spacing w:after="0"/>
            </w:pPr>
            <w:r/>
            <w:r>
              <w:rPr>
                <w:rFonts w:ascii="Aptos" w:hAnsi="Aptos"/>
                <w:b w:val="0"/>
                <w:sz w:val="17"/>
              </w:rPr>
              <w:t>600 GB per VM, 20 VPU/GB provisional</w:t>
            </w:r>
          </w:p>
        </w:tc>
        <w:tc>
          <w:tcPr>
            <w:tcW w:type="dxa" w:w="5112"/>
            <w:vAlign w:val="center"/>
            <w:shd w:fill="F2F2F2"/>
          </w:tcPr>
          <w:p>
            <w:pPr>
              <w:spacing w:after="0"/>
            </w:pPr>
            <w:r/>
            <w:r>
              <w:rPr>
                <w:rFonts w:ascii="Aptos" w:hAnsi="Aptos"/>
                <w:b w:val="0"/>
                <w:sz w:val="17"/>
              </w:rPr>
              <w:t>Validate against the approved 43.2 bundle, database/file-store layout and sample size before Apply</w:t>
            </w:r>
          </w:p>
        </w:tc>
      </w:tr>
      <w:tr>
        <w:trPr>
          <w:cantSplit/>
        </w:trPr>
        <w:tc>
          <w:tcPr>
            <w:tcW w:type="dxa" w:w="1961"/>
            <w:vAlign w:val="center"/>
          </w:tcPr>
          <w:p>
            <w:pPr>
              <w:spacing w:after="0"/>
            </w:pPr>
            <w:r/>
            <w:r>
              <w:rPr>
                <w:rFonts w:ascii="Aptos" w:hAnsi="Aptos"/>
                <w:b w:val="0"/>
                <w:sz w:val="17"/>
              </w:rPr>
              <w:t>Database</w:t>
            </w:r>
          </w:p>
        </w:tc>
        <w:tc>
          <w:tcPr>
            <w:tcW w:type="dxa" w:w="3151"/>
            <w:vAlign w:val="center"/>
          </w:tcPr>
          <w:p>
            <w:pPr>
              <w:spacing w:after="0"/>
            </w:pPr>
            <w:r/>
            <w:r>
              <w:rPr>
                <w:rFonts w:ascii="Aptos" w:hAnsi="Aptos"/>
                <w:b w:val="0"/>
                <w:sz w:val="17"/>
              </w:rPr>
              <w:t>Confirm from current configuration</w:t>
            </w:r>
          </w:p>
        </w:tc>
        <w:tc>
          <w:tcPr>
            <w:tcW w:type="dxa" w:w="5112"/>
            <w:vAlign w:val="center"/>
          </w:tcPr>
          <w:p>
            <w:pPr>
              <w:spacing w:after="0"/>
            </w:pPr>
            <w:r/>
            <w:r>
              <w:rPr>
                <w:rFonts w:ascii="Aptos" w:hAnsi="Aptos"/>
                <w:b w:val="0"/>
                <w:sz w:val="17"/>
              </w:rPr>
              <w:t>Record supported engine/version and local versus external placement before installation</w:t>
            </w:r>
          </w:p>
        </w:tc>
      </w:tr>
      <w:tr>
        <w:trPr>
          <w:cantSplit/>
        </w:trPr>
        <w:tc>
          <w:tcPr>
            <w:tcW w:type="dxa" w:w="1961"/>
            <w:vAlign w:val="center"/>
            <w:shd w:fill="F2F2F2"/>
          </w:tcPr>
          <w:p>
            <w:pPr>
              <w:spacing w:after="0"/>
            </w:pPr>
            <w:r/>
            <w:r>
              <w:rPr>
                <w:rFonts w:ascii="Aptos" w:hAnsi="Aptos"/>
                <w:b w:val="0"/>
                <w:sz w:val="17"/>
              </w:rPr>
              <w:t>File store</w:t>
            </w:r>
          </w:p>
        </w:tc>
        <w:tc>
          <w:tcPr>
            <w:tcW w:type="dxa" w:w="3151"/>
            <w:vAlign w:val="center"/>
            <w:shd w:fill="F2F2F2"/>
          </w:tcPr>
          <w:p>
            <w:pPr>
              <w:spacing w:after="0"/>
            </w:pPr>
            <w:r/>
            <w:r>
              <w:rPr>
                <w:rFonts w:ascii="Aptos" w:hAnsi="Aptos"/>
                <w:b w:val="0"/>
                <w:sz w:val="17"/>
              </w:rPr>
              <w:t>Confirm from current configuration</w:t>
            </w:r>
          </w:p>
        </w:tc>
        <w:tc>
          <w:tcPr>
            <w:tcW w:type="dxa" w:w="5112"/>
            <w:vAlign w:val="center"/>
            <w:shd w:fill="F2F2F2"/>
          </w:tcPr>
          <w:p>
            <w:pPr>
              <w:spacing w:after="0"/>
            </w:pPr>
            <w:r/>
            <w:r>
              <w:rPr>
                <w:rFonts w:ascii="Aptos" w:hAnsi="Aptos"/>
                <w:b w:val="0"/>
                <w:sz w:val="17"/>
              </w:rPr>
              <w:t>Record paths, permissions and capacity; local TVE layout applies only if that bundle is selected</w:t>
            </w:r>
          </w:p>
        </w:tc>
      </w:tr>
      <w:tr>
        <w:trPr>
          <w:cantSplit/>
        </w:trPr>
        <w:tc>
          <w:tcPr>
            <w:tcW w:type="dxa" w:w="1961"/>
            <w:vAlign w:val="center"/>
          </w:tcPr>
          <w:p>
            <w:pPr>
              <w:spacing w:after="0"/>
            </w:pPr>
            <w:r/>
            <w:r>
              <w:rPr>
                <w:rFonts w:ascii="Aptos" w:hAnsi="Aptos"/>
                <w:b w:val="0"/>
                <w:sz w:val="17"/>
              </w:rPr>
              <w:t>Load balancer</w:t>
            </w:r>
          </w:p>
        </w:tc>
        <w:tc>
          <w:tcPr>
            <w:tcW w:type="dxa" w:w="3151"/>
            <w:vAlign w:val="center"/>
          </w:tcPr>
          <w:p>
            <w:pPr>
              <w:spacing w:after="0"/>
            </w:pPr>
            <w:r/>
            <w:r>
              <w:rPr>
                <w:rFonts w:ascii="Aptos" w:hAnsi="Aptos"/>
                <w:b w:val="0"/>
                <w:sz w:val="17"/>
              </w:rPr>
              <w:t>Not required for single application VM</w:t>
            </w:r>
          </w:p>
        </w:tc>
        <w:tc>
          <w:tcPr>
            <w:tcW w:type="dxa" w:w="5112"/>
            <w:vAlign w:val="center"/>
          </w:tcPr>
          <w:p>
            <w:pPr>
              <w:spacing w:after="0"/>
            </w:pPr>
            <w:r/>
            <w:r>
              <w:rPr>
                <w:rFonts w:ascii="Aptos" w:hAnsi="Aptos"/>
                <w:b w:val="0"/>
                <w:sz w:val="17"/>
              </w:rPr>
              <w:t>Use private DNS/TLS; add private LB only if POC explicitly tests it</w:t>
            </w:r>
          </w:p>
        </w:tc>
      </w:tr>
    </w:tbl>
    <w:p>
      <w:pPr>
        <w:spacing w:after="0"/>
      </w:pPr>
    </w:p>
    <w:p>
      <w:r>
        <w:rPr>
          <w:b/>
        </w:rPr>
        <w:t xml:space="preserve">COST GATE  </w:t>
      </w:r>
      <w:r>
        <w:t>VM.GPU.A10.2 is a fixed shape. ORM ignores flex_ocpus and flex_memory_gb. Confirm GPU service limits, regional capacity and the approved POC runtime before Apply.</w:t>
      </w:r>
    </w:p>
    <w:p>
      <w:r>
        <w:br w:type="page"/>
      </w:r>
    </w:p>
    <w:p>
      <w:pPr>
        <w:pStyle w:val="Heading1"/>
        <w:keepNext/>
      </w:pPr>
      <w:r>
        <w:t>3 Pre build gates</w:t>
      </w:r>
    </w:p>
    <w:p>
      <w:pPr>
        <w:pStyle w:val="Heading2"/>
        <w:keepNext/>
      </w:pPr>
      <w:r>
        <w:t>3 1 Mandatory stop conditions</w:t>
      </w:r>
    </w:p>
    <w:p>
      <w:pPr>
        <w:pStyle w:val="ListBullet"/>
      </w:pPr>
      <w:r>
        <w:t>Hyperscience has not approved the exact release, RHEL 8.10, Podman version, GPU use cases, driver version and application/trainer topology.</w:t>
      </w:r>
    </w:p>
    <w:p>
      <w:pPr>
        <w:pStyle w:val="ListBullet"/>
      </w:pPr>
      <w:r>
        <w:t>The selected RHEL image is not licensed, not compatible with VM.GPU.A10.2, or cannot receive kernel, driver and security updates through the approved repository/Satellite path.</w:t>
      </w:r>
    </w:p>
    <w:p>
      <w:pPr>
        <w:pStyle w:val="ListBullet"/>
      </w:pPr>
      <w:r>
        <w:t>GPU quota or capacity for the approved VM count is unavailable in the target region and availability domain. Baseline is one application VM; trainer capacity is conditional.</w:t>
      </w:r>
    </w:p>
    <w:p>
      <w:pPr>
        <w:pStyle w:val="ListBullet"/>
      </w:pPr>
      <w:r>
        <w:t>The landing-zone team has not approved a new VCN. The existing ORM stack creates a new VCN rather than deploying into an existing subnet.</w:t>
      </w:r>
    </w:p>
    <w:p>
      <w:pPr>
        <w:pStyle w:val="ListBullet"/>
      </w:pPr>
      <w:r>
        <w:t>CIDRs overlap, or FastConnect/DRG return routing, firewall inspection, DNS, NTP, certificate trust or approved package/bundle transfer is incomplete.</w:t>
      </w:r>
    </w:p>
    <w:p>
      <w:pPr>
        <w:pStyle w:val="ListBullet"/>
      </w:pPr>
      <w:r>
        <w:t>The POC data set, retention, encryption, backup, evidence and destruction plan is not approved.</w:t>
      </w:r>
    </w:p>
    <w:p>
      <w:pPr>
        <w:pStyle w:val="Heading2"/>
        <w:keepNext/>
      </w:pPr>
      <w:r>
        <w:t>3 2 Required approvals and owners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1"/>
        <w:gridCol w:w="8123"/>
      </w:tblGrid>
      <w:tr>
        <w:trPr>
          <w:tblHeader w:val="true"/>
          <w:cantSplit/>
        </w:trPr>
        <w:tc>
          <w:tcPr>
            <w:tcW w:type="dxa" w:w="2101"/>
            <w:vAlign w:val="center"/>
            <w:shd w:fill="1F4E78"/>
          </w:tcPr>
          <w:p>
            <w:pPr>
              <w:spacing w:after="0"/>
            </w:pPr>
            <w:r/>
            <w:r>
              <w:rPr>
                <w:rFonts w:ascii="Aptos" w:hAnsi="Aptos"/>
                <w:b/>
                <w:color w:val="FFFFFF"/>
                <w:sz w:val="18"/>
              </w:rPr>
              <w:t>Owner</w:t>
            </w:r>
          </w:p>
        </w:tc>
        <w:tc>
          <w:tcPr>
            <w:tcW w:type="dxa" w:w="8123"/>
            <w:vAlign w:val="center"/>
            <w:shd w:fill="1F4E78"/>
          </w:tcPr>
          <w:p>
            <w:pPr>
              <w:spacing w:after="0"/>
            </w:pPr>
            <w:r/>
            <w:r>
              <w:rPr>
                <w:rFonts w:ascii="Aptos" w:hAnsi="Aptos"/>
                <w:b/>
                <w:color w:val="FFFFFF"/>
                <w:sz w:val="18"/>
              </w:rPr>
              <w:t>Required approval / deliverable</w:t>
            </w:r>
          </w:p>
        </w:tc>
      </w:tr>
      <w:tr>
        <w:trPr>
          <w:cantSplit/>
        </w:trPr>
        <w:tc>
          <w:tcPr>
            <w:tcW w:type="dxa" w:w="2101"/>
            <w:vAlign w:val="center"/>
          </w:tcPr>
          <w:p>
            <w:pPr>
              <w:spacing w:after="0"/>
            </w:pPr>
            <w:r/>
            <w:r>
              <w:rPr>
                <w:rFonts w:ascii="Aptos" w:hAnsi="Aptos"/>
                <w:b w:val="0"/>
                <w:sz w:val="17"/>
              </w:rPr>
              <w:t>Chase / Hyperscience</w:t>
            </w:r>
          </w:p>
        </w:tc>
        <w:tc>
          <w:tcPr>
            <w:tcW w:type="dxa" w:w="8123"/>
            <w:vAlign w:val="center"/>
          </w:tcPr>
          <w:p>
            <w:pPr>
              <w:spacing w:after="0"/>
            </w:pPr>
            <w:r/>
            <w:r>
              <w:rPr>
                <w:rFonts w:ascii="Aptos" w:hAnsi="Aptos"/>
                <w:b w:val="0"/>
                <w:sz w:val="17"/>
              </w:rPr>
              <w:t>Confirm 43.2, Podman instructions, ports, driver/toolkit and trainer decision; provide license and entitlement after receiving the application URL; remote guidance only</w:t>
            </w:r>
          </w:p>
        </w:tc>
      </w:tr>
      <w:tr>
        <w:trPr>
          <w:cantSplit/>
        </w:trPr>
        <w:tc>
          <w:tcPr>
            <w:tcW w:type="dxa" w:w="2101"/>
            <w:vAlign w:val="center"/>
            <w:shd w:fill="F2F2F2"/>
          </w:tcPr>
          <w:p>
            <w:pPr>
              <w:spacing w:after="0"/>
            </w:pPr>
            <w:r/>
            <w:r>
              <w:rPr>
                <w:rFonts w:ascii="Aptos" w:hAnsi="Aptos"/>
                <w:b w:val="0"/>
                <w:sz w:val="17"/>
              </w:rPr>
              <w:t>MSS application team</w:t>
            </w:r>
          </w:p>
        </w:tc>
        <w:tc>
          <w:tcPr>
            <w:tcW w:type="dxa" w:w="8123"/>
            <w:vAlign w:val="center"/>
            <w:shd w:fill="F2F2F2"/>
          </w:tcPr>
          <w:p>
            <w:pPr>
              <w:spacing w:after="0"/>
            </w:pPr>
            <w:r/>
            <w:r>
              <w:rPr>
                <w:rFonts w:ascii="Aptos" w:hAnsi="Aptos"/>
                <w:b w:val="0"/>
                <w:sz w:val="17"/>
              </w:rPr>
              <w:t>Named authorized operator installs and configures the application; Caitlin and the team validate flows and results; Chase supports through screen share</w:t>
            </w:r>
          </w:p>
        </w:tc>
      </w:tr>
      <w:tr>
        <w:trPr>
          <w:cantSplit/>
        </w:trPr>
        <w:tc>
          <w:tcPr>
            <w:tcW w:type="dxa" w:w="2101"/>
            <w:vAlign w:val="center"/>
          </w:tcPr>
          <w:p>
            <w:pPr>
              <w:spacing w:after="0"/>
            </w:pPr>
            <w:r/>
            <w:r>
              <w:rPr>
                <w:rFonts w:ascii="Aptos" w:hAnsi="Aptos"/>
                <w:b w:val="0"/>
                <w:sz w:val="17"/>
              </w:rPr>
              <w:t>OCI / capacity</w:t>
            </w:r>
          </w:p>
        </w:tc>
        <w:tc>
          <w:tcPr>
            <w:tcW w:type="dxa" w:w="8123"/>
            <w:vAlign w:val="center"/>
          </w:tcPr>
          <w:p>
            <w:pPr>
              <w:spacing w:after="0"/>
            </w:pPr>
            <w:r/>
            <w:r>
              <w:rPr>
                <w:rFonts w:ascii="Aptos" w:hAnsi="Aptos"/>
                <w:b w:val="0"/>
                <w:sz w:val="17"/>
              </w:rPr>
              <w:t>A10.2 capacity for approved count, image compatibility and reservation decision; John and infrastructure staff operate the keyboard, Oracle advises</w:t>
            </w:r>
          </w:p>
        </w:tc>
      </w:tr>
      <w:tr>
        <w:trPr>
          <w:cantSplit/>
        </w:trPr>
        <w:tc>
          <w:tcPr>
            <w:tcW w:type="dxa" w:w="2101"/>
            <w:vAlign w:val="center"/>
            <w:shd w:fill="F2F2F2"/>
          </w:tcPr>
          <w:p>
            <w:pPr>
              <w:spacing w:after="0"/>
            </w:pPr>
            <w:r/>
            <w:r>
              <w:rPr>
                <w:rFonts w:ascii="Aptos" w:hAnsi="Aptos"/>
                <w:b w:val="0"/>
                <w:sz w:val="17"/>
              </w:rPr>
              <w:t>Network</w:t>
            </w:r>
          </w:p>
        </w:tc>
        <w:tc>
          <w:tcPr>
            <w:tcW w:type="dxa" w:w="8123"/>
            <w:vAlign w:val="center"/>
            <w:shd w:fill="F2F2F2"/>
          </w:tcPr>
          <w:p>
            <w:pPr>
              <w:spacing w:after="0"/>
            </w:pPr>
            <w:r/>
            <w:r>
              <w:rPr>
                <w:rFonts w:ascii="Aptos" w:hAnsi="Aptos"/>
                <w:b w:val="0"/>
                <w:sz w:val="17"/>
              </w:rPr>
              <w:t>CIDRs, DRG attachment/route table, import/export, on-prem return routes, firewall rules, private DNS and MTU</w:t>
            </w:r>
          </w:p>
        </w:tc>
      </w:tr>
      <w:tr>
        <w:trPr>
          <w:cantSplit/>
        </w:trPr>
        <w:tc>
          <w:tcPr>
            <w:tcW w:type="dxa" w:w="2101"/>
            <w:vAlign w:val="center"/>
          </w:tcPr>
          <w:p>
            <w:pPr>
              <w:spacing w:after="0"/>
            </w:pPr>
            <w:r/>
            <w:r>
              <w:rPr>
                <w:rFonts w:ascii="Aptos" w:hAnsi="Aptos"/>
                <w:b w:val="0"/>
                <w:sz w:val="17"/>
              </w:rPr>
              <w:t>Security</w:t>
            </w:r>
          </w:p>
        </w:tc>
        <w:tc>
          <w:tcPr>
            <w:tcW w:type="dxa" w:w="8123"/>
            <w:vAlign w:val="center"/>
          </w:tcPr>
          <w:p>
            <w:pPr>
              <w:spacing w:after="0"/>
            </w:pPr>
            <w:r/>
            <w:r>
              <w:rPr>
                <w:rFonts w:ascii="Aptos" w:hAnsi="Aptos"/>
                <w:b w:val="0"/>
                <w:sz w:val="17"/>
              </w:rPr>
              <w:t>RHEL baseline, Podman, SELinux, fapolicyd exception, vulnerability tools, TLS, privileged install window and evidence</w:t>
            </w:r>
          </w:p>
        </w:tc>
      </w:tr>
      <w:tr>
        <w:trPr>
          <w:cantSplit/>
        </w:trPr>
        <w:tc>
          <w:tcPr>
            <w:tcW w:type="dxa" w:w="2101"/>
            <w:vAlign w:val="center"/>
            <w:shd w:fill="F2F2F2"/>
          </w:tcPr>
          <w:p>
            <w:pPr>
              <w:spacing w:after="0"/>
            </w:pPr>
            <w:r/>
            <w:r>
              <w:rPr>
                <w:rFonts w:ascii="Aptos" w:hAnsi="Aptos"/>
                <w:b w:val="0"/>
                <w:sz w:val="17"/>
              </w:rPr>
              <w:t>Storage / backup</w:t>
            </w:r>
          </w:p>
        </w:tc>
        <w:tc>
          <w:tcPr>
            <w:tcW w:type="dxa" w:w="8123"/>
            <w:vAlign w:val="center"/>
            <w:shd w:fill="F2F2F2"/>
          </w:tcPr>
          <w:p>
            <w:pPr>
              <w:spacing w:after="0"/>
            </w:pPr>
            <w:r/>
            <w:r>
              <w:rPr>
                <w:rFonts w:ascii="Aptos" w:hAnsi="Aptos"/>
                <w:b w:val="0"/>
                <w:sz w:val="17"/>
              </w:rPr>
              <w:t>Block-volume performance, backup policy, restore test and POC destruction</w:t>
            </w:r>
          </w:p>
        </w:tc>
      </w:tr>
      <w:tr>
        <w:trPr>
          <w:cantSplit/>
        </w:trPr>
        <w:tc>
          <w:tcPr>
            <w:tcW w:type="dxa" w:w="2101"/>
            <w:vAlign w:val="center"/>
          </w:tcPr>
          <w:p>
            <w:pPr>
              <w:spacing w:after="0"/>
            </w:pPr>
            <w:r/>
            <w:r>
              <w:rPr>
                <w:rFonts w:ascii="Aptos" w:hAnsi="Aptos"/>
                <w:b w:val="0"/>
                <w:sz w:val="17"/>
              </w:rPr>
              <w:t>Project owner</w:t>
            </w:r>
          </w:p>
        </w:tc>
        <w:tc>
          <w:tcPr>
            <w:tcW w:type="dxa" w:w="8123"/>
            <w:vAlign w:val="center"/>
          </w:tcPr>
          <w:p>
            <w:pPr>
              <w:spacing w:after="0"/>
            </w:pPr>
            <w:r/>
            <w:r>
              <w:rPr>
                <w:rFonts w:ascii="Aptos" w:hAnsi="Aptos"/>
                <w:b w:val="0"/>
                <w:sz w:val="17"/>
              </w:rPr>
              <w:t>Cost ceiling, operating window, test data, success criteria and rollback authority</w:t>
            </w:r>
          </w:p>
        </w:tc>
      </w:tr>
    </w:tbl>
    <w:p>
      <w:pPr>
        <w:spacing w:after="0"/>
      </w:pPr>
    </w:p>
    <w:p>
      <w:r>
        <w:rPr>
          <w:b/>
        </w:rPr>
        <w:t xml:space="preserve">SECURITY EXCEPTION  </w:t>
      </w:r>
      <w:r>
        <w:t>Hyperscience documents that fapolicyd is not supported for Podman deployments. Obtain a written exception or an approved compensating-control design before installation; retain SELinux and endpoint controls approved by security.</w:t>
      </w:r>
    </w:p>
    <w:p>
      <w:r>
        <w:br w:type="page"/>
      </w:r>
    </w:p>
    <w:p>
      <w:pPr>
        <w:pStyle w:val="Heading1"/>
        <w:keepNext/>
      </w:pPr>
      <w:r>
        <w:t>4 Network IAM and security preparation</w:t>
      </w:r>
    </w:p>
    <w:p>
      <w:pPr>
        <w:pStyle w:val="Heading2"/>
        <w:keepNext/>
      </w:pPr>
      <w:r>
        <w:t>4 1 Network checklist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val="true"/>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Reserve non-overlapping Hyperscience POC VCN and private-subnet CIDRs; record them in IPAM.</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Confirm the approved existing DRG and DRG route-table OCIDs; validate route import/export and on-prem return routes.</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Confirm SCCA firewall inspection and approved traffic from jump host, POC users, DNS/NTP, identity services and internal transfer endpoints.</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John and Tony finalize the private application URL and send it to Chase for licensing. Add trainer DNS only if a trainer is approved. Obtain the TLS certificate and CA chain.</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Verify Service Gateway reachability to approved OCI services. Do not add an Internet or NAT gateway for this POC.</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Plan temporary TCP/80 only if required during installation; user access must use TCP/443 after TLS is enabled.</w:t>
            </w:r>
          </w:p>
        </w:tc>
        <w:tc>
          <w:tcPr>
            <w:tcW w:type="dxa" w:w="1715"/>
            <w:vAlign w:val="center"/>
            <w:shd w:fill="F2F2F2"/>
          </w:tcPr>
          <w:p>
            <w:pPr>
              <w:spacing w:after="0"/>
            </w:pPr>
            <w:r/>
            <w:r>
              <w:rPr>
                <w:rFonts w:ascii="Aptos" w:hAnsi="Aptos"/>
                <w:b w:val="0"/>
                <w:sz w:val="16"/>
              </w:rPr>
            </w:r>
          </w:p>
        </w:tc>
      </w:tr>
    </w:tbl>
    <w:p>
      <w:pPr>
        <w:spacing w:after="0"/>
      </w:pPr>
    </w:p>
    <w:p>
      <w:pPr>
        <w:pStyle w:val="Heading2"/>
        <w:keepNext/>
      </w:pPr>
      <w:r>
        <w:t>4 2 Minimum traffic matrix</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1"/>
        <w:gridCol w:w="3040"/>
        <w:gridCol w:w="1865"/>
        <w:gridCol w:w="3109"/>
      </w:tblGrid>
      <w:tr>
        <w:trPr>
          <w:tblHeader w:val="true"/>
          <w:cantSplit/>
        </w:trPr>
        <w:tc>
          <w:tcPr>
            <w:tcW w:type="dxa" w:w="2211"/>
            <w:vAlign w:val="center"/>
            <w:shd w:fill="1F4E78"/>
          </w:tcPr>
          <w:p>
            <w:pPr>
              <w:spacing w:after="0"/>
            </w:pPr>
            <w:r/>
            <w:r>
              <w:rPr>
                <w:rFonts w:ascii="Aptos" w:hAnsi="Aptos"/>
                <w:b/>
                <w:color w:val="FFFFFF"/>
                <w:sz w:val="18"/>
              </w:rPr>
              <w:t>Source</w:t>
            </w:r>
          </w:p>
        </w:tc>
        <w:tc>
          <w:tcPr>
            <w:tcW w:type="dxa" w:w="3040"/>
            <w:vAlign w:val="center"/>
            <w:shd w:fill="1F4E78"/>
          </w:tcPr>
          <w:p>
            <w:pPr>
              <w:spacing w:after="0"/>
            </w:pPr>
            <w:r/>
            <w:r>
              <w:rPr>
                <w:rFonts w:ascii="Aptos" w:hAnsi="Aptos"/>
                <w:b/>
                <w:color w:val="FFFFFF"/>
                <w:sz w:val="18"/>
              </w:rPr>
              <w:t>Destination</w:t>
            </w:r>
          </w:p>
        </w:tc>
        <w:tc>
          <w:tcPr>
            <w:tcW w:type="dxa" w:w="1865"/>
            <w:vAlign w:val="center"/>
            <w:shd w:fill="1F4E78"/>
          </w:tcPr>
          <w:p>
            <w:pPr>
              <w:spacing w:after="0"/>
            </w:pPr>
            <w:r/>
            <w:r>
              <w:rPr>
                <w:rFonts w:ascii="Aptos" w:hAnsi="Aptos"/>
                <w:b/>
                <w:color w:val="FFFFFF"/>
                <w:sz w:val="18"/>
              </w:rPr>
              <w:t>Port</w:t>
            </w:r>
          </w:p>
        </w:tc>
        <w:tc>
          <w:tcPr>
            <w:tcW w:type="dxa" w:w="3109"/>
            <w:vAlign w:val="center"/>
            <w:shd w:fill="1F4E78"/>
          </w:tcPr>
          <w:p>
            <w:pPr>
              <w:spacing w:after="0"/>
            </w:pPr>
            <w:r/>
            <w:r>
              <w:rPr>
                <w:rFonts w:ascii="Aptos" w:hAnsi="Aptos"/>
                <w:b/>
                <w:color w:val="FFFFFF"/>
                <w:sz w:val="18"/>
              </w:rPr>
              <w:t>Purpose</w:t>
            </w:r>
          </w:p>
        </w:tc>
      </w:tr>
      <w:tr>
        <w:trPr>
          <w:cantSplit/>
        </w:trPr>
        <w:tc>
          <w:tcPr>
            <w:tcW w:type="dxa" w:w="2211"/>
            <w:vAlign w:val="center"/>
          </w:tcPr>
          <w:p>
            <w:pPr>
              <w:spacing w:after="0"/>
            </w:pPr>
            <w:r/>
            <w:r>
              <w:rPr>
                <w:rFonts w:ascii="Aptos" w:hAnsi="Aptos"/>
                <w:b w:val="0"/>
                <w:sz w:val="16"/>
              </w:rPr>
              <w:t>Windows jump host</w:t>
            </w:r>
          </w:p>
        </w:tc>
        <w:tc>
          <w:tcPr>
            <w:tcW w:type="dxa" w:w="3040"/>
            <w:vAlign w:val="center"/>
          </w:tcPr>
          <w:p>
            <w:pPr>
              <w:spacing w:after="0"/>
            </w:pPr>
            <w:r/>
            <w:r>
              <w:rPr>
                <w:rFonts w:ascii="Aptos" w:hAnsi="Aptos"/>
                <w:b w:val="0"/>
                <w:sz w:val="16"/>
              </w:rPr>
              <w:t>Both VMs</w:t>
            </w:r>
          </w:p>
        </w:tc>
        <w:tc>
          <w:tcPr>
            <w:tcW w:type="dxa" w:w="1865"/>
            <w:vAlign w:val="center"/>
          </w:tcPr>
          <w:p>
            <w:pPr>
              <w:spacing w:after="0"/>
            </w:pPr>
            <w:r/>
            <w:r>
              <w:rPr>
                <w:rFonts w:ascii="Aptos" w:hAnsi="Aptos"/>
                <w:b w:val="0"/>
                <w:sz w:val="16"/>
              </w:rPr>
              <w:t>TCP/22</w:t>
            </w:r>
          </w:p>
        </w:tc>
        <w:tc>
          <w:tcPr>
            <w:tcW w:type="dxa" w:w="3109"/>
            <w:vAlign w:val="center"/>
          </w:tcPr>
          <w:p>
            <w:pPr>
              <w:spacing w:after="0"/>
            </w:pPr>
            <w:r/>
            <w:r>
              <w:rPr>
                <w:rFonts w:ascii="Aptos" w:hAnsi="Aptos"/>
                <w:b w:val="0"/>
                <w:sz w:val="16"/>
              </w:rPr>
              <w:t>Administrative SSH</w:t>
            </w:r>
          </w:p>
        </w:tc>
      </w:tr>
      <w:tr>
        <w:trPr>
          <w:cantSplit/>
        </w:trPr>
        <w:tc>
          <w:tcPr>
            <w:tcW w:type="dxa" w:w="2211"/>
            <w:vAlign w:val="center"/>
            <w:shd w:fill="F2F2F2"/>
          </w:tcPr>
          <w:p>
            <w:pPr>
              <w:spacing w:after="0"/>
            </w:pPr>
            <w:r/>
            <w:r>
              <w:rPr>
                <w:rFonts w:ascii="Aptos" w:hAnsi="Aptos"/>
                <w:b w:val="0"/>
                <w:sz w:val="16"/>
              </w:rPr>
              <w:t>Approved POC user CIDRs</w:t>
            </w:r>
          </w:p>
        </w:tc>
        <w:tc>
          <w:tcPr>
            <w:tcW w:type="dxa" w:w="3040"/>
            <w:vAlign w:val="center"/>
            <w:shd w:fill="F2F2F2"/>
          </w:tcPr>
          <w:p>
            <w:pPr>
              <w:spacing w:after="0"/>
            </w:pPr>
            <w:r/>
            <w:r>
              <w:rPr>
                <w:rFonts w:ascii="Aptos" w:hAnsi="Aptos"/>
                <w:b w:val="0"/>
                <w:sz w:val="16"/>
              </w:rPr>
              <w:t>Application private DNS/IP</w:t>
            </w:r>
          </w:p>
        </w:tc>
        <w:tc>
          <w:tcPr>
            <w:tcW w:type="dxa" w:w="1865"/>
            <w:vAlign w:val="center"/>
            <w:shd w:fill="F2F2F2"/>
          </w:tcPr>
          <w:p>
            <w:pPr>
              <w:spacing w:after="0"/>
            </w:pPr>
            <w:r/>
            <w:r>
              <w:rPr>
                <w:rFonts w:ascii="Aptos" w:hAnsi="Aptos"/>
                <w:b w:val="0"/>
                <w:sz w:val="16"/>
              </w:rPr>
              <w:t>TCP/443</w:t>
            </w:r>
          </w:p>
        </w:tc>
        <w:tc>
          <w:tcPr>
            <w:tcW w:type="dxa" w:w="3109"/>
            <w:vAlign w:val="center"/>
            <w:shd w:fill="F2F2F2"/>
          </w:tcPr>
          <w:p>
            <w:pPr>
              <w:spacing w:after="0"/>
            </w:pPr>
            <w:r/>
            <w:r>
              <w:rPr>
                <w:rFonts w:ascii="Aptos" w:hAnsi="Aptos"/>
                <w:b w:val="0"/>
                <w:sz w:val="16"/>
              </w:rPr>
              <w:t>Web UI and API</w:t>
            </w:r>
          </w:p>
        </w:tc>
      </w:tr>
      <w:tr>
        <w:trPr>
          <w:cantSplit/>
        </w:trPr>
        <w:tc>
          <w:tcPr>
            <w:tcW w:type="dxa" w:w="2211"/>
            <w:vAlign w:val="center"/>
          </w:tcPr>
          <w:p>
            <w:pPr>
              <w:spacing w:after="0"/>
            </w:pPr>
            <w:r/>
            <w:r>
              <w:rPr>
                <w:rFonts w:ascii="Aptos" w:hAnsi="Aptos"/>
                <w:b w:val="0"/>
                <w:sz w:val="16"/>
              </w:rPr>
              <w:t>Optional trainer</w:t>
            </w:r>
          </w:p>
        </w:tc>
        <w:tc>
          <w:tcPr>
            <w:tcW w:type="dxa" w:w="3040"/>
            <w:vAlign w:val="center"/>
          </w:tcPr>
          <w:p>
            <w:pPr>
              <w:spacing w:after="0"/>
            </w:pPr>
            <w:r/>
            <w:r>
              <w:rPr>
                <w:rFonts w:ascii="Aptos" w:hAnsi="Aptos"/>
                <w:b w:val="0"/>
                <w:sz w:val="16"/>
              </w:rPr>
              <w:t>Application private DNS/IP</w:t>
            </w:r>
          </w:p>
        </w:tc>
        <w:tc>
          <w:tcPr>
            <w:tcW w:type="dxa" w:w="1865"/>
            <w:vAlign w:val="center"/>
          </w:tcPr>
          <w:p>
            <w:pPr>
              <w:spacing w:after="0"/>
            </w:pPr>
            <w:r/>
            <w:r>
              <w:rPr>
                <w:rFonts w:ascii="Aptos" w:hAnsi="Aptos"/>
                <w:b w:val="0"/>
                <w:sz w:val="16"/>
              </w:rPr>
              <w:t>TCP/443</w:t>
            </w:r>
          </w:p>
        </w:tc>
        <w:tc>
          <w:tcPr>
            <w:tcW w:type="dxa" w:w="3109"/>
            <w:vAlign w:val="center"/>
          </w:tcPr>
          <w:p>
            <w:pPr>
              <w:spacing w:after="0"/>
            </w:pPr>
            <w:r/>
            <w:r>
              <w:rPr>
                <w:rFonts w:ascii="Aptos" w:hAnsi="Aptos"/>
                <w:b w:val="0"/>
                <w:sz w:val="16"/>
              </w:rPr>
              <w:t>Only if trainer deployment is approved</w:t>
            </w:r>
          </w:p>
        </w:tc>
      </w:tr>
      <w:tr>
        <w:trPr>
          <w:cantSplit/>
        </w:trPr>
        <w:tc>
          <w:tcPr>
            <w:tcW w:type="dxa" w:w="2211"/>
            <w:vAlign w:val="center"/>
            <w:shd w:fill="F2F2F2"/>
          </w:tcPr>
          <w:p>
            <w:pPr>
              <w:spacing w:after="0"/>
            </w:pPr>
            <w:r/>
            <w:r>
              <w:rPr>
                <w:rFonts w:ascii="Aptos" w:hAnsi="Aptos"/>
                <w:b w:val="0"/>
                <w:sz w:val="16"/>
              </w:rPr>
              <w:t>Both VMs</w:t>
            </w:r>
          </w:p>
        </w:tc>
        <w:tc>
          <w:tcPr>
            <w:tcW w:type="dxa" w:w="3040"/>
            <w:vAlign w:val="center"/>
            <w:shd w:fill="F2F2F2"/>
          </w:tcPr>
          <w:p>
            <w:pPr>
              <w:spacing w:after="0"/>
            </w:pPr>
            <w:r/>
            <w:r>
              <w:rPr>
                <w:rFonts w:ascii="Aptos" w:hAnsi="Aptos"/>
                <w:b w:val="0"/>
                <w:sz w:val="16"/>
              </w:rPr>
              <w:t>OCI resolver/NTP</w:t>
            </w:r>
          </w:p>
        </w:tc>
        <w:tc>
          <w:tcPr>
            <w:tcW w:type="dxa" w:w="1865"/>
            <w:vAlign w:val="center"/>
            <w:shd w:fill="F2F2F2"/>
          </w:tcPr>
          <w:p>
            <w:pPr>
              <w:spacing w:after="0"/>
            </w:pPr>
            <w:r/>
            <w:r>
              <w:rPr>
                <w:rFonts w:ascii="Aptos" w:hAnsi="Aptos"/>
                <w:b w:val="0"/>
                <w:sz w:val="16"/>
              </w:rPr>
              <w:t>TCP+UDP/53; UDP/123</w:t>
            </w:r>
          </w:p>
        </w:tc>
        <w:tc>
          <w:tcPr>
            <w:tcW w:type="dxa" w:w="3109"/>
            <w:vAlign w:val="center"/>
            <w:shd w:fill="F2F2F2"/>
          </w:tcPr>
          <w:p>
            <w:pPr>
              <w:spacing w:after="0"/>
            </w:pPr>
            <w:r/>
            <w:r>
              <w:rPr>
                <w:rFonts w:ascii="Aptos" w:hAnsi="Aptos"/>
                <w:b w:val="0"/>
                <w:sz w:val="16"/>
              </w:rPr>
              <w:t>Name resolution and time</w:t>
            </w:r>
          </w:p>
        </w:tc>
      </w:tr>
      <w:tr>
        <w:trPr>
          <w:cantSplit/>
        </w:trPr>
        <w:tc>
          <w:tcPr>
            <w:tcW w:type="dxa" w:w="2211"/>
            <w:vAlign w:val="center"/>
          </w:tcPr>
          <w:p>
            <w:pPr>
              <w:spacing w:after="0"/>
            </w:pPr>
            <w:r/>
            <w:r>
              <w:rPr>
                <w:rFonts w:ascii="Aptos" w:hAnsi="Aptos"/>
                <w:b w:val="0"/>
                <w:sz w:val="16"/>
              </w:rPr>
              <w:t>Both VMs</w:t>
            </w:r>
          </w:p>
        </w:tc>
        <w:tc>
          <w:tcPr>
            <w:tcW w:type="dxa" w:w="3040"/>
            <w:vAlign w:val="center"/>
          </w:tcPr>
          <w:p>
            <w:pPr>
              <w:spacing w:after="0"/>
            </w:pPr>
            <w:r/>
            <w:r>
              <w:rPr>
                <w:rFonts w:ascii="Aptos" w:hAnsi="Aptos"/>
                <w:b w:val="0"/>
                <w:sz w:val="16"/>
              </w:rPr>
              <w:t>Approved OCI services</w:t>
            </w:r>
          </w:p>
        </w:tc>
        <w:tc>
          <w:tcPr>
            <w:tcW w:type="dxa" w:w="1865"/>
            <w:vAlign w:val="center"/>
          </w:tcPr>
          <w:p>
            <w:pPr>
              <w:spacing w:after="0"/>
            </w:pPr>
            <w:r/>
            <w:r>
              <w:rPr>
                <w:rFonts w:ascii="Aptos" w:hAnsi="Aptos"/>
                <w:b w:val="0"/>
                <w:sz w:val="16"/>
              </w:rPr>
              <w:t>TCP/443</w:t>
            </w:r>
          </w:p>
        </w:tc>
        <w:tc>
          <w:tcPr>
            <w:tcW w:type="dxa" w:w="3109"/>
            <w:vAlign w:val="center"/>
          </w:tcPr>
          <w:p>
            <w:pPr>
              <w:spacing w:after="0"/>
            </w:pPr>
            <w:r/>
            <w:r>
              <w:rPr>
                <w:rFonts w:ascii="Aptos" w:hAnsi="Aptos"/>
                <w:b w:val="0"/>
                <w:sz w:val="16"/>
              </w:rPr>
              <w:t>Object Storage, Logging/Monitoring and approved service APIs</w:t>
            </w:r>
          </w:p>
        </w:tc>
      </w:tr>
      <w:tr>
        <w:trPr>
          <w:cantSplit/>
        </w:trPr>
        <w:tc>
          <w:tcPr>
            <w:tcW w:type="dxa" w:w="2211"/>
            <w:vAlign w:val="center"/>
            <w:shd w:fill="F2F2F2"/>
          </w:tcPr>
          <w:p>
            <w:pPr>
              <w:spacing w:after="0"/>
            </w:pPr>
            <w:r/>
            <w:r>
              <w:rPr>
                <w:rFonts w:ascii="Aptos" w:hAnsi="Aptos"/>
                <w:b w:val="0"/>
                <w:sz w:val="16"/>
              </w:rPr>
              <w:t>Both VMs</w:t>
            </w:r>
          </w:p>
        </w:tc>
        <w:tc>
          <w:tcPr>
            <w:tcW w:type="dxa" w:w="3040"/>
            <w:vAlign w:val="center"/>
            <w:shd w:fill="F2F2F2"/>
          </w:tcPr>
          <w:p>
            <w:pPr>
              <w:spacing w:after="0"/>
            </w:pPr>
            <w:r/>
            <w:r>
              <w:rPr>
                <w:rFonts w:ascii="Aptos" w:hAnsi="Aptos"/>
                <w:b w:val="0"/>
                <w:sz w:val="16"/>
              </w:rPr>
              <w:t>Enterprise services</w:t>
            </w:r>
          </w:p>
        </w:tc>
        <w:tc>
          <w:tcPr>
            <w:tcW w:type="dxa" w:w="1865"/>
            <w:vAlign w:val="center"/>
            <w:shd w:fill="F2F2F2"/>
          </w:tcPr>
          <w:p>
            <w:pPr>
              <w:spacing w:after="0"/>
            </w:pPr>
            <w:r/>
            <w:r>
              <w:rPr>
                <w:rFonts w:ascii="Aptos" w:hAnsi="Aptos"/>
                <w:b w:val="0"/>
                <w:sz w:val="16"/>
              </w:rPr>
              <w:t>As approved</w:t>
            </w:r>
          </w:p>
        </w:tc>
        <w:tc>
          <w:tcPr>
            <w:tcW w:type="dxa" w:w="3109"/>
            <w:vAlign w:val="center"/>
            <w:shd w:fill="F2F2F2"/>
          </w:tcPr>
          <w:p>
            <w:pPr>
              <w:spacing w:after="0"/>
            </w:pPr>
            <w:r/>
            <w:r>
              <w:rPr>
                <w:rFonts w:ascii="Aptos" w:hAnsi="Aptos"/>
                <w:b w:val="0"/>
                <w:sz w:val="16"/>
              </w:rPr>
              <w:t>Satellite/repositories, identity, scanning, backup and log collectors</w:t>
            </w:r>
          </w:p>
        </w:tc>
      </w:tr>
    </w:tbl>
    <w:p>
      <w:pPr>
        <w:spacing w:after="0"/>
      </w:pPr>
    </w:p>
    <w:p>
      <w:pPr>
        <w:pStyle w:val="Heading2"/>
        <w:keepNext/>
      </w:pPr>
      <w:r>
        <w:t>4 3 IAM and governance</w:t>
      </w:r>
    </w:p>
    <w:p>
      <w:pPr>
        <w:pStyle w:val="ListBullet"/>
      </w:pPr>
      <w:r>
        <w:t>Create or select the dedicated Hyperscience POC compartment and separate ORM stack; do not reuse the DataWalk stack.</w:t>
      </w:r>
    </w:p>
    <w:p>
      <w:pPr>
        <w:pStyle w:val="ListBullet"/>
      </w:pPr>
      <w:r>
        <w:t>Grant the ORM dynamic group only the compartment-scoped permissions required to create the approved network, compute and block-volume resources.</w:t>
      </w:r>
    </w:p>
    <w:p>
      <w:pPr>
        <w:pStyle w:val="ListBullet"/>
      </w:pPr>
      <w:r>
        <w:t>Apply cost-center, application, environment, owner, data-classification and expiration tags; add budget alerts and a POC quota where approved.</w:t>
      </w:r>
    </w:p>
    <w:p>
      <w:pPr>
        <w:pStyle w:val="ListBullet"/>
      </w:pPr>
      <w:r>
        <w:t>Use Vault/KMS and approved secret handling. Do not place passwords, private keys, license keys or bundle URLs in Terraform variables or the repository.</w:t>
      </w:r>
    </w:p>
    <w:p>
      <w:r>
        <w:br w:type="page"/>
      </w:r>
    </w:p>
    <w:p>
      <w:pPr>
        <w:pStyle w:val="Heading1"/>
        <w:keepNext/>
      </w:pPr>
      <w:r>
        <w:t>5 Procedure A Deploy the OCI foundation with ORM</w:t>
      </w:r>
    </w:p>
    <w:p>
      <w:pPr>
        <w:pStyle w:val="Heading2"/>
        <w:keepNext/>
      </w:pPr>
      <w:r>
        <w:t>5 1 Create the stack</w:t>
      </w:r>
    </w:p>
    <w:p>
      <w:pPr>
        <w:ind w:left="346" w:hanging="346"/>
      </w:pPr>
      <w:r>
        <w:rPr>
          <w:b/>
        </w:rPr>
        <w:t xml:space="preserve">1.  </w:t>
      </w:r>
      <w:r>
        <w:t>OCI Console → Developer Services → Resource Manager → Configuration Source Providers. Select the approved GitHub provider.</w:t>
      </w:r>
    </w:p>
    <w:p>
      <w:pPr>
        <w:ind w:left="346" w:hanging="346"/>
      </w:pPr>
      <w:r>
        <w:rPr>
          <w:b/>
        </w:rPr>
        <w:t xml:space="preserve">2.  </w:t>
      </w:r>
      <w:r>
        <w:t>Create a stack from repository oci-appdev/dwhs, branch main, working directory terraform/oci-vm-foundation.</w:t>
      </w:r>
    </w:p>
    <w:p>
      <w:pPr>
        <w:ind w:left="346" w:hanging="346"/>
      </w:pPr>
      <w:r>
        <w:rPr>
          <w:b/>
        </w:rPr>
        <w:t xml:space="preserve">3.  </w:t>
      </w:r>
      <w:r>
        <w:t>Place the stack in the approved infrastructure compartment and name it hs-poc-infrastructure.</w:t>
      </w:r>
    </w:p>
    <w:p>
      <w:pPr>
        <w:ind w:left="346" w:hanging="346"/>
      </w:pPr>
      <w:r>
        <w:rPr>
          <w:b/>
        </w:rPr>
        <w:t xml:space="preserve">4.  </w:t>
      </w:r>
      <w:r>
        <w:t>Select a supported Terraform version 1.2 or later and retain the generated configuration snapshot with the change ticket.</w:t>
      </w:r>
    </w:p>
    <w:p>
      <w:pPr>
        <w:pStyle w:val="Heading2"/>
        <w:keepNext/>
      </w:pPr>
      <w:r>
        <w:t>5 2 ORM input sheet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81"/>
        <w:gridCol w:w="7143"/>
      </w:tblGrid>
      <w:tr>
        <w:trPr>
          <w:tblHeader w:val="true"/>
          <w:cantSplit/>
        </w:trPr>
        <w:tc>
          <w:tcPr>
            <w:tcW w:type="dxa" w:w="3081"/>
            <w:vAlign w:val="center"/>
            <w:shd w:fill="1F4E78"/>
          </w:tcPr>
          <w:p>
            <w:pPr>
              <w:spacing w:after="0"/>
            </w:pPr>
            <w:r/>
            <w:r>
              <w:rPr>
                <w:rFonts w:ascii="Aptos" w:hAnsi="Aptos"/>
                <w:b/>
                <w:color w:val="FFFFFF"/>
                <w:sz w:val="18"/>
              </w:rPr>
              <w:t>Variable</w:t>
            </w:r>
          </w:p>
        </w:tc>
        <w:tc>
          <w:tcPr>
            <w:tcW w:type="dxa" w:w="7143"/>
            <w:vAlign w:val="center"/>
            <w:shd w:fill="1F4E78"/>
          </w:tcPr>
          <w:p>
            <w:pPr>
              <w:spacing w:after="0"/>
            </w:pPr>
            <w:r/>
            <w:r>
              <w:rPr>
                <w:rFonts w:ascii="Aptos" w:hAnsi="Aptos"/>
                <w:b/>
                <w:color w:val="FFFFFF"/>
                <w:sz w:val="18"/>
              </w:rPr>
              <w:t>POC value / instruction</w:t>
            </w:r>
          </w:p>
        </w:tc>
      </w:tr>
      <w:tr>
        <w:trPr>
          <w:cantSplit/>
        </w:trPr>
        <w:tc>
          <w:tcPr>
            <w:tcW w:type="dxa" w:w="3081"/>
            <w:vAlign w:val="center"/>
          </w:tcPr>
          <w:p>
            <w:pPr>
              <w:spacing w:after="0"/>
            </w:pPr>
            <w:r/>
            <w:r>
              <w:rPr>
                <w:rFonts w:ascii="Aptos" w:hAnsi="Aptos"/>
                <w:b w:val="0"/>
                <w:sz w:val="16"/>
              </w:rPr>
              <w:t>name</w:t>
            </w:r>
          </w:p>
        </w:tc>
        <w:tc>
          <w:tcPr>
            <w:tcW w:type="dxa" w:w="7143"/>
            <w:vAlign w:val="center"/>
          </w:tcPr>
          <w:p>
            <w:pPr>
              <w:spacing w:after="0"/>
            </w:pPr>
            <w:r/>
            <w:r>
              <w:rPr>
                <w:rFonts w:ascii="Aptos" w:hAnsi="Aptos"/>
                <w:b w:val="0"/>
                <w:sz w:val="16"/>
              </w:rPr>
              <w:t>hs-poc</w:t>
            </w:r>
          </w:p>
        </w:tc>
      </w:tr>
      <w:tr>
        <w:trPr>
          <w:cantSplit/>
        </w:trPr>
        <w:tc>
          <w:tcPr>
            <w:tcW w:type="dxa" w:w="3081"/>
            <w:vAlign w:val="center"/>
            <w:shd w:fill="F2F2F2"/>
          </w:tcPr>
          <w:p>
            <w:pPr>
              <w:spacing w:after="0"/>
            </w:pPr>
            <w:r/>
            <w:r>
              <w:rPr>
                <w:rFonts w:ascii="Aptos" w:hAnsi="Aptos"/>
                <w:b w:val="0"/>
                <w:sz w:val="16"/>
              </w:rPr>
              <w:t>shape</w:t>
            </w:r>
          </w:p>
        </w:tc>
        <w:tc>
          <w:tcPr>
            <w:tcW w:type="dxa" w:w="7143"/>
            <w:vAlign w:val="center"/>
            <w:shd w:fill="F2F2F2"/>
          </w:tcPr>
          <w:p>
            <w:pPr>
              <w:spacing w:after="0"/>
            </w:pPr>
            <w:r/>
            <w:r>
              <w:rPr>
                <w:rFonts w:ascii="Aptos" w:hAnsi="Aptos"/>
                <w:b w:val="0"/>
                <w:sz w:val="16"/>
              </w:rPr>
              <w:t>VM.GPU.A10.2</w:t>
            </w:r>
          </w:p>
        </w:tc>
      </w:tr>
      <w:tr>
        <w:trPr>
          <w:cantSplit/>
        </w:trPr>
        <w:tc>
          <w:tcPr>
            <w:tcW w:type="dxa" w:w="3081"/>
            <w:vAlign w:val="center"/>
          </w:tcPr>
          <w:p>
            <w:pPr>
              <w:spacing w:after="0"/>
            </w:pPr>
            <w:r/>
            <w:r>
              <w:rPr>
                <w:rFonts w:ascii="Aptos" w:hAnsi="Aptos"/>
                <w:b w:val="0"/>
                <w:sz w:val="16"/>
              </w:rPr>
              <w:t>instance_count</w:t>
            </w:r>
          </w:p>
        </w:tc>
        <w:tc>
          <w:tcPr>
            <w:tcW w:type="dxa" w:w="7143"/>
            <w:vAlign w:val="center"/>
          </w:tcPr>
          <w:p>
            <w:pPr>
              <w:spacing w:after="0"/>
            </w:pPr>
            <w:r/>
            <w:r>
              <w:rPr>
                <w:rFonts w:ascii="Aptos" w:hAnsi="Aptos"/>
                <w:b w:val="0"/>
                <w:sz w:val="16"/>
              </w:rPr>
              <w:t>1 for application baseline; change to 2 only after trainer approval</w:t>
            </w:r>
          </w:p>
        </w:tc>
      </w:tr>
      <w:tr>
        <w:trPr>
          <w:cantSplit/>
        </w:trPr>
        <w:tc>
          <w:tcPr>
            <w:tcW w:type="dxa" w:w="3081"/>
            <w:vAlign w:val="center"/>
            <w:shd w:fill="F2F2F2"/>
          </w:tcPr>
          <w:p>
            <w:pPr>
              <w:spacing w:after="0"/>
            </w:pPr>
            <w:r/>
            <w:r>
              <w:rPr>
                <w:rFonts w:ascii="Aptos" w:hAnsi="Aptos"/>
                <w:b w:val="0"/>
                <w:sz w:val="16"/>
              </w:rPr>
              <w:t>flex_ocpus / flex_memory_gb</w:t>
            </w:r>
          </w:p>
        </w:tc>
        <w:tc>
          <w:tcPr>
            <w:tcW w:type="dxa" w:w="7143"/>
            <w:vAlign w:val="center"/>
            <w:shd w:fill="F2F2F2"/>
          </w:tcPr>
          <w:p>
            <w:pPr>
              <w:spacing w:after="0"/>
            </w:pPr>
            <w:r/>
            <w:r>
              <w:rPr>
                <w:rFonts w:ascii="Aptos" w:hAnsi="Aptos"/>
                <w:b w:val="0"/>
                <w:sz w:val="16"/>
              </w:rPr>
              <w:t>Ignored for A10.2; leave defaults</w:t>
            </w:r>
          </w:p>
        </w:tc>
      </w:tr>
      <w:tr>
        <w:trPr>
          <w:cantSplit/>
        </w:trPr>
        <w:tc>
          <w:tcPr>
            <w:tcW w:type="dxa" w:w="3081"/>
            <w:vAlign w:val="center"/>
          </w:tcPr>
          <w:p>
            <w:pPr>
              <w:spacing w:after="0"/>
            </w:pPr>
            <w:r/>
            <w:r>
              <w:rPr>
                <w:rFonts w:ascii="Aptos" w:hAnsi="Aptos"/>
                <w:b w:val="0"/>
                <w:sz w:val="16"/>
              </w:rPr>
              <w:t>boot_volume_gb</w:t>
            </w:r>
          </w:p>
        </w:tc>
        <w:tc>
          <w:tcPr>
            <w:tcW w:type="dxa" w:w="7143"/>
            <w:vAlign w:val="center"/>
          </w:tcPr>
          <w:p>
            <w:pPr>
              <w:spacing w:after="0"/>
            </w:pPr>
            <w:r/>
            <w:r>
              <w:rPr>
                <w:rFonts w:ascii="Aptos" w:hAnsi="Aptos"/>
                <w:b w:val="0"/>
                <w:sz w:val="16"/>
              </w:rPr>
              <w:t>100</w:t>
            </w:r>
          </w:p>
        </w:tc>
      </w:tr>
      <w:tr>
        <w:trPr>
          <w:cantSplit/>
        </w:trPr>
        <w:tc>
          <w:tcPr>
            <w:tcW w:type="dxa" w:w="3081"/>
            <w:vAlign w:val="center"/>
            <w:shd w:fill="F2F2F2"/>
          </w:tcPr>
          <w:p>
            <w:pPr>
              <w:spacing w:after="0"/>
            </w:pPr>
            <w:r/>
            <w:r>
              <w:rPr>
                <w:rFonts w:ascii="Aptos" w:hAnsi="Aptos"/>
                <w:b w:val="0"/>
                <w:sz w:val="16"/>
              </w:rPr>
              <w:t>data_volume_gb / data_volume_vpus</w:t>
            </w:r>
          </w:p>
        </w:tc>
        <w:tc>
          <w:tcPr>
            <w:tcW w:type="dxa" w:w="7143"/>
            <w:vAlign w:val="center"/>
            <w:shd w:fill="F2F2F2"/>
          </w:tcPr>
          <w:p>
            <w:pPr>
              <w:spacing w:after="0"/>
            </w:pPr>
            <w:r/>
            <w:r>
              <w:rPr>
                <w:rFonts w:ascii="Aptos" w:hAnsi="Aptos"/>
                <w:b w:val="0"/>
                <w:sz w:val="16"/>
              </w:rPr>
              <w:t>600 / 20 initially</w:t>
            </w:r>
          </w:p>
        </w:tc>
      </w:tr>
      <w:tr>
        <w:trPr>
          <w:cantSplit/>
        </w:trPr>
        <w:tc>
          <w:tcPr>
            <w:tcW w:type="dxa" w:w="3081"/>
            <w:vAlign w:val="center"/>
          </w:tcPr>
          <w:p>
            <w:pPr>
              <w:spacing w:after="0"/>
            </w:pPr>
            <w:r/>
            <w:r>
              <w:rPr>
                <w:rFonts w:ascii="Aptos" w:hAnsi="Aptos"/>
                <w:b w:val="0"/>
                <w:sz w:val="16"/>
              </w:rPr>
              <w:t>image_ocid</w:t>
            </w:r>
          </w:p>
        </w:tc>
        <w:tc>
          <w:tcPr>
            <w:tcW w:type="dxa" w:w="7143"/>
            <w:vAlign w:val="center"/>
          </w:tcPr>
          <w:p>
            <w:pPr>
              <w:spacing w:after="0"/>
            </w:pPr>
            <w:r/>
            <w:r>
              <w:rPr>
                <w:rFonts w:ascii="Aptos" w:hAnsi="Aptos"/>
                <w:b w:val="0"/>
                <w:sz w:val="16"/>
              </w:rPr>
              <w:t>Approved RHEL 8.10 x86_64 image compatible with A10.2</w:t>
            </w:r>
          </w:p>
        </w:tc>
      </w:tr>
      <w:tr>
        <w:trPr>
          <w:cantSplit/>
        </w:trPr>
        <w:tc>
          <w:tcPr>
            <w:tcW w:type="dxa" w:w="3081"/>
            <w:vAlign w:val="center"/>
            <w:shd w:fill="F2F2F2"/>
          </w:tcPr>
          <w:p>
            <w:pPr>
              <w:spacing w:after="0"/>
            </w:pPr>
            <w:r/>
            <w:r>
              <w:rPr>
                <w:rFonts w:ascii="Aptos" w:hAnsi="Aptos"/>
                <w:b w:val="0"/>
                <w:sz w:val="16"/>
              </w:rPr>
              <w:t>vcn_cidr / subnet_cidr</w:t>
            </w:r>
          </w:p>
        </w:tc>
        <w:tc>
          <w:tcPr>
            <w:tcW w:type="dxa" w:w="7143"/>
            <w:vAlign w:val="center"/>
            <w:shd w:fill="F2F2F2"/>
          </w:tcPr>
          <w:p>
            <w:pPr>
              <w:spacing w:after="0"/>
            </w:pPr>
            <w:r/>
            <w:r>
              <w:rPr>
                <w:rFonts w:ascii="Aptos" w:hAnsi="Aptos"/>
                <w:b w:val="0"/>
                <w:sz w:val="16"/>
              </w:rPr>
              <w:t>Approved non-overlapping Hyperscience POC ranges</w:t>
            </w:r>
          </w:p>
        </w:tc>
      </w:tr>
      <w:tr>
        <w:trPr>
          <w:cantSplit/>
        </w:trPr>
        <w:tc>
          <w:tcPr>
            <w:tcW w:type="dxa" w:w="3081"/>
            <w:vAlign w:val="center"/>
          </w:tcPr>
          <w:p>
            <w:pPr>
              <w:spacing w:after="0"/>
            </w:pPr>
            <w:r/>
            <w:r>
              <w:rPr>
                <w:rFonts w:ascii="Aptos" w:hAnsi="Aptos"/>
                <w:b w:val="0"/>
                <w:sz w:val="16"/>
              </w:rPr>
              <w:t>admin_cidr</w:t>
            </w:r>
          </w:p>
        </w:tc>
        <w:tc>
          <w:tcPr>
            <w:tcW w:type="dxa" w:w="7143"/>
            <w:vAlign w:val="center"/>
          </w:tcPr>
          <w:p>
            <w:pPr>
              <w:spacing w:after="0"/>
            </w:pPr>
            <w:r/>
            <w:r>
              <w:rPr>
                <w:rFonts w:ascii="Aptos" w:hAnsi="Aptos"/>
                <w:b w:val="0"/>
                <w:sz w:val="16"/>
              </w:rPr>
              <w:t>Jump-host private /32 or approved admin CIDR</w:t>
            </w:r>
          </w:p>
        </w:tc>
      </w:tr>
      <w:tr>
        <w:trPr>
          <w:cantSplit/>
        </w:trPr>
        <w:tc>
          <w:tcPr>
            <w:tcW w:type="dxa" w:w="3081"/>
            <w:vAlign w:val="center"/>
            <w:shd w:fill="F2F2F2"/>
          </w:tcPr>
          <w:p>
            <w:pPr>
              <w:spacing w:after="0"/>
            </w:pPr>
            <w:r/>
            <w:r>
              <w:rPr>
                <w:rFonts w:ascii="Aptos" w:hAnsi="Aptos"/>
                <w:b w:val="0"/>
                <w:sz w:val="16"/>
              </w:rPr>
              <w:t>drg_ocid / drg_route_table_ocid</w:t>
            </w:r>
          </w:p>
        </w:tc>
        <w:tc>
          <w:tcPr>
            <w:tcW w:type="dxa" w:w="7143"/>
            <w:vAlign w:val="center"/>
            <w:shd w:fill="F2F2F2"/>
          </w:tcPr>
          <w:p>
            <w:pPr>
              <w:spacing w:after="0"/>
            </w:pPr>
            <w:r/>
            <w:r>
              <w:rPr>
                <w:rFonts w:ascii="Aptos" w:hAnsi="Aptos"/>
                <w:b w:val="0"/>
                <w:sz w:val="16"/>
              </w:rPr>
              <w:t>Approved existing DRG and attachment route table</w:t>
            </w:r>
          </w:p>
        </w:tc>
      </w:tr>
      <w:tr>
        <w:trPr>
          <w:cantSplit/>
        </w:trPr>
        <w:tc>
          <w:tcPr>
            <w:tcW w:type="dxa" w:w="3081"/>
            <w:vAlign w:val="center"/>
          </w:tcPr>
          <w:p>
            <w:pPr>
              <w:spacing w:after="0"/>
            </w:pPr>
            <w:r/>
            <w:r>
              <w:rPr>
                <w:rFonts w:ascii="Aptos" w:hAnsi="Aptos"/>
                <w:b w:val="0"/>
                <w:sz w:val="16"/>
              </w:rPr>
              <w:t>onprem_cidrs</w:t>
            </w:r>
          </w:p>
        </w:tc>
        <w:tc>
          <w:tcPr>
            <w:tcW w:type="dxa" w:w="7143"/>
            <w:vAlign w:val="center"/>
          </w:tcPr>
          <w:p>
            <w:pPr>
              <w:spacing w:after="0"/>
            </w:pPr>
            <w:r/>
            <w:r>
              <w:rPr>
                <w:rFonts w:ascii="Aptos" w:hAnsi="Aptos"/>
                <w:b w:val="0"/>
                <w:sz w:val="16"/>
              </w:rPr>
              <w:t>Only explicit approved destinations; never 0.0.0.0/0</w:t>
            </w:r>
          </w:p>
        </w:tc>
      </w:tr>
      <w:tr>
        <w:trPr>
          <w:cantSplit/>
        </w:trPr>
        <w:tc>
          <w:tcPr>
            <w:tcW w:type="dxa" w:w="3081"/>
            <w:vAlign w:val="center"/>
            <w:shd w:fill="F2F2F2"/>
          </w:tcPr>
          <w:p>
            <w:pPr>
              <w:spacing w:after="0"/>
            </w:pPr>
            <w:r/>
            <w:r>
              <w:rPr>
                <w:rFonts w:ascii="Aptos" w:hAnsi="Aptos"/>
                <w:b w:val="0"/>
                <w:sz w:val="16"/>
              </w:rPr>
              <w:t>extra_rules</w:t>
            </w:r>
          </w:p>
        </w:tc>
        <w:tc>
          <w:tcPr>
            <w:tcW w:type="dxa" w:w="7143"/>
            <w:vAlign w:val="center"/>
            <w:shd w:fill="F2F2F2"/>
          </w:tcPr>
          <w:p>
            <w:pPr>
              <w:spacing w:after="0"/>
            </w:pPr>
            <w:r/>
            <w:r>
              <w:rPr>
                <w:rFonts w:ascii="Aptos" w:hAnsi="Aptos"/>
                <w:b w:val="0"/>
                <w:sz w:val="16"/>
              </w:rPr>
              <w:t>TCP/443 from approved user CIDRs; add trainer-source access only if approved; egress only to approved enterprise endpoints</w:t>
            </w:r>
          </w:p>
        </w:tc>
      </w:tr>
    </w:tbl>
    <w:p>
      <w:pPr>
        <w:spacing w:after="0"/>
      </w:pPr>
    </w:p>
    <w:p>
      <w:pPr>
        <w:pStyle w:val="Heading2"/>
        <w:keepNext/>
      </w:pPr>
      <w:r>
        <w:t>5 3 Plan and Apply gates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val="true"/>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Run Plan; confirm one A10.2 application VM and one 600 GB data volume for the baseline. A second trainer VM must have explicit approval. Verify private VNICs, network, Service Gateway and DRG routes.</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Verify there is no public IP, Internet Gateway, NAT Gateway, open SSH or default route through the DRG.</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Review cost and A10 service-limit consumption; attach Plan output and approvals to the change ticket.</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Run Apply only after network, security, capacity and funding approvals; retain Apply output and ORM outputs.</w:t>
            </w:r>
          </w:p>
        </w:tc>
        <w:tc>
          <w:tcPr>
            <w:tcW w:type="dxa" w:w="1715"/>
            <w:vAlign w:val="center"/>
            <w:shd w:fill="F2F2F2"/>
          </w:tcPr>
          <w:p>
            <w:pPr>
              <w:spacing w:after="0"/>
            </w:pPr>
            <w:r/>
            <w:r>
              <w:rPr>
                <w:rFonts w:ascii="Aptos" w:hAnsi="Aptos"/>
                <w:b w:val="0"/>
                <w:sz w:val="16"/>
              </w:rPr>
            </w:r>
          </w:p>
        </w:tc>
      </w:tr>
    </w:tbl>
    <w:p>
      <w:pPr>
        <w:spacing w:after="0"/>
      </w:pPr>
    </w:p>
    <w:p>
      <w:r>
        <w:br w:type="page"/>
      </w:r>
    </w:p>
    <w:p>
      <w:pPr>
        <w:pStyle w:val="Heading1"/>
        <w:keepNext/>
      </w:pPr>
      <w:r>
        <w:t>6 Procedure B Validate RHEL storage and GPU</w:t>
      </w:r>
    </w:p>
    <w:p>
      <w:pPr>
        <w:pStyle w:val="Heading2"/>
        <w:keepNext/>
      </w:pPr>
      <w:r>
        <w:t>6 1 Identify and name the instances</w:t>
      </w:r>
    </w:p>
    <w:p>
      <w:r>
        <w:t>Record the ORM private IP and name the baseline application VM hs-poc-app01. If a separate trainer is approved, record it as hs-poc-trn01. In this runbook, checks referring to both VMs apply only when the trainer exists; otherwise run them on the application VM.</w:t>
      </w:r>
    </w:p>
    <w:p>
      <w:pPr>
        <w:pStyle w:val="Heading2"/>
        <w:keepNext/>
      </w:pPr>
      <w:r>
        <w:t>6 2 Baseline validation on both VMs</w:t>
      </w:r>
    </w:p>
    <w:p>
      <w:pPr>
        <w:pStyle w:val="Code"/>
      </w:pPr>
      <w:r>
        <w:t>cat /etc/redhat-release</w:t>
        <w:br/>
        <w:t>uname -r</w:t>
        <w:br/>
        <w:t>lscpu | egrep 'Architecture|CPU\(s\)|Model name'</w:t>
        <w:br/>
        <w:t>lsblk -o NAME,SIZE,TYPE,FSTYPE,MOUNTPOINTS</w:t>
        <w:br/>
        <w:t>swapon --show</w:t>
        <w:br/>
        <w:t>getenforce</w:t>
        <w:br/>
        <w:t>ip -br address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val="true"/>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RHEL reports 8.10 x86_64; hostname, private IP and DNS forward/reverse records match the build record.</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No swap is active. If swap exists, disable it through the approved OS baseline before vendor installation.</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Approved DNS, NTP, repositories, logging and security endpoints are reachable without public Internet; required patches and agents are applied.</w:t>
            </w:r>
          </w:p>
        </w:tc>
        <w:tc>
          <w:tcPr>
            <w:tcW w:type="dxa" w:w="1715"/>
            <w:vAlign w:val="center"/>
          </w:tcPr>
          <w:p>
            <w:pPr>
              <w:spacing w:after="0"/>
            </w:pPr>
            <w:r/>
            <w:r>
              <w:rPr>
                <w:rFonts w:ascii="Aptos" w:hAnsi="Aptos"/>
                <w:b w:val="0"/>
                <w:sz w:val="16"/>
              </w:rPr>
            </w:r>
          </w:p>
        </w:tc>
      </w:tr>
    </w:tbl>
    <w:p>
      <w:pPr>
        <w:spacing w:after="0"/>
      </w:pPr>
    </w:p>
    <w:p>
      <w:pPr>
        <w:pStyle w:val="Heading2"/>
        <w:keepNext/>
      </w:pPr>
      <w:r>
        <w:t>6 3 Prepare the attached block volume</w:t>
      </w:r>
    </w:p>
    <w:p>
      <w:r>
        <w:t>Identify the new empty 600 GB device with lsblk and the OCI attachment record. Stop if it contains a filesystem, partition table or data. Use the approved storage standard for these mounts.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1"/>
        <w:gridCol w:w="2801"/>
        <w:gridCol w:w="4622"/>
      </w:tblGrid>
      <w:tr>
        <w:trPr>
          <w:tblHeader w:val="true"/>
          <w:cantSplit/>
        </w:trPr>
        <w:tc>
          <w:tcPr>
            <w:tcW w:type="dxa" w:w="2801"/>
            <w:vAlign w:val="center"/>
            <w:shd w:fill="1F4E78"/>
          </w:tcPr>
          <w:p>
            <w:pPr>
              <w:spacing w:after="0"/>
            </w:pPr>
            <w:r/>
            <w:r>
              <w:rPr>
                <w:rFonts w:ascii="Aptos" w:hAnsi="Aptos"/>
                <w:b/>
                <w:color w:val="FFFFFF"/>
                <w:sz w:val="18"/>
              </w:rPr>
              <w:t>Mount</w:t>
            </w:r>
          </w:p>
        </w:tc>
        <w:tc>
          <w:tcPr>
            <w:tcW w:type="dxa" w:w="2801"/>
            <w:vAlign w:val="center"/>
            <w:shd w:fill="1F4E78"/>
          </w:tcPr>
          <w:p>
            <w:pPr>
              <w:spacing w:after="0"/>
            </w:pPr>
            <w:r/>
            <w:r>
              <w:rPr>
                <w:rFonts w:ascii="Aptos" w:hAnsi="Aptos"/>
                <w:b/>
                <w:color w:val="FFFFFF"/>
                <w:sz w:val="18"/>
              </w:rPr>
              <w:t>Minimum planning allocation</w:t>
            </w:r>
          </w:p>
        </w:tc>
        <w:tc>
          <w:tcPr>
            <w:tcW w:type="dxa" w:w="4622"/>
            <w:vAlign w:val="center"/>
            <w:shd w:fill="1F4E78"/>
          </w:tcPr>
          <w:p>
            <w:pPr>
              <w:spacing w:after="0"/>
            </w:pPr>
            <w:r/>
            <w:r>
              <w:rPr>
                <w:rFonts w:ascii="Aptos" w:hAnsi="Aptos"/>
                <w:b/>
                <w:color w:val="FFFFFF"/>
                <w:sz w:val="18"/>
              </w:rPr>
              <w:t>Purpose</w:t>
            </w:r>
          </w:p>
        </w:tc>
      </w:tr>
      <w:tr>
        <w:trPr>
          <w:cantSplit/>
        </w:trPr>
        <w:tc>
          <w:tcPr>
            <w:tcW w:type="dxa" w:w="2801"/>
            <w:vAlign w:val="center"/>
          </w:tcPr>
          <w:p>
            <w:pPr>
              <w:spacing w:after="0"/>
            </w:pPr>
            <w:r/>
            <w:r>
              <w:rPr>
                <w:rFonts w:ascii="Aptos" w:hAnsi="Aptos"/>
                <w:b w:val="0"/>
                <w:sz w:val="17"/>
              </w:rPr>
              <w:t>/opt/hs</w:t>
            </w:r>
          </w:p>
        </w:tc>
        <w:tc>
          <w:tcPr>
            <w:tcW w:type="dxa" w:w="2801"/>
            <w:vAlign w:val="center"/>
          </w:tcPr>
          <w:p>
            <w:pPr>
              <w:spacing w:after="0"/>
            </w:pPr>
            <w:r/>
            <w:r>
              <w:rPr>
                <w:rFonts w:ascii="Aptos" w:hAnsi="Aptos"/>
                <w:b w:val="0"/>
                <w:sz w:val="17"/>
              </w:rPr>
              <w:t>300 GB</w:t>
            </w:r>
          </w:p>
        </w:tc>
        <w:tc>
          <w:tcPr>
            <w:tcW w:type="dxa" w:w="4622"/>
            <w:vAlign w:val="center"/>
          </w:tcPr>
          <w:p>
            <w:pPr>
              <w:spacing w:after="0"/>
            </w:pPr>
            <w:r/>
            <w:r>
              <w:rPr>
                <w:rFonts w:ascii="Aptos" w:hAnsi="Aptos"/>
                <w:b w:val="0"/>
                <w:sz w:val="17"/>
              </w:rPr>
              <w:t>Bundle download, extraction and deployment</w:t>
            </w:r>
          </w:p>
        </w:tc>
      </w:tr>
      <w:tr>
        <w:trPr>
          <w:cantSplit/>
        </w:trPr>
        <w:tc>
          <w:tcPr>
            <w:tcW w:type="dxa" w:w="2801"/>
            <w:vAlign w:val="center"/>
            <w:shd w:fill="F2F2F2"/>
          </w:tcPr>
          <w:p>
            <w:pPr>
              <w:spacing w:after="0"/>
            </w:pPr>
            <w:r/>
            <w:r>
              <w:rPr>
                <w:rFonts w:ascii="Aptos" w:hAnsi="Aptos"/>
                <w:b w:val="0"/>
                <w:sz w:val="17"/>
              </w:rPr>
              <w:t>/var/lib/containers</w:t>
            </w:r>
          </w:p>
        </w:tc>
        <w:tc>
          <w:tcPr>
            <w:tcW w:type="dxa" w:w="2801"/>
            <w:vAlign w:val="center"/>
            <w:shd w:fill="F2F2F2"/>
          </w:tcPr>
          <w:p>
            <w:pPr>
              <w:spacing w:after="0"/>
            </w:pPr>
            <w:r/>
            <w:r>
              <w:rPr>
                <w:rFonts w:ascii="Aptos" w:hAnsi="Aptos"/>
                <w:b w:val="0"/>
                <w:sz w:val="17"/>
              </w:rPr>
              <w:t>100 GB</w:t>
            </w:r>
          </w:p>
        </w:tc>
        <w:tc>
          <w:tcPr>
            <w:tcW w:type="dxa" w:w="4622"/>
            <w:vAlign w:val="center"/>
            <w:shd w:fill="F2F2F2"/>
          </w:tcPr>
          <w:p>
            <w:pPr>
              <w:spacing w:after="0"/>
            </w:pPr>
            <w:r/>
            <w:r>
              <w:rPr>
                <w:rFonts w:ascii="Aptos" w:hAnsi="Aptos"/>
                <w:b w:val="0"/>
                <w:sz w:val="17"/>
              </w:rPr>
              <w:t>Podman image and container storage</w:t>
            </w:r>
          </w:p>
        </w:tc>
      </w:tr>
      <w:tr>
        <w:trPr>
          <w:cantSplit/>
        </w:trPr>
        <w:tc>
          <w:tcPr>
            <w:tcW w:type="dxa" w:w="2801"/>
            <w:vAlign w:val="center"/>
          </w:tcPr>
          <w:p>
            <w:pPr>
              <w:spacing w:after="0"/>
            </w:pPr>
            <w:r/>
            <w:r>
              <w:rPr>
                <w:rFonts w:ascii="Aptos" w:hAnsi="Aptos"/>
                <w:b w:val="0"/>
                <w:sz w:val="17"/>
              </w:rPr>
              <w:t>/mnt/hs</w:t>
            </w:r>
          </w:p>
        </w:tc>
        <w:tc>
          <w:tcPr>
            <w:tcW w:type="dxa" w:w="2801"/>
            <w:vAlign w:val="center"/>
          </w:tcPr>
          <w:p>
            <w:pPr>
              <w:spacing w:after="0"/>
            </w:pPr>
            <w:r/>
            <w:r>
              <w:rPr>
                <w:rFonts w:ascii="Aptos" w:hAnsi="Aptos"/>
                <w:b w:val="0"/>
                <w:sz w:val="17"/>
              </w:rPr>
              <w:t>About 180 GB</w:t>
            </w:r>
          </w:p>
        </w:tc>
        <w:tc>
          <w:tcPr>
            <w:tcW w:type="dxa" w:w="4622"/>
            <w:vAlign w:val="center"/>
          </w:tcPr>
          <w:p>
            <w:pPr>
              <w:spacing w:after="0"/>
            </w:pPr>
            <w:r/>
            <w:r>
              <w:rPr>
                <w:rFonts w:ascii="Aptos" w:hAnsi="Aptos"/>
                <w:b w:val="0"/>
                <w:sz w:val="17"/>
              </w:rPr>
              <w:t>Remaining capacity after filesystem overhead; application media or trainer_media, local to each VM</w:t>
            </w:r>
          </w:p>
        </w:tc>
      </w:tr>
    </w:tbl>
    <w:p>
      <w:pPr>
        <w:spacing w:after="0"/>
      </w:pPr>
    </w:p>
    <w:p>
      <w:r>
        <w:rPr>
          <w:b/>
        </w:rPr>
        <w:t xml:space="preserve">DESTRUCTIVE STEP  </w:t>
      </w:r>
      <w:r>
        <w:t>Partitioning and formatting erase the selected device. Require a second-person verification of the instance OCID, volume OCID and empty device path before executing the approved storage procedure.</w:t>
      </w:r>
    </w:p>
    <w:p>
      <w:pPr>
        <w:pStyle w:val="Heading2"/>
        <w:keepNext/>
      </w:pPr>
      <w:r>
        <w:t>6 4 GPU validation</w:t>
      </w:r>
    </w:p>
    <w:p>
      <w:pPr>
        <w:pStyle w:val="Code"/>
      </w:pPr>
      <w:r>
        <w:t>lspci | grep -i nvidia</w:t>
        <w:br/>
        <w:t>nvidia-smi -L</w:t>
        <w:br/>
        <w:t>nvidia-smi</w:t>
        <w:br/>
        <w:t>ls -l /dev/nvidia*</w:t>
      </w:r>
    </w:p>
    <w:p>
      <w:r>
        <w:t>Expected per VM: two healthy NVIDIA A10 devices, each with 24 GB VRAM. Record driver version and GPU UUIDs; the devices are not one pooled 48 GB GPU.</w:t>
      </w:r>
    </w:p>
    <w:p>
      <w:pPr>
        <w:pStyle w:val="Heading1"/>
        <w:keepNext/>
        <w:pageBreakBefore/>
      </w:pPr>
      <w:r>
        <w:t>7 Procedure C Prepare Podman and GPU containers</w:t>
      </w:r>
    </w:p>
    <w:p>
      <w:pPr>
        <w:pStyle w:val="Heading2"/>
        <w:keepNext/>
      </w:pPr>
      <w:r>
        <w:t>7 1 Install the supported RHEL container runtime</w:t>
      </w:r>
    </w:p>
    <w:p>
      <w:r>
        <w:t>Use the Podman version included with the RHEL 8.10 GA repositories. Do not substitute Docker on RHEL and do not install a different Podman stream unless Hyperscience approves it in writing.</w:t>
      </w:r>
    </w:p>
    <w:p>
      <w:pPr>
        <w:pStyle w:val="Code"/>
      </w:pPr>
      <w:r>
        <w:t>sudo dnf module install -y container-tools</w:t>
        <w:br/>
        <w:t>sudo dnf install -y podman-docker podman-remote pciutils gcc kernel-devel-$(uname -r) kernel-headers-$(uname -r)</w:t>
        <w:br/>
        <w:t>sudo systemctl enable --now podman.socket</w:t>
        <w:br/>
        <w:t>sudo systemctl enable --now podman-restart.service</w:t>
        <w:br/>
        <w:t>podman version</w:t>
        <w:br/>
        <w:t>podman info</w:t>
      </w:r>
    </w:p>
    <w:p>
      <w:pPr>
        <w:pStyle w:val="Heading2"/>
        <w:keepNext/>
      </w:pPr>
      <w:r>
        <w:t>7 2 Install and configure NVIDIA support</w:t>
      </w:r>
    </w:p>
    <w:p>
      <w:pPr>
        <w:ind w:left="346" w:hanging="346"/>
      </w:pPr>
      <w:r>
        <w:rPr>
          <w:b/>
        </w:rPr>
        <w:t xml:space="preserve">1.  </w:t>
      </w:r>
      <w:r>
        <w:t>Chase confirms the exact 43.2 GPU driver, toolkit and kernel compatibility matrix before installation. Record the approved versions; do not reuse an older release's driver floor.</w:t>
      </w:r>
    </w:p>
    <w:p>
      <w:pPr>
        <w:ind w:left="346" w:hanging="346"/>
      </w:pPr>
      <w:r>
        <w:rPr>
          <w:b/>
        </w:rPr>
        <w:t xml:space="preserve">2.  </w:t>
      </w:r>
      <w:r>
        <w:t>Install the approved NVIDIA driver and NVIDIA Container Toolkit using the approved RHEL repositories and Hyperscience/NVIDIA procedure. Reboot only within the change window.</w:t>
      </w:r>
    </w:p>
    <w:p>
      <w:pPr>
        <w:ind w:left="346" w:hanging="346"/>
      </w:pPr>
      <w:r>
        <w:rPr>
          <w:b/>
        </w:rPr>
        <w:t xml:space="preserve">3.  </w:t>
      </w:r>
      <w:r>
        <w:t>Configure Podman CDI/NVIDIA runtime exactly as approved by Hyperscience. Verify that the runtime can expose both GPU devices to a test container.</w:t>
      </w:r>
    </w:p>
    <w:p>
      <w:pPr>
        <w:ind w:left="346" w:hanging="346"/>
      </w:pPr>
      <w:r>
        <w:rPr>
          <w:b/>
        </w:rPr>
        <w:t xml:space="preserve">4.  </w:t>
      </w:r>
      <w:r>
        <w:t>Freeze automatic kernel/driver changes for the POC window unless the security owner and Hyperscience approve the update and regression test.</w:t>
      </w:r>
    </w:p>
    <w:p>
      <w:pPr>
        <w:pStyle w:val="Code"/>
      </w:pPr>
      <w:r>
        <w:t>nvidia-smi</w:t>
        <w:br/>
        <w:t>nvidia-ctk --version</w:t>
        <w:br/>
        <w:t>podman info | egrep -i 'runtime|graphRoot|graphDriver'</w:t>
        <w:br/>
        <w:t>sudo nvidia-ctk cdi list</w:t>
      </w:r>
    </w:p>
    <w:p>
      <w:pPr>
        <w:pStyle w:val="Heading2"/>
        <w:keepNext/>
      </w:pPr>
      <w:r>
        <w:t>7 3 Create Hyperscience directories</w:t>
      </w:r>
    </w:p>
    <w:p>
      <w:pPr>
        <w:pStyle w:val="Code"/>
      </w:pPr>
      <w:r>
        <w:t>sudo mkdir -p /opt/hs /mnt/hs/media /mnt/hs/trainer_media /mnt/hs/certs</w:t>
        <w:br/>
        <w:t>sudo chown 1000:1000 /mnt/hs/media /mnt/hs/trainer_media</w:t>
        <w:br/>
        <w:t>sudo chmod 750 /opt/hs /mnt/hs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41"/>
        <w:gridCol w:w="3361"/>
        <w:gridCol w:w="4622"/>
      </w:tblGrid>
      <w:tr>
        <w:trPr>
          <w:tblHeader w:val="true"/>
          <w:cantSplit/>
        </w:trPr>
        <w:tc>
          <w:tcPr>
            <w:tcW w:type="dxa" w:w="2241"/>
            <w:vAlign w:val="center"/>
            <w:shd w:fill="1F4E78"/>
          </w:tcPr>
          <w:p>
            <w:pPr>
              <w:spacing w:after="0"/>
            </w:pPr>
            <w:r/>
            <w:r>
              <w:rPr>
                <w:rFonts w:ascii="Aptos" w:hAnsi="Aptos"/>
                <w:b/>
                <w:color w:val="FFFFFF"/>
                <w:sz w:val="18"/>
              </w:rPr>
              <w:t>VM</w:t>
            </w:r>
          </w:p>
        </w:tc>
        <w:tc>
          <w:tcPr>
            <w:tcW w:type="dxa" w:w="3361"/>
            <w:vAlign w:val="center"/>
            <w:shd w:fill="1F4E78"/>
          </w:tcPr>
          <w:p>
            <w:pPr>
              <w:spacing w:after="0"/>
            </w:pPr>
            <w:r/>
            <w:r>
              <w:rPr>
                <w:rFonts w:ascii="Aptos" w:hAnsi="Aptos"/>
                <w:b/>
                <w:color w:val="FFFFFF"/>
                <w:sz w:val="18"/>
              </w:rPr>
              <w:t>Allowed local data path</w:t>
            </w:r>
          </w:p>
        </w:tc>
        <w:tc>
          <w:tcPr>
            <w:tcW w:type="dxa" w:w="4622"/>
            <w:vAlign w:val="center"/>
            <w:shd w:fill="1F4E78"/>
          </w:tcPr>
          <w:p>
            <w:pPr>
              <w:spacing w:after="0"/>
            </w:pPr>
            <w:r/>
            <w:r>
              <w:rPr>
                <w:rFonts w:ascii="Aptos" w:hAnsi="Aptos"/>
                <w:b/>
                <w:color w:val="FFFFFF"/>
                <w:sz w:val="18"/>
              </w:rPr>
              <w:t>Rule</w:t>
            </w:r>
          </w:p>
        </w:tc>
      </w:tr>
      <w:tr>
        <w:trPr>
          <w:cantSplit/>
        </w:trPr>
        <w:tc>
          <w:tcPr>
            <w:tcW w:type="dxa" w:w="2241"/>
            <w:vAlign w:val="center"/>
          </w:tcPr>
          <w:p>
            <w:pPr>
              <w:spacing w:after="0"/>
            </w:pPr>
            <w:r/>
            <w:r>
              <w:rPr>
                <w:rFonts w:ascii="Aptos" w:hAnsi="Aptos"/>
                <w:b w:val="0"/>
                <w:sz w:val="17"/>
              </w:rPr>
              <w:t>Application</w:t>
            </w:r>
          </w:p>
        </w:tc>
        <w:tc>
          <w:tcPr>
            <w:tcW w:type="dxa" w:w="3361"/>
            <w:vAlign w:val="center"/>
          </w:tcPr>
          <w:p>
            <w:pPr>
              <w:spacing w:after="0"/>
            </w:pPr>
            <w:r/>
            <w:r>
              <w:rPr>
                <w:rFonts w:ascii="Aptos" w:hAnsi="Aptos"/>
                <w:b w:val="0"/>
                <w:sz w:val="17"/>
              </w:rPr>
              <w:t>/mnt/hs/media</w:t>
            </w:r>
          </w:p>
        </w:tc>
        <w:tc>
          <w:tcPr>
            <w:tcW w:type="dxa" w:w="4622"/>
            <w:vAlign w:val="center"/>
          </w:tcPr>
          <w:p>
            <w:pPr>
              <w:spacing w:after="0"/>
            </w:pPr>
            <w:r/>
            <w:r>
              <w:rPr>
                <w:rFonts w:ascii="Aptos" w:hAnsi="Aptos"/>
                <w:b w:val="0"/>
                <w:sz w:val="17"/>
              </w:rPr>
              <w:t>Local POC file store; do not mount trainer_media from another VM</w:t>
            </w:r>
          </w:p>
        </w:tc>
      </w:tr>
      <w:tr>
        <w:trPr>
          <w:cantSplit/>
        </w:trPr>
        <w:tc>
          <w:tcPr>
            <w:tcW w:type="dxa" w:w="2241"/>
            <w:vAlign w:val="center"/>
            <w:shd w:fill="F2F2F2"/>
          </w:tcPr>
          <w:p>
            <w:pPr>
              <w:spacing w:after="0"/>
            </w:pPr>
            <w:r/>
            <w:r>
              <w:rPr>
                <w:rFonts w:ascii="Aptos" w:hAnsi="Aptos"/>
                <w:b w:val="0"/>
                <w:sz w:val="17"/>
              </w:rPr>
              <w:t>Optional trainer</w:t>
            </w:r>
          </w:p>
        </w:tc>
        <w:tc>
          <w:tcPr>
            <w:tcW w:type="dxa" w:w="3361"/>
            <w:vAlign w:val="center"/>
            <w:shd w:fill="F2F2F2"/>
          </w:tcPr>
          <w:p>
            <w:pPr>
              <w:spacing w:after="0"/>
            </w:pPr>
            <w:r/>
            <w:r>
              <w:rPr>
                <w:rFonts w:ascii="Aptos" w:hAnsi="Aptos"/>
                <w:b w:val="0"/>
                <w:sz w:val="17"/>
              </w:rPr>
              <w:t>/mnt/hs/trainer_media</w:t>
            </w:r>
          </w:p>
        </w:tc>
        <w:tc>
          <w:tcPr>
            <w:tcW w:type="dxa" w:w="4622"/>
            <w:vAlign w:val="center"/>
            <w:shd w:fill="F2F2F2"/>
          </w:tcPr>
          <w:p>
            <w:pPr>
              <w:spacing w:after="0"/>
            </w:pPr>
            <w:r/>
            <w:r>
              <w:rPr>
                <w:rFonts w:ascii="Aptos" w:hAnsi="Aptos"/>
                <w:b w:val="0"/>
                <w:sz w:val="17"/>
              </w:rPr>
              <w:t>Conditional trainer-only path; database placement must match the approved bundle</w:t>
            </w:r>
          </w:p>
        </w:tc>
      </w:tr>
    </w:tbl>
    <w:p>
      <w:pPr>
        <w:spacing w:after="0"/>
      </w:pPr>
    </w:p>
    <w:p>
      <w:pPr>
        <w:pStyle w:val="Heading2"/>
        <w:keepNext/>
      </w:pPr>
      <w:r>
        <w:t>7 4 Platform readiness checkpoint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val="true"/>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Podman starts at boot, uses overlay storage, has no unrelated containers and writes to the approved data volume.</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A GPU-enabled test container sees the approved GPU devices; capture sanitized nvidia-smi and Podman evidence.</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SELinux mode and required labels are documented; fapolicyd disposition and compensating controls are approved.</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The vendor bundle and license are transferred through an approved internal path and checksum-verified; no secret is committed to GitHub or Terraform state.</w:t>
            </w:r>
          </w:p>
        </w:tc>
        <w:tc>
          <w:tcPr>
            <w:tcW w:type="dxa" w:w="1715"/>
            <w:vAlign w:val="center"/>
            <w:shd w:fill="F2F2F2"/>
          </w:tcPr>
          <w:p>
            <w:pPr>
              <w:spacing w:after="0"/>
            </w:pPr>
            <w:r/>
            <w:r>
              <w:rPr>
                <w:rFonts w:ascii="Aptos" w:hAnsi="Aptos"/>
                <w:b w:val="0"/>
                <w:sz w:val="16"/>
              </w:rPr>
            </w:r>
          </w:p>
        </w:tc>
      </w:tr>
    </w:tbl>
    <w:p>
      <w:pPr>
        <w:pStyle w:val="Heading1"/>
        <w:keepNext/>
        <w:pageBreakBefore/>
      </w:pPr>
      <w:r>
        <w:t>8 Procedure D Security operations and vendor handoff</w:t>
      </w:r>
    </w:p>
    <w:p>
      <w:pPr>
        <w:pStyle w:val="Heading2"/>
        <w:keepNext/>
      </w:pPr>
      <w:r>
        <w:t>8 1 TLS and access</w:t>
      </w:r>
    </w:p>
    <w:p>
      <w:pPr>
        <w:pStyle w:val="ListBullet"/>
      </w:pPr>
      <w:r>
        <w:t>Use the internal application DNS name and TCP/443. Store the PEM certificate, key and enterprise CA chain in the approved protected location; do not place private keys in the repository.</w:t>
      </w:r>
    </w:p>
    <w:p>
      <w:pPr>
        <w:pStyle w:val="ListBullet"/>
      </w:pPr>
      <w:r>
        <w:t>Keep outbound certificate validation enabled and supply the enterprise CA bundle. Do not set HS_TLS_VERIFY_ENABLED=false as a workaround.</w:t>
      </w:r>
    </w:p>
    <w:p>
      <w:pPr>
        <w:pStyle w:val="ListBullet"/>
      </w:pPr>
      <w:r>
        <w:t>Limit SSH to the Windows jump host and named administrators. Normal users access only the private application URL.</w:t>
      </w:r>
    </w:p>
    <w:p>
      <w:pPr>
        <w:pStyle w:val="ListBullet"/>
      </w:pPr>
      <w:r>
        <w:t>Remove temporary TCP/80 after TLS validation. Do not expose the trainer to user networks.</w:t>
      </w:r>
    </w:p>
    <w:p>
      <w:pPr>
        <w:pStyle w:val="Heading2"/>
        <w:keepNext/>
      </w:pPr>
      <w:r>
        <w:t>8 2 Logging monitoring and backup</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1"/>
        <w:gridCol w:w="8193"/>
      </w:tblGrid>
      <w:tr>
        <w:trPr>
          <w:tblHeader w:val="true"/>
          <w:cantSplit/>
        </w:trPr>
        <w:tc>
          <w:tcPr>
            <w:tcW w:type="dxa" w:w="2031"/>
            <w:vAlign w:val="center"/>
            <w:shd w:fill="1F4E78"/>
          </w:tcPr>
          <w:p>
            <w:pPr>
              <w:spacing w:after="0"/>
            </w:pPr>
            <w:r/>
            <w:r>
              <w:rPr>
                <w:rFonts w:ascii="Aptos" w:hAnsi="Aptos"/>
                <w:b/>
                <w:color w:val="FFFFFF"/>
                <w:sz w:val="18"/>
              </w:rPr>
              <w:t>Control</w:t>
            </w:r>
          </w:p>
        </w:tc>
        <w:tc>
          <w:tcPr>
            <w:tcW w:type="dxa" w:w="8193"/>
            <w:vAlign w:val="center"/>
            <w:shd w:fill="1F4E78"/>
          </w:tcPr>
          <w:p>
            <w:pPr>
              <w:spacing w:after="0"/>
            </w:pPr>
            <w:r/>
            <w:r>
              <w:rPr>
                <w:rFonts w:ascii="Aptos" w:hAnsi="Aptos"/>
                <w:b/>
                <w:color w:val="FFFFFF"/>
                <w:sz w:val="18"/>
              </w:rPr>
              <w:t>POC implementation / evidence</w:t>
            </w:r>
          </w:p>
        </w:tc>
      </w:tr>
      <w:tr>
        <w:trPr>
          <w:cantSplit/>
        </w:trPr>
        <w:tc>
          <w:tcPr>
            <w:tcW w:type="dxa" w:w="2031"/>
            <w:vAlign w:val="center"/>
          </w:tcPr>
          <w:p>
            <w:pPr>
              <w:spacing w:after="0"/>
            </w:pPr>
            <w:r/>
            <w:r>
              <w:rPr>
                <w:rFonts w:ascii="Aptos" w:hAnsi="Aptos"/>
                <w:b w:val="0"/>
                <w:sz w:val="16"/>
              </w:rPr>
              <w:t>OCI Audit</w:t>
            </w:r>
          </w:p>
        </w:tc>
        <w:tc>
          <w:tcPr>
            <w:tcW w:type="dxa" w:w="8193"/>
            <w:vAlign w:val="center"/>
          </w:tcPr>
          <w:p>
            <w:pPr>
              <w:spacing w:after="0"/>
            </w:pPr>
            <w:r/>
            <w:r>
              <w:rPr>
                <w:rFonts w:ascii="Aptos" w:hAnsi="Aptos"/>
                <w:b w:val="0"/>
                <w:sz w:val="16"/>
              </w:rPr>
              <w:t>Verify capture of ORM, Compute, VCN, volume, IAM and API changes</w:t>
            </w:r>
          </w:p>
        </w:tc>
      </w:tr>
      <w:tr>
        <w:trPr>
          <w:cantSplit/>
        </w:trPr>
        <w:tc>
          <w:tcPr>
            <w:tcW w:type="dxa" w:w="2031"/>
            <w:vAlign w:val="center"/>
            <w:shd w:fill="F2F2F2"/>
          </w:tcPr>
          <w:p>
            <w:pPr>
              <w:spacing w:after="0"/>
            </w:pPr>
            <w:r/>
            <w:r>
              <w:rPr>
                <w:rFonts w:ascii="Aptos" w:hAnsi="Aptos"/>
                <w:b w:val="0"/>
                <w:sz w:val="16"/>
              </w:rPr>
              <w:t>Host logs</w:t>
            </w:r>
          </w:p>
        </w:tc>
        <w:tc>
          <w:tcPr>
            <w:tcW w:type="dxa" w:w="8193"/>
            <w:vAlign w:val="center"/>
            <w:shd w:fill="F2F2F2"/>
          </w:tcPr>
          <w:p>
            <w:pPr>
              <w:spacing w:after="0"/>
            </w:pPr>
            <w:r/>
            <w:r>
              <w:rPr>
                <w:rFonts w:ascii="Aptos" w:hAnsi="Aptos"/>
                <w:b w:val="0"/>
                <w:sz w:val="16"/>
              </w:rPr>
              <w:t>Forward RHEL, SSH, sudo, Podman, NGINX and security-agent logs to the dedicated logging compartment</w:t>
            </w:r>
          </w:p>
        </w:tc>
      </w:tr>
      <w:tr>
        <w:trPr>
          <w:cantSplit/>
        </w:trPr>
        <w:tc>
          <w:tcPr>
            <w:tcW w:type="dxa" w:w="2031"/>
            <w:vAlign w:val="center"/>
          </w:tcPr>
          <w:p>
            <w:pPr>
              <w:spacing w:after="0"/>
            </w:pPr>
            <w:r/>
            <w:r>
              <w:rPr>
                <w:rFonts w:ascii="Aptos" w:hAnsi="Aptos"/>
                <w:b w:val="0"/>
                <w:sz w:val="16"/>
              </w:rPr>
              <w:t>Metrics</w:t>
            </w:r>
          </w:p>
        </w:tc>
        <w:tc>
          <w:tcPr>
            <w:tcW w:type="dxa" w:w="8193"/>
            <w:vAlign w:val="center"/>
          </w:tcPr>
          <w:p>
            <w:pPr>
              <w:spacing w:after="0"/>
            </w:pPr>
            <w:r/>
            <w:r>
              <w:rPr>
                <w:rFonts w:ascii="Aptos" w:hAnsi="Aptos"/>
                <w:b w:val="0"/>
                <w:sz w:val="16"/>
              </w:rPr>
              <w:t>CPU, memory, disk, filesystem, network, process/container, GPU utilization, VRAM, temperature and errors</w:t>
            </w:r>
          </w:p>
        </w:tc>
      </w:tr>
      <w:tr>
        <w:trPr>
          <w:cantSplit/>
        </w:trPr>
        <w:tc>
          <w:tcPr>
            <w:tcW w:type="dxa" w:w="2031"/>
            <w:vAlign w:val="center"/>
            <w:shd w:fill="F2F2F2"/>
          </w:tcPr>
          <w:p>
            <w:pPr>
              <w:spacing w:after="0"/>
            </w:pPr>
            <w:r/>
            <w:r>
              <w:rPr>
                <w:rFonts w:ascii="Aptos" w:hAnsi="Aptos"/>
                <w:b w:val="0"/>
                <w:sz w:val="16"/>
              </w:rPr>
              <w:t>Alarms</w:t>
            </w:r>
          </w:p>
        </w:tc>
        <w:tc>
          <w:tcPr>
            <w:tcW w:type="dxa" w:w="8193"/>
            <w:vAlign w:val="center"/>
            <w:shd w:fill="F2F2F2"/>
          </w:tcPr>
          <w:p>
            <w:pPr>
              <w:spacing w:after="0"/>
            </w:pPr>
            <w:r/>
            <w:r>
              <w:rPr>
                <w:rFonts w:ascii="Aptos" w:hAnsi="Aptos"/>
                <w:b w:val="0"/>
                <w:sz w:val="16"/>
              </w:rPr>
              <w:t>Instance down, disk &gt;80%, GPU error, log silence, backup failure and abnormal authentication</w:t>
            </w:r>
          </w:p>
        </w:tc>
      </w:tr>
      <w:tr>
        <w:trPr>
          <w:cantSplit/>
        </w:trPr>
        <w:tc>
          <w:tcPr>
            <w:tcW w:type="dxa" w:w="2031"/>
            <w:vAlign w:val="center"/>
          </w:tcPr>
          <w:p>
            <w:pPr>
              <w:spacing w:after="0"/>
            </w:pPr>
            <w:r/>
            <w:r>
              <w:rPr>
                <w:rFonts w:ascii="Aptos" w:hAnsi="Aptos"/>
                <w:b w:val="0"/>
                <w:sz w:val="16"/>
              </w:rPr>
              <w:t>Backups</w:t>
            </w:r>
          </w:p>
        </w:tc>
        <w:tc>
          <w:tcPr>
            <w:tcW w:type="dxa" w:w="8193"/>
            <w:vAlign w:val="center"/>
          </w:tcPr>
          <w:p>
            <w:pPr>
              <w:spacing w:after="0"/>
            </w:pPr>
            <w:r/>
            <w:r>
              <w:rPr>
                <w:rFonts w:ascii="Aptos" w:hAnsi="Aptos"/>
                <w:b w:val="0"/>
                <w:sz w:val="16"/>
              </w:rPr>
              <w:t>Boot/data volume backup policy during POC; protect and test restore before destructive testing</w:t>
            </w:r>
          </w:p>
        </w:tc>
      </w:tr>
      <w:tr>
        <w:trPr>
          <w:cantSplit/>
        </w:trPr>
        <w:tc>
          <w:tcPr>
            <w:tcW w:type="dxa" w:w="2031"/>
            <w:vAlign w:val="center"/>
            <w:shd w:fill="F2F2F2"/>
          </w:tcPr>
          <w:p>
            <w:pPr>
              <w:spacing w:after="0"/>
            </w:pPr>
            <w:r/>
            <w:r>
              <w:rPr>
                <w:rFonts w:ascii="Aptos" w:hAnsi="Aptos"/>
                <w:b w:val="0"/>
                <w:sz w:val="16"/>
              </w:rPr>
              <w:t>Retention</w:t>
            </w:r>
          </w:p>
        </w:tc>
        <w:tc>
          <w:tcPr>
            <w:tcW w:type="dxa" w:w="8193"/>
            <w:vAlign w:val="center"/>
            <w:shd w:fill="F2F2F2"/>
          </w:tcPr>
          <w:p>
            <w:pPr>
              <w:spacing w:after="0"/>
            </w:pPr>
            <w:r/>
            <w:r>
              <w:rPr>
                <w:rFonts w:ascii="Aptos" w:hAnsi="Aptos"/>
                <w:b w:val="0"/>
                <w:sz w:val="16"/>
              </w:rPr>
              <w:t>Apply approved POC evidence/log retention; application test data follows the approved destruction date</w:t>
            </w:r>
          </w:p>
        </w:tc>
      </w:tr>
    </w:tbl>
    <w:p>
      <w:pPr>
        <w:spacing w:after="0"/>
      </w:pPr>
    </w:p>
    <w:p>
      <w:pPr>
        <w:pStyle w:val="Heading2"/>
        <w:keepNext/>
      </w:pPr>
      <w:r>
        <w:t>8 3 Vendor handoff package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val="true"/>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Private application DNS/IP and optional trainer endpoint; approved admin path; no public endpoints.</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RHEL, kernel, Podman, NVIDIA driver/toolkit, GPU UUID and storage/mount inventory.</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Approved traffic matrix, TLS certificate path, enterprise CA bundle and temporary-rule expiry.</w:t>
            </w:r>
          </w:p>
        </w:tc>
        <w:tc>
          <w:tcPr>
            <w:tcW w:type="dxa" w:w="1715"/>
            <w:vAlign w:val="center"/>
          </w:tcPr>
          <w:p>
            <w:pPr>
              <w:spacing w:after="0"/>
            </w:pPr>
            <w:r/>
            <w:r>
              <w:rPr>
                <w:rFonts w:ascii="Aptos" w:hAnsi="Aptos"/>
                <w:b w:val="0"/>
                <w:sz w:val="16"/>
              </w:rPr>
            </w:r>
          </w:p>
        </w:tc>
      </w:tr>
      <w:tr>
        <w:trPr>
          <w:cantSplit/>
        </w:trPr>
        <w:tc>
          <w:tcPr>
            <w:tcW w:type="dxa" w:w="755"/>
            <w:vAlign w:val="center"/>
            <w:shd w:fill="F2F2F2"/>
          </w:tcPr>
          <w:p>
            <w:pPr>
              <w:spacing w:after="0"/>
            </w:pPr>
            <w:r/>
            <w:r>
              <w:rPr>
                <w:rFonts w:ascii="Aptos" w:hAnsi="Aptos"/>
                <w:b w:val="0"/>
                <w:sz w:val="16"/>
              </w:rPr>
              <w:t>☐</w:t>
            </w:r>
          </w:p>
        </w:tc>
        <w:tc>
          <w:tcPr>
            <w:tcW w:type="dxa" w:w="7754"/>
            <w:vAlign w:val="center"/>
            <w:shd w:fill="F2F2F2"/>
          </w:tcPr>
          <w:p>
            <w:pPr>
              <w:spacing w:after="0"/>
            </w:pPr>
            <w:r/>
            <w:r>
              <w:rPr>
                <w:rFonts w:ascii="Aptos" w:hAnsi="Aptos"/>
                <w:b w:val="0"/>
                <w:sz w:val="16"/>
              </w:rPr>
              <w:t>Hyperscience version, bundle checksum, license owner, application URL and installation window.</w:t>
            </w:r>
          </w:p>
        </w:tc>
        <w:tc>
          <w:tcPr>
            <w:tcW w:type="dxa" w:w="1715"/>
            <w:vAlign w:val="center"/>
            <w:shd w:fill="F2F2F2"/>
          </w:tcPr>
          <w:p>
            <w:pPr>
              <w:spacing w:after="0"/>
            </w:pPr>
            <w:r/>
            <w:r>
              <w:rPr>
                <w:rFonts w:ascii="Aptos" w:hAnsi="Aptos"/>
                <w:b w:val="0"/>
                <w:sz w:val="16"/>
              </w:rPr>
            </w:r>
          </w:p>
        </w:tc>
      </w:tr>
      <w:tr>
        <w:trPr>
          <w:cantSplit/>
        </w:trPr>
        <w:tc>
          <w:tcPr>
            <w:tcW w:type="dxa" w:w="755"/>
            <w:vAlign w:val="center"/>
          </w:tcPr>
          <w:p>
            <w:pPr>
              <w:spacing w:after="0"/>
            </w:pPr>
            <w:r/>
            <w:r>
              <w:rPr>
                <w:rFonts w:ascii="Aptos" w:hAnsi="Aptos"/>
                <w:b w:val="0"/>
                <w:sz w:val="16"/>
              </w:rPr>
              <w:t>☐</w:t>
            </w:r>
          </w:p>
        </w:tc>
        <w:tc>
          <w:tcPr>
            <w:tcW w:type="dxa" w:w="7754"/>
            <w:vAlign w:val="center"/>
          </w:tcPr>
          <w:p>
            <w:pPr>
              <w:spacing w:after="0"/>
            </w:pPr>
            <w:r/>
            <w:r>
              <w:rPr>
                <w:rFonts w:ascii="Aptos" w:hAnsi="Aptos"/>
                <w:b w:val="0"/>
                <w:sz w:val="16"/>
              </w:rPr>
              <w:t>POC data classification, approved database/file-store design, backup/restore responsibility and destruction date.</w:t>
            </w:r>
          </w:p>
        </w:tc>
        <w:tc>
          <w:tcPr>
            <w:tcW w:type="dxa" w:w="1715"/>
            <w:vAlign w:val="center"/>
          </w:tcPr>
          <w:p>
            <w:pPr>
              <w:spacing w:after="0"/>
            </w:pPr>
            <w:r/>
            <w:r>
              <w:rPr>
                <w:rFonts w:ascii="Aptos" w:hAnsi="Aptos"/>
                <w:b w:val="0"/>
                <w:sz w:val="16"/>
              </w:rPr>
            </w:r>
          </w:p>
        </w:tc>
      </w:tr>
    </w:tbl>
    <w:p>
      <w:pPr>
        <w:spacing w:after="0"/>
      </w:pPr>
    </w:p>
    <w:p>
      <w:r>
        <w:rPr>
          <w:b/>
        </w:rPr>
        <w:t xml:space="preserve">HANDOFF BOUNDARY  </w:t>
      </w:r>
      <w:r>
        <w:t>Infrastructure readiness does not equal application acceptance. The authorized MSS operator performs the installation. Chase has no DOJ system access and provides instructions and screen-share support. MSS and Hyperscience confirm licensing, imported assets and workload results; trainer connectivity is conditional.</w:t>
      </w:r>
    </w:p>
    <w:p>
      <w:pPr>
        <w:pStyle w:val="Heading2"/>
        <w:keepNext/>
        <w:pageBreakBefore/>
      </w:pPr>
      <w:r>
        <w:t>8 4 Discovery update and application installation</w:t>
      </w:r>
    </w:p>
    <w:p>
      <w:r>
        <w:t>The October 14 discovery session selected Podman rather than Kubernetes. Hyperscience 43.2 was discussed; Chase must confirm the exact release and supported download bundle. Retain RHEL 8.10 as the prior planning baseline and obtain written release approval before building.</w:t>
      </w:r>
    </w:p>
    <w:p>
      <w:pPr>
        <w:pStyle w:val="Heading3"/>
        <w:keepNext/>
      </w:pPr>
      <w:r>
        <w:t>Access and installation responsibilities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1"/>
        <w:gridCol w:w="3221"/>
        <w:gridCol w:w="4972"/>
      </w:tblGrid>
      <w:tr>
        <w:trPr>
          <w:tblHeader w:val="true"/>
          <w:cantSplit/>
        </w:trPr>
        <w:tc>
          <w:tcPr>
            <w:tcW w:type="dxa" w:w="2031"/>
            <w:vAlign w:val="center"/>
            <w:shd w:fill="1F4E78"/>
          </w:tcPr>
          <w:p>
            <w:pPr>
              <w:spacing w:after="0"/>
            </w:pPr>
            <w:r/>
            <w:r>
              <w:rPr>
                <w:rFonts w:ascii="Aptos" w:hAnsi="Aptos"/>
                <w:b/>
                <w:color w:val="FFFFFF"/>
                <w:sz w:val="18"/>
              </w:rPr>
              <w:t>Item</w:t>
            </w:r>
          </w:p>
        </w:tc>
        <w:tc>
          <w:tcPr>
            <w:tcW w:type="dxa" w:w="3221"/>
            <w:vAlign w:val="center"/>
            <w:shd w:fill="1F4E78"/>
          </w:tcPr>
          <w:p>
            <w:pPr>
              <w:spacing w:after="0"/>
            </w:pPr>
            <w:r/>
            <w:r>
              <w:rPr>
                <w:rFonts w:ascii="Aptos" w:hAnsi="Aptos"/>
                <w:b/>
                <w:color w:val="FFFFFF"/>
                <w:sz w:val="18"/>
              </w:rPr>
              <w:t>Discovery status</w:t>
            </w:r>
          </w:p>
        </w:tc>
        <w:tc>
          <w:tcPr>
            <w:tcW w:type="dxa" w:w="4972"/>
            <w:vAlign w:val="center"/>
            <w:shd w:fill="1F4E78"/>
          </w:tcPr>
          <w:p>
            <w:pPr>
              <w:spacing w:after="0"/>
            </w:pPr>
            <w:r/>
            <w:r>
              <w:rPr>
                <w:rFonts w:ascii="Aptos" w:hAnsi="Aptos"/>
                <w:b/>
                <w:color w:val="FFFFFF"/>
                <w:sz w:val="18"/>
              </w:rPr>
              <w:t>Next action</w:t>
            </w:r>
          </w:p>
        </w:tc>
      </w:tr>
      <w:tr>
        <w:trPr>
          <w:cantSplit/>
        </w:trPr>
        <w:tc>
          <w:tcPr>
            <w:tcW w:type="dxa" w:w="2031"/>
            <w:vAlign w:val="center"/>
          </w:tcPr>
          <w:p>
            <w:pPr>
              <w:spacing w:after="0"/>
            </w:pPr>
            <w:r/>
            <w:r>
              <w:rPr>
                <w:rFonts w:ascii="Aptos" w:hAnsi="Aptos"/>
                <w:b w:val="0"/>
                <w:sz w:val="17"/>
              </w:rPr>
              <w:t>Michael and Renato</w:t>
            </w:r>
          </w:p>
        </w:tc>
        <w:tc>
          <w:tcPr>
            <w:tcW w:type="dxa" w:w="3221"/>
            <w:vAlign w:val="center"/>
          </w:tcPr>
          <w:p>
            <w:pPr>
              <w:spacing w:after="0"/>
            </w:pPr>
            <w:r/>
            <w:r>
              <w:rPr>
                <w:rFonts w:ascii="Aptos" w:hAnsi="Aptos"/>
                <w:b w:val="0"/>
                <w:sz w:val="17"/>
              </w:rPr>
              <w:t>Access requests seen by Keith</w:t>
            </w:r>
          </w:p>
        </w:tc>
        <w:tc>
          <w:tcPr>
            <w:tcW w:type="dxa" w:w="4972"/>
            <w:vAlign w:val="center"/>
          </w:tcPr>
          <w:p>
            <w:pPr>
              <w:spacing w:after="0"/>
            </w:pPr>
            <w:r/>
            <w:r>
              <w:rPr>
                <w:rFonts w:ascii="Aptos" w:hAnsi="Aptos"/>
                <w:b w:val="0"/>
                <w:sz w:val="17"/>
              </w:rPr>
              <w:t>Confirm ticket approval, admin-account activation and YubiKey delivery; request submission is not working access</w:t>
            </w:r>
          </w:p>
        </w:tc>
      </w:tr>
      <w:tr>
        <w:trPr>
          <w:cantSplit/>
        </w:trPr>
        <w:tc>
          <w:tcPr>
            <w:tcW w:type="dxa" w:w="2031"/>
            <w:vAlign w:val="center"/>
            <w:shd w:fill="F2F2F2"/>
          </w:tcPr>
          <w:p>
            <w:pPr>
              <w:spacing w:after="0"/>
            </w:pPr>
            <w:r/>
            <w:r>
              <w:rPr>
                <w:rFonts w:ascii="Aptos" w:hAnsi="Aptos"/>
                <w:b w:val="0"/>
                <w:sz w:val="17"/>
              </w:rPr>
              <w:t>Adam and Vincent or Vinny</w:t>
            </w:r>
          </w:p>
        </w:tc>
        <w:tc>
          <w:tcPr>
            <w:tcW w:type="dxa" w:w="3221"/>
            <w:vAlign w:val="center"/>
            <w:shd w:fill="F2F2F2"/>
          </w:tcPr>
          <w:p>
            <w:pPr>
              <w:spacing w:after="0"/>
            </w:pPr>
            <w:r/>
            <w:r>
              <w:rPr>
                <w:rFonts w:ascii="Aptos" w:hAnsi="Aptos"/>
                <w:b w:val="0"/>
                <w:sz w:val="17"/>
              </w:rPr>
              <w:t>Ticket numbers not yet received by Keith</w:t>
            </w:r>
          </w:p>
        </w:tc>
        <w:tc>
          <w:tcPr>
            <w:tcW w:type="dxa" w:w="4972"/>
            <w:vAlign w:val="center"/>
            <w:shd w:fill="F2F2F2"/>
          </w:tcPr>
          <w:p>
            <w:pPr>
              <w:spacing w:after="0"/>
            </w:pPr>
            <w:r/>
            <w:r>
              <w:rPr>
                <w:rFonts w:ascii="Aptos" w:hAnsi="Aptos"/>
                <w:b w:val="0"/>
                <w:sz w:val="17"/>
              </w:rPr>
              <w:t>Mark obtains and forwards both request numbers; Keith processes account and key requirements</w:t>
            </w:r>
          </w:p>
        </w:tc>
      </w:tr>
      <w:tr>
        <w:trPr>
          <w:cantSplit/>
        </w:trPr>
        <w:tc>
          <w:tcPr>
            <w:tcW w:type="dxa" w:w="2031"/>
            <w:vAlign w:val="center"/>
          </w:tcPr>
          <w:p>
            <w:pPr>
              <w:spacing w:after="0"/>
            </w:pPr>
            <w:r/>
            <w:r>
              <w:rPr>
                <w:rFonts w:ascii="Aptos" w:hAnsi="Aptos"/>
                <w:b w:val="0"/>
                <w:sz w:val="17"/>
              </w:rPr>
              <w:t>Chase</w:t>
            </w:r>
          </w:p>
        </w:tc>
        <w:tc>
          <w:tcPr>
            <w:tcW w:type="dxa" w:w="3221"/>
            <w:vAlign w:val="center"/>
          </w:tcPr>
          <w:p>
            <w:pPr>
              <w:spacing w:after="0"/>
            </w:pPr>
            <w:r/>
            <w:r>
              <w:rPr>
                <w:rFonts w:ascii="Aptos" w:hAnsi="Aptos"/>
                <w:b w:val="0"/>
                <w:sz w:val="17"/>
              </w:rPr>
              <w:t>No DOJ infrastructure access</w:t>
            </w:r>
          </w:p>
        </w:tc>
        <w:tc>
          <w:tcPr>
            <w:tcW w:type="dxa" w:w="4972"/>
            <w:vAlign w:val="center"/>
          </w:tcPr>
          <w:p>
            <w:pPr>
              <w:spacing w:after="0"/>
            </w:pPr>
            <w:r/>
            <w:r>
              <w:rPr>
                <w:rFonts w:ascii="Aptos" w:hAnsi="Aptos"/>
                <w:b w:val="0"/>
                <w:sz w:val="17"/>
              </w:rPr>
              <w:t>Provide license, entitlement, install instructions and screen-share guidance; an authorized MSS operator executes commands</w:t>
            </w:r>
          </w:p>
        </w:tc>
      </w:tr>
      <w:tr>
        <w:trPr>
          <w:cantSplit/>
        </w:trPr>
        <w:tc>
          <w:tcPr>
            <w:tcW w:type="dxa" w:w="2031"/>
            <w:vAlign w:val="center"/>
            <w:shd w:fill="F2F2F2"/>
          </w:tcPr>
          <w:p>
            <w:pPr>
              <w:spacing w:after="0"/>
            </w:pPr>
            <w:r/>
            <w:r>
              <w:rPr>
                <w:rFonts w:ascii="Aptos" w:hAnsi="Aptos"/>
                <w:b w:val="0"/>
                <w:sz w:val="17"/>
              </w:rPr>
              <w:t>Application URL</w:t>
            </w:r>
          </w:p>
        </w:tc>
        <w:tc>
          <w:tcPr>
            <w:tcW w:type="dxa" w:w="3221"/>
            <w:vAlign w:val="center"/>
            <w:shd w:fill="F2F2F2"/>
          </w:tcPr>
          <w:p>
            <w:pPr>
              <w:spacing w:after="0"/>
            </w:pPr>
            <w:r/>
            <w:r>
              <w:rPr>
                <w:rFonts w:ascii="Aptos" w:hAnsi="Aptos"/>
                <w:b w:val="0"/>
                <w:sz w:val="17"/>
              </w:rPr>
              <w:t>Not finalized</w:t>
            </w:r>
          </w:p>
        </w:tc>
        <w:tc>
          <w:tcPr>
            <w:tcW w:type="dxa" w:w="4972"/>
            <w:vAlign w:val="center"/>
            <w:shd w:fill="F2F2F2"/>
          </w:tcPr>
          <w:p>
            <w:pPr>
              <w:spacing w:after="0"/>
            </w:pPr>
            <w:r/>
            <w:r>
              <w:rPr>
                <w:rFonts w:ascii="Aptos" w:hAnsi="Aptos"/>
                <w:b w:val="0"/>
                <w:sz w:val="17"/>
              </w:rPr>
              <w:t>John and Tony supply the exact private browser URL to Chase before license generation</w:t>
            </w:r>
          </w:p>
        </w:tc>
      </w:tr>
    </w:tbl>
    <w:p>
      <w:pPr>
        <w:spacing w:after="0"/>
      </w:pPr>
    </w:p>
    <w:p>
      <w:pPr>
        <w:ind w:left="346" w:hanging="346"/>
      </w:pPr>
      <w:r>
        <w:rPr>
          <w:b/>
        </w:rPr>
        <w:t xml:space="preserve">1.  </w:t>
      </w:r>
      <w:r>
        <w:t>Name the MSS installation operator and deputy. Test Windows jump-box sign-in with the approved admin identity and YubiKey, SSH to the private application VM, and sudo -l. Do not assume a submitted form grants sudo.</w:t>
      </w:r>
    </w:p>
    <w:p>
      <w:pPr>
        <w:ind w:left="346" w:hanging="346"/>
      </w:pPr>
      <w:r>
        <w:rPr>
          <w:b/>
        </w:rPr>
        <w:t xml:space="preserve">2.  </w:t>
      </w:r>
      <w:r>
        <w:t>Record the approved private application hostname and TLS configuration. Chase issues the URL-bound license key and entitlement token. Store them only in the approved secret location. The call did not identify a need for online license activation; downloading the bundle is a separate controlled transfer.</w:t>
      </w:r>
    </w:p>
    <w:p>
      <w:pPr>
        <w:ind w:left="346" w:hanging="346"/>
      </w:pPr>
      <w:r>
        <w:rPr>
          <w:b/>
        </w:rPr>
        <w:t xml:space="preserve">3.  </w:t>
      </w:r>
      <w:r>
        <w:t>With Charles or the infrastructure transfer team, obtain, scan and checksum the approved 43.2 bundle and dependencies. Stage through the approved jump-box path. Record version, image digests and transfer evidence; do not enable unrestricted Internet egress.</w:t>
      </w:r>
    </w:p>
    <w:p>
      <w:pPr>
        <w:ind w:left="346" w:hanging="346"/>
      </w:pPr>
      <w:r>
        <w:rPr>
          <w:b/>
        </w:rPr>
        <w:t xml:space="preserve">4.  </w:t>
      </w:r>
      <w:r>
        <w:t>Document the existing database connection, file-store paths, permissions, certificates and application settings. Apply the supported POC configuration for the selected bundle; do not assume a local TVE database or file store is mandatory.</w:t>
      </w:r>
    </w:p>
    <w:p>
      <w:pPr>
        <w:ind w:left="346" w:hanging="346"/>
      </w:pPr>
      <w:r>
        <w:rPr>
          <w:b/>
        </w:rPr>
        <w:t xml:space="preserve">5.  </w:t>
      </w:r>
      <w:r>
        <w:t>The MSS operator follows Chase's release-specific Podman installation procedure under approved sudo. Record the exact working directory, commands and output. Confirm application health, private UI/API reachability, license acceptance and container restart behavior.</w:t>
      </w:r>
    </w:p>
    <w:p>
      <w:pPr>
        <w:ind w:left="346" w:hanging="346"/>
      </w:pPr>
      <w:r>
        <w:rPr>
          <w:b/>
        </w:rPr>
        <w:t xml:space="preserve">6.  </w:t>
      </w:r>
      <w:r>
        <w:t>Export existing flows, layouts and already-built models through Hyperscience, then import them into the new POC UI. Record identifiers, counts and any release-compatibility issues. This is application-asset migration, not VMware image or VMDK migration.</w:t>
      </w:r>
    </w:p>
    <w:p>
      <w:pPr>
        <w:ind w:left="346" w:hanging="346"/>
      </w:pPr>
      <w:r>
        <w:rPr>
          <w:b/>
        </w:rPr>
        <w:t xml:space="preserve">7.  </w:t>
      </w:r>
      <w:r>
        <w:t>Add an approved GPU-enabled model to the selected flow, verify the container can see the GPU, and capture utilization while a test job runs. Resolve the trainer decision before scheduling new model training.</w:t>
      </w:r>
    </w:p>
    <w:p>
      <w:pPr>
        <w:pStyle w:val="Heading2"/>
        <w:keepNext/>
        <w:pageBreakBefore/>
      </w:pPr>
      <w:r>
        <w:t>8 5 Application test plan and completion</w:t>
      </w:r>
    </w:p>
    <w:p>
      <w:r>
        <w:t>Caitlin and the MSS Hyperscience team execute and review the tests, with Chase advising. Mark must re-forward the written success criteria discussed as having been sent around October 7. John, Charles and Mo reconcile those criteria with this matrix before acceptance. No numerical accuracy or performance thresholds were approved in the call.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80"/>
        <w:gridCol w:w="2661"/>
        <w:gridCol w:w="6583"/>
      </w:tblGrid>
      <w:tr>
        <w:trPr>
          <w:tblHeader w:val="true"/>
          <w:cantSplit/>
        </w:trPr>
        <w:tc>
          <w:tcPr>
            <w:tcW w:type="dxa" w:w="980"/>
            <w:vAlign w:val="center"/>
            <w:shd w:fill="1F4E78"/>
          </w:tcPr>
          <w:p>
            <w:pPr>
              <w:spacing w:after="0"/>
            </w:pPr>
            <w:r/>
            <w:r>
              <w:rPr>
                <w:rFonts w:ascii="Aptos" w:hAnsi="Aptos"/>
                <w:b/>
                <w:color w:val="FFFFFF"/>
                <w:sz w:val="18"/>
              </w:rPr>
              <w:t>ID</w:t>
            </w:r>
          </w:p>
        </w:tc>
        <w:tc>
          <w:tcPr>
            <w:tcW w:type="dxa" w:w="2661"/>
            <w:vAlign w:val="center"/>
            <w:shd w:fill="1F4E78"/>
          </w:tcPr>
          <w:p>
            <w:pPr>
              <w:spacing w:after="0"/>
            </w:pPr>
            <w:r/>
            <w:r>
              <w:rPr>
                <w:rFonts w:ascii="Aptos" w:hAnsi="Aptos"/>
                <w:b/>
                <w:color w:val="FFFFFF"/>
                <w:sz w:val="18"/>
              </w:rPr>
              <w:t>Scenario</w:t>
            </w:r>
          </w:p>
        </w:tc>
        <w:tc>
          <w:tcPr>
            <w:tcW w:type="dxa" w:w="6583"/>
            <w:vAlign w:val="center"/>
            <w:shd w:fill="1F4E78"/>
          </w:tcPr>
          <w:p>
            <w:pPr>
              <w:spacing w:after="0"/>
            </w:pPr>
            <w:r/>
            <w:r>
              <w:rPr>
                <w:rFonts w:ascii="Aptos" w:hAnsi="Aptos"/>
                <w:b/>
                <w:color w:val="FFFFFF"/>
                <w:sz w:val="18"/>
              </w:rPr>
              <w:t>Evidence required</w:t>
            </w:r>
          </w:p>
        </w:tc>
      </w:tr>
      <w:tr>
        <w:trPr>
          <w:cantSplit/>
        </w:trPr>
        <w:tc>
          <w:tcPr>
            <w:tcW w:type="dxa" w:w="980"/>
            <w:vAlign w:val="center"/>
          </w:tcPr>
          <w:p>
            <w:pPr>
              <w:spacing w:after="0"/>
            </w:pPr>
            <w:r/>
            <w:r>
              <w:rPr>
                <w:rFonts w:ascii="Aptos" w:hAnsi="Aptos"/>
                <w:b w:val="0"/>
                <w:sz w:val="17"/>
              </w:rPr>
              <w:t>HS-A01</w:t>
            </w:r>
          </w:p>
        </w:tc>
        <w:tc>
          <w:tcPr>
            <w:tcW w:type="dxa" w:w="2661"/>
            <w:vAlign w:val="center"/>
          </w:tcPr>
          <w:p>
            <w:pPr>
              <w:spacing w:after="0"/>
            </w:pPr>
            <w:r/>
            <w:r>
              <w:rPr>
                <w:rFonts w:ascii="Aptos" w:hAnsi="Aptos"/>
                <w:b w:val="0"/>
                <w:sz w:val="17"/>
              </w:rPr>
              <w:t>Check</w:t>
            </w:r>
          </w:p>
        </w:tc>
        <w:tc>
          <w:tcPr>
            <w:tcW w:type="dxa" w:w="6583"/>
            <w:vAlign w:val="center"/>
          </w:tcPr>
          <w:p>
            <w:pPr>
              <w:spacing w:after="0"/>
            </w:pPr>
            <w:r/>
            <w:r>
              <w:rPr>
                <w:rFonts w:ascii="Aptos" w:hAnsi="Aptos"/>
                <w:b w:val="0"/>
                <w:sz w:val="17"/>
              </w:rPr>
              <w:t>Classification, expected field extraction, correct output and error log</w:t>
            </w:r>
          </w:p>
        </w:tc>
      </w:tr>
      <w:tr>
        <w:trPr>
          <w:cantSplit/>
        </w:trPr>
        <w:tc>
          <w:tcPr>
            <w:tcW w:type="dxa" w:w="980"/>
            <w:vAlign w:val="center"/>
            <w:shd w:fill="F2F2F2"/>
          </w:tcPr>
          <w:p>
            <w:pPr>
              <w:spacing w:after="0"/>
            </w:pPr>
            <w:r/>
            <w:r>
              <w:rPr>
                <w:rFonts w:ascii="Aptos" w:hAnsi="Aptos"/>
                <w:b w:val="0"/>
                <w:sz w:val="17"/>
              </w:rPr>
              <w:t>HS-A02</w:t>
            </w:r>
          </w:p>
        </w:tc>
        <w:tc>
          <w:tcPr>
            <w:tcW w:type="dxa" w:w="2661"/>
            <w:vAlign w:val="center"/>
            <w:shd w:fill="F2F2F2"/>
          </w:tcPr>
          <w:p>
            <w:pPr>
              <w:spacing w:after="0"/>
            </w:pPr>
            <w:r/>
            <w:r>
              <w:rPr>
                <w:rFonts w:ascii="Aptos" w:hAnsi="Aptos"/>
                <w:b w:val="0"/>
                <w:sz w:val="17"/>
              </w:rPr>
              <w:t>Deposit slip</w:t>
            </w:r>
          </w:p>
        </w:tc>
        <w:tc>
          <w:tcPr>
            <w:tcW w:type="dxa" w:w="6583"/>
            <w:vAlign w:val="center"/>
            <w:shd w:fill="F2F2F2"/>
          </w:tcPr>
          <w:p>
            <w:pPr>
              <w:spacing w:after="0"/>
            </w:pPr>
            <w:r/>
            <w:r>
              <w:rPr>
                <w:rFonts w:ascii="Aptos" w:hAnsi="Aptos"/>
                <w:b w:val="0"/>
                <w:sz w:val="17"/>
              </w:rPr>
              <w:t>Layout/model selection and expected extracted values</w:t>
            </w:r>
          </w:p>
        </w:tc>
      </w:tr>
      <w:tr>
        <w:trPr>
          <w:cantSplit/>
        </w:trPr>
        <w:tc>
          <w:tcPr>
            <w:tcW w:type="dxa" w:w="980"/>
            <w:vAlign w:val="center"/>
          </w:tcPr>
          <w:p>
            <w:pPr>
              <w:spacing w:after="0"/>
            </w:pPr>
            <w:r/>
            <w:r>
              <w:rPr>
                <w:rFonts w:ascii="Aptos" w:hAnsi="Aptos"/>
                <w:b w:val="0"/>
                <w:sz w:val="17"/>
              </w:rPr>
              <w:t>HS-A03</w:t>
            </w:r>
          </w:p>
        </w:tc>
        <w:tc>
          <w:tcPr>
            <w:tcW w:type="dxa" w:w="2661"/>
            <w:vAlign w:val="center"/>
          </w:tcPr>
          <w:p>
            <w:pPr>
              <w:spacing w:after="0"/>
            </w:pPr>
            <w:r/>
            <w:r>
              <w:rPr>
                <w:rFonts w:ascii="Aptos" w:hAnsi="Aptos"/>
                <w:b w:val="0"/>
                <w:sz w:val="17"/>
              </w:rPr>
              <w:t>Wire record</w:t>
            </w:r>
          </w:p>
        </w:tc>
        <w:tc>
          <w:tcPr>
            <w:tcW w:type="dxa" w:w="6583"/>
            <w:vAlign w:val="center"/>
          </w:tcPr>
          <w:p>
            <w:pPr>
              <w:spacing w:after="0"/>
            </w:pPr>
            <w:r/>
            <w:r>
              <w:rPr>
                <w:rFonts w:ascii="Aptos" w:hAnsi="Aptos"/>
                <w:b w:val="0"/>
                <w:sz w:val="17"/>
              </w:rPr>
              <w:t>Business flow completion and expected output fields</w:t>
            </w:r>
          </w:p>
        </w:tc>
      </w:tr>
      <w:tr>
        <w:trPr>
          <w:cantSplit/>
        </w:trPr>
        <w:tc>
          <w:tcPr>
            <w:tcW w:type="dxa" w:w="980"/>
            <w:vAlign w:val="center"/>
            <w:shd w:fill="F2F2F2"/>
          </w:tcPr>
          <w:p>
            <w:pPr>
              <w:spacing w:after="0"/>
            </w:pPr>
            <w:r/>
            <w:r>
              <w:rPr>
                <w:rFonts w:ascii="Aptos" w:hAnsi="Aptos"/>
                <w:b w:val="0"/>
                <w:sz w:val="17"/>
              </w:rPr>
              <w:t>HS-A04</w:t>
            </w:r>
          </w:p>
        </w:tc>
        <w:tc>
          <w:tcPr>
            <w:tcW w:type="dxa" w:w="2661"/>
            <w:vAlign w:val="center"/>
            <w:shd w:fill="F2F2F2"/>
          </w:tcPr>
          <w:p>
            <w:pPr>
              <w:spacing w:after="0"/>
            </w:pPr>
            <w:r/>
            <w:r>
              <w:rPr>
                <w:rFonts w:ascii="Aptos" w:hAnsi="Aptos"/>
                <w:b w:val="0"/>
                <w:sz w:val="17"/>
              </w:rPr>
              <w:t>Bank statement</w:t>
            </w:r>
          </w:p>
        </w:tc>
        <w:tc>
          <w:tcPr>
            <w:tcW w:type="dxa" w:w="6583"/>
            <w:vAlign w:val="center"/>
            <w:shd w:fill="F2F2F2"/>
          </w:tcPr>
          <w:p>
            <w:pPr>
              <w:spacing w:after="0"/>
            </w:pPr>
            <w:r/>
            <w:r>
              <w:rPr>
                <w:rFonts w:ascii="Aptos" w:hAnsi="Aptos"/>
                <w:b w:val="0"/>
                <w:sz w:val="17"/>
              </w:rPr>
              <w:t>Expected document/field results with elapsed time</w:t>
            </w:r>
          </w:p>
        </w:tc>
      </w:tr>
      <w:tr>
        <w:trPr>
          <w:cantSplit/>
        </w:trPr>
        <w:tc>
          <w:tcPr>
            <w:tcW w:type="dxa" w:w="980"/>
            <w:vAlign w:val="center"/>
          </w:tcPr>
          <w:p>
            <w:pPr>
              <w:spacing w:after="0"/>
            </w:pPr>
            <w:r/>
            <w:r>
              <w:rPr>
                <w:rFonts w:ascii="Aptos" w:hAnsi="Aptos"/>
                <w:b w:val="0"/>
                <w:sz w:val="17"/>
              </w:rPr>
              <w:t>HS-A05</w:t>
            </w:r>
          </w:p>
        </w:tc>
        <w:tc>
          <w:tcPr>
            <w:tcW w:type="dxa" w:w="2661"/>
            <w:vAlign w:val="center"/>
          </w:tcPr>
          <w:p>
            <w:pPr>
              <w:spacing w:after="0"/>
            </w:pPr>
            <w:r/>
            <w:r>
              <w:rPr>
                <w:rFonts w:ascii="Aptos" w:hAnsi="Aptos"/>
                <w:b w:val="0"/>
                <w:sz w:val="17"/>
              </w:rPr>
              <w:t>Multi-document checks</w:t>
            </w:r>
          </w:p>
        </w:tc>
        <w:tc>
          <w:tcPr>
            <w:tcW w:type="dxa" w:w="6583"/>
            <w:vAlign w:val="center"/>
          </w:tcPr>
          <w:p>
            <w:pPr>
              <w:spacing w:after="0"/>
            </w:pPr>
            <w:r/>
            <w:r>
              <w:rPr>
                <w:rFonts w:ascii="Aptos" w:hAnsi="Aptos"/>
                <w:b w:val="0"/>
                <w:sz w:val="17"/>
              </w:rPr>
              <w:t>Cropping/splitting produces individual check submissions; reconcile counts</w:t>
            </w:r>
          </w:p>
        </w:tc>
      </w:tr>
      <w:tr>
        <w:trPr>
          <w:cantSplit/>
        </w:trPr>
        <w:tc>
          <w:tcPr>
            <w:tcW w:type="dxa" w:w="980"/>
            <w:vAlign w:val="center"/>
            <w:shd w:fill="F2F2F2"/>
          </w:tcPr>
          <w:p>
            <w:pPr>
              <w:spacing w:after="0"/>
            </w:pPr>
            <w:r/>
            <w:r>
              <w:rPr>
                <w:rFonts w:ascii="Aptos" w:hAnsi="Aptos"/>
                <w:b w:val="0"/>
                <w:sz w:val="17"/>
              </w:rPr>
              <w:t>HS-A06</w:t>
            </w:r>
          </w:p>
        </w:tc>
        <w:tc>
          <w:tcPr>
            <w:tcW w:type="dxa" w:w="2661"/>
            <w:vAlign w:val="center"/>
            <w:shd w:fill="F2F2F2"/>
          </w:tcPr>
          <w:p>
            <w:pPr>
              <w:spacing w:after="0"/>
            </w:pPr>
            <w:r/>
            <w:r>
              <w:rPr>
                <w:rFonts w:ascii="Aptos" w:hAnsi="Aptos"/>
                <w:b w:val="0"/>
                <w:sz w:val="17"/>
              </w:rPr>
              <w:t>GPU model</w:t>
            </w:r>
          </w:p>
        </w:tc>
        <w:tc>
          <w:tcPr>
            <w:tcW w:type="dxa" w:w="6583"/>
            <w:vAlign w:val="center"/>
            <w:shd w:fill="F2F2F2"/>
          </w:tcPr>
          <w:p>
            <w:pPr>
              <w:spacing w:after="0"/>
            </w:pPr>
            <w:r/>
            <w:r>
              <w:rPr>
                <w:rFonts w:ascii="Aptos" w:hAnsi="Aptos"/>
                <w:b w:val="0"/>
                <w:sz w:val="17"/>
              </w:rPr>
              <w:t>Approved model uses the A10 during processing; retain metrics and errors</w:t>
            </w:r>
          </w:p>
        </w:tc>
      </w:tr>
    </w:tbl>
    <w:p>
      <w:pPr>
        <w:spacing w:after="0"/>
      </w:pPr>
    </w:p>
    <w:p>
      <w:pPr>
        <w:ind w:left="346" w:hanging="346"/>
      </w:pPr>
      <w:r>
        <w:rPr>
          <w:b/>
        </w:rPr>
        <w:t xml:space="preserve">1.  </w:t>
      </w:r>
      <w:r>
        <w:t>Use approved sanitized or synthetic samples. Record the source, checksum, expected result, operator and date for each case; do not copy production PII without authorization.</w:t>
      </w:r>
    </w:p>
    <w:p>
      <w:pPr>
        <w:ind w:left="346" w:hanging="346"/>
      </w:pPr>
      <w:r>
        <w:rPr>
          <w:b/>
        </w:rPr>
        <w:t xml:space="preserve">2.  </w:t>
      </w:r>
      <w:r>
        <w:t>For each case, capture pass/fail, extracted values, elapsed time, CPU/memory/GPU measurements and blocking errors. Reconcile failures with Caitlin and Chase; retest fixes with the same input.</w:t>
      </w:r>
    </w:p>
    <w:p>
      <w:pPr>
        <w:ind w:left="346" w:hanging="346"/>
      </w:pPr>
      <w:r>
        <w:rPr>
          <w:b/>
        </w:rPr>
        <w:t xml:space="preserve">3.  </w:t>
      </w:r>
      <w:r>
        <w:t>Perform a controlled container/service restart and confirm settings and imported assets remain usable. Keep investigator authentication and authorization rollout outside this POC unless separately approved; retain basic admin and network security.</w:t>
      </w:r>
    </w:p>
    <w:p>
      <w:pPr>
        <w:ind w:left="346" w:hanging="346"/>
      </w:pPr>
      <w:r>
        <w:rPr>
          <w:b/>
        </w:rPr>
        <w:t xml:space="preserve">4.  </w:t>
      </w:r>
      <w:r>
        <w:t>Retain exported outputs as test evidence. Live Hyperscience-to-DataWalk integration and middleware redesign are deferred; independent app tests are the POC baseline.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1"/>
        <w:gridCol w:w="3081"/>
        <w:gridCol w:w="4342"/>
      </w:tblGrid>
      <w:tr>
        <w:trPr>
          <w:tblHeader w:val="true"/>
          <w:cantSplit/>
        </w:trPr>
        <w:tc>
          <w:tcPr>
            <w:tcW w:type="dxa" w:w="2801"/>
            <w:vAlign w:val="center"/>
            <w:shd w:fill="1F4E78"/>
          </w:tcPr>
          <w:p>
            <w:pPr>
              <w:spacing w:after="0"/>
            </w:pPr>
            <w:r/>
            <w:r>
              <w:rPr>
                <w:rFonts w:ascii="Aptos" w:hAnsi="Aptos"/>
                <w:b/>
                <w:color w:val="FFFFFF"/>
                <w:sz w:val="18"/>
              </w:rPr>
              <w:t>Milestone</w:t>
            </w:r>
          </w:p>
        </w:tc>
        <w:tc>
          <w:tcPr>
            <w:tcW w:type="dxa" w:w="3081"/>
            <w:vAlign w:val="center"/>
            <w:shd w:fill="1F4E78"/>
          </w:tcPr>
          <w:p>
            <w:pPr>
              <w:spacing w:after="0"/>
            </w:pPr>
            <w:r/>
            <w:r>
              <w:rPr>
                <w:rFonts w:ascii="Aptos" w:hAnsi="Aptos"/>
                <w:b/>
                <w:color w:val="FFFFFF"/>
                <w:sz w:val="18"/>
              </w:rPr>
              <w:t>Planning duration or date</w:t>
            </w:r>
          </w:p>
        </w:tc>
        <w:tc>
          <w:tcPr>
            <w:tcW w:type="dxa" w:w="4342"/>
            <w:vAlign w:val="center"/>
            <w:shd w:fill="1F4E78"/>
          </w:tcPr>
          <w:p>
            <w:pPr>
              <w:spacing w:after="0"/>
            </w:pPr>
            <w:r/>
            <w:r>
              <w:rPr>
                <w:rFonts w:ascii="Aptos" w:hAnsi="Aptos"/>
                <w:b/>
                <w:color w:val="FFFFFF"/>
                <w:sz w:val="18"/>
              </w:rPr>
              <w:t>Dependency</w:t>
            </w:r>
          </w:p>
        </w:tc>
      </w:tr>
      <w:tr>
        <w:trPr>
          <w:cantSplit/>
        </w:trPr>
        <w:tc>
          <w:tcPr>
            <w:tcW w:type="dxa" w:w="2801"/>
            <w:vAlign w:val="center"/>
          </w:tcPr>
          <w:p>
            <w:pPr>
              <w:spacing w:after="0"/>
            </w:pPr>
            <w:r/>
            <w:r>
              <w:rPr>
                <w:rFonts w:ascii="Aptos" w:hAnsi="Aptos"/>
                <w:b w:val="0"/>
                <w:sz w:val="17"/>
              </w:rPr>
              <w:t>Basic installation and smoke tests</w:t>
            </w:r>
          </w:p>
        </w:tc>
        <w:tc>
          <w:tcPr>
            <w:tcW w:type="dxa" w:w="3081"/>
            <w:vAlign w:val="center"/>
          </w:tcPr>
          <w:p>
            <w:pPr>
              <w:spacing w:after="0"/>
            </w:pPr>
            <w:r/>
            <w:r>
              <w:rPr>
                <w:rFonts w:ascii="Aptos" w:hAnsi="Aptos"/>
                <w:b w:val="0"/>
                <w:sz w:val="17"/>
              </w:rPr>
              <w:t>About 2 working days as an initial allowance</w:t>
            </w:r>
          </w:p>
        </w:tc>
        <w:tc>
          <w:tcPr>
            <w:tcW w:type="dxa" w:w="4342"/>
            <w:vAlign w:val="center"/>
          </w:tcPr>
          <w:p>
            <w:pPr>
              <w:spacing w:after="0"/>
            </w:pPr>
            <w:r/>
            <w:r>
              <w:rPr>
                <w:rFonts w:ascii="Aptos" w:hAnsi="Aptos"/>
                <w:b w:val="0"/>
                <w:sz w:val="17"/>
              </w:rPr>
              <w:t>Working access, sudo, scanned bundle, license and infrastructure ready</w:t>
            </w:r>
          </w:p>
        </w:tc>
      </w:tr>
      <w:tr>
        <w:trPr>
          <w:cantSplit/>
        </w:trPr>
        <w:tc>
          <w:tcPr>
            <w:tcW w:type="dxa" w:w="2801"/>
            <w:vAlign w:val="center"/>
            <w:shd w:fill="F2F2F2"/>
          </w:tcPr>
          <w:p>
            <w:pPr>
              <w:spacing w:after="0"/>
            </w:pPr>
            <w:r/>
            <w:r>
              <w:rPr>
                <w:rFonts w:ascii="Aptos" w:hAnsi="Aptos"/>
                <w:b w:val="0"/>
                <w:sz w:val="17"/>
              </w:rPr>
              <w:t>Installation through application test completion</w:t>
            </w:r>
          </w:p>
        </w:tc>
        <w:tc>
          <w:tcPr>
            <w:tcW w:type="dxa" w:w="3081"/>
            <w:vAlign w:val="center"/>
            <w:shd w:fill="F2F2F2"/>
          </w:tcPr>
          <w:p>
            <w:pPr>
              <w:spacing w:after="0"/>
            </w:pPr>
            <w:r/>
            <w:r>
              <w:rPr>
                <w:rFonts w:ascii="Aptos" w:hAnsi="Aptos"/>
                <w:b w:val="0"/>
                <w:sz w:val="17"/>
              </w:rPr>
              <w:t>About 2 weeks discussed</w:t>
            </w:r>
          </w:p>
        </w:tc>
        <w:tc>
          <w:tcPr>
            <w:tcW w:type="dxa" w:w="4342"/>
            <w:vAlign w:val="center"/>
            <w:shd w:fill="F2F2F2"/>
          </w:tcPr>
          <w:p>
            <w:pPr>
              <w:spacing w:after="0"/>
            </w:pPr>
            <w:r/>
            <w:r>
              <w:rPr>
                <w:rFonts w:ascii="Aptos" w:hAnsi="Aptos"/>
                <w:b w:val="0"/>
                <w:sz w:val="17"/>
              </w:rPr>
              <w:t>Not 2 weeks of testing alone; Mo confirms working-day/calendar interpretation</w:t>
            </w:r>
          </w:p>
        </w:tc>
      </w:tr>
      <w:tr>
        <w:trPr>
          <w:cantSplit/>
        </w:trPr>
        <w:tc>
          <w:tcPr>
            <w:tcW w:type="dxa" w:w="2801"/>
            <w:vAlign w:val="center"/>
          </w:tcPr>
          <w:p>
            <w:pPr>
              <w:spacing w:after="0"/>
            </w:pPr>
            <w:r/>
            <w:r>
              <w:rPr>
                <w:rFonts w:ascii="Aptos" w:hAnsi="Aptos"/>
                <w:b w:val="0"/>
                <w:sz w:val="17"/>
              </w:rPr>
              <w:t>Technical completion target</w:t>
            </w:r>
          </w:p>
        </w:tc>
        <w:tc>
          <w:tcPr>
            <w:tcW w:type="dxa" w:w="3081"/>
            <w:vAlign w:val="center"/>
          </w:tcPr>
          <w:p>
            <w:pPr>
              <w:spacing w:after="0"/>
            </w:pPr>
            <w:r/>
            <w:r>
              <w:rPr>
                <w:rFonts w:ascii="Aptos" w:hAnsi="Aptos"/>
                <w:b w:val="0"/>
                <w:sz w:val="17"/>
              </w:rPr>
              <w:t>November 24, 2026</w:t>
            </w:r>
          </w:p>
        </w:tc>
        <w:tc>
          <w:tcPr>
            <w:tcW w:type="dxa" w:w="4342"/>
            <w:vAlign w:val="center"/>
          </w:tcPr>
          <w:p>
            <w:pPr>
              <w:spacing w:after="0"/>
            </w:pPr>
            <w:r/>
            <w:r>
              <w:rPr>
                <w:rFonts w:ascii="Aptos" w:hAnsi="Aptos"/>
                <w:b w:val="0"/>
                <w:sz w:val="17"/>
              </w:rPr>
              <w:t>Written success criteria, tests and decision evidence complete</w:t>
            </w:r>
          </w:p>
        </w:tc>
      </w:tr>
      <w:tr>
        <w:trPr>
          <w:cantSplit/>
        </w:trPr>
        <w:tc>
          <w:tcPr>
            <w:tcW w:type="dxa" w:w="2801"/>
            <w:vAlign w:val="center"/>
            <w:shd w:fill="F2F2F2"/>
          </w:tcPr>
          <w:p>
            <w:pPr>
              <w:spacing w:after="0"/>
            </w:pPr>
            <w:r/>
            <w:r>
              <w:rPr>
                <w:rFonts w:ascii="Aptos" w:hAnsi="Aptos"/>
                <w:b w:val="0"/>
                <w:sz w:val="17"/>
              </w:rPr>
              <w:t>Funding deadline</w:t>
            </w:r>
          </w:p>
        </w:tc>
        <w:tc>
          <w:tcPr>
            <w:tcW w:type="dxa" w:w="3081"/>
            <w:vAlign w:val="center"/>
            <w:shd w:fill="F2F2F2"/>
          </w:tcPr>
          <w:p>
            <w:pPr>
              <w:spacing w:after="0"/>
            </w:pPr>
            <w:r/>
            <w:r>
              <w:rPr>
                <w:rFonts w:ascii="Aptos" w:hAnsi="Aptos"/>
                <w:b w:val="0"/>
                <w:sz w:val="17"/>
              </w:rPr>
              <w:t>November 25, 2026</w:t>
            </w:r>
          </w:p>
        </w:tc>
        <w:tc>
          <w:tcPr>
            <w:tcW w:type="dxa" w:w="4342"/>
            <w:vAlign w:val="center"/>
            <w:shd w:fill="F2F2F2"/>
          </w:tcPr>
          <w:p>
            <w:pPr>
              <w:spacing w:after="0"/>
            </w:pPr>
            <w:r/>
            <w:r>
              <w:rPr>
                <w:rFonts w:ascii="Aptos" w:hAnsi="Aptos"/>
                <w:b w:val="0"/>
                <w:sz w:val="17"/>
              </w:rPr>
              <w:t>Confirm remaining credits and other tenancy consumption before build</w:t>
            </w:r>
          </w:p>
        </w:tc>
      </w:tr>
    </w:tbl>
    <w:p>
      <w:pPr>
        <w:spacing w:after="0"/>
      </w:pPr>
    </w:p>
    <w:p>
      <w:r>
        <w:t>After sign-off, record the recommendation and remaining production work. ATO, long-term funding, production sizing and deployment approval are separate government decisions. Mo baselines the updated schedule and tracks weekly status; a POC pass does not authorize production cutover or on-premises decommissioning.</w:t>
      </w:r>
    </w:p>
    <w:p>
      <w:pPr>
        <w:pStyle w:val="Heading1"/>
        <w:keepNext/>
        <w:pageBreakBefore/>
      </w:pPr>
      <w:r>
        <w:t>9 Acceptance rollback and closeout</w:t>
      </w:r>
    </w:p>
    <w:p>
      <w:pPr>
        <w:pStyle w:val="Heading2"/>
        <w:keepNext/>
      </w:pPr>
      <w:r>
        <w:t>9 1 Infrastructure acceptance tests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011"/>
        <w:gridCol w:w="6204"/>
      </w:tblGrid>
      <w:tr>
        <w:trPr>
          <w:tblHeader w:val="true"/>
          <w:cantSplit/>
        </w:trPr>
        <w:tc>
          <w:tcPr>
            <w:tcW w:type="dxa" w:w="1008"/>
            <w:vAlign w:val="center"/>
            <w:shd w:fill="1F4E78"/>
          </w:tcPr>
          <w:p>
            <w:pPr>
              <w:spacing w:after="0"/>
            </w:pPr>
            <w:r/>
            <w:r>
              <w:rPr>
                <w:rFonts w:ascii="Aptos" w:hAnsi="Aptos"/>
                <w:b/>
                <w:color w:val="FFFFFF"/>
                <w:sz w:val="18"/>
              </w:rPr>
              <w:t>ID</w:t>
            </w:r>
          </w:p>
        </w:tc>
        <w:tc>
          <w:tcPr>
            <w:tcW w:type="dxa" w:w="3011"/>
            <w:vAlign w:val="center"/>
            <w:shd w:fill="1F4E78"/>
          </w:tcPr>
          <w:p>
            <w:pPr>
              <w:spacing w:after="0"/>
            </w:pPr>
            <w:r/>
            <w:r>
              <w:rPr>
                <w:rFonts w:ascii="Aptos" w:hAnsi="Aptos"/>
                <w:b/>
                <w:color w:val="FFFFFF"/>
                <w:sz w:val="18"/>
              </w:rPr>
              <w:t>Test</w:t>
            </w:r>
          </w:p>
        </w:tc>
        <w:tc>
          <w:tcPr>
            <w:tcW w:type="dxa" w:w="6204"/>
            <w:vAlign w:val="center"/>
            <w:shd w:fill="1F4E78"/>
          </w:tcPr>
          <w:p>
            <w:pPr>
              <w:spacing w:after="0"/>
            </w:pPr>
            <w:r/>
            <w:r>
              <w:rPr>
                <w:rFonts w:ascii="Aptos" w:hAnsi="Aptos"/>
                <w:b/>
                <w:color w:val="FFFFFF"/>
                <w:sz w:val="18"/>
              </w:rPr>
              <w:t>Pass criterion</w:t>
            </w:r>
          </w:p>
        </w:tc>
      </w:tr>
      <w:tr>
        <w:trPr>
          <w:cantSplit/>
        </w:trPr>
        <w:tc>
          <w:tcPr>
            <w:tcW w:type="dxa" w:w="1008"/>
            <w:vAlign w:val="center"/>
          </w:tcPr>
          <w:p>
            <w:pPr>
              <w:spacing w:after="0"/>
            </w:pPr>
            <w:r/>
            <w:r>
              <w:rPr>
                <w:rFonts w:ascii="Aptos" w:hAnsi="Aptos"/>
                <w:b w:val="0"/>
                <w:sz w:val="15"/>
              </w:rPr>
              <w:t>HS-I01</w:t>
            </w:r>
          </w:p>
        </w:tc>
        <w:tc>
          <w:tcPr>
            <w:tcW w:type="dxa" w:w="3011"/>
            <w:vAlign w:val="center"/>
          </w:tcPr>
          <w:p>
            <w:pPr>
              <w:spacing w:after="0"/>
            </w:pPr>
            <w:r/>
            <w:r>
              <w:rPr>
                <w:rFonts w:ascii="Aptos" w:hAnsi="Aptos"/>
                <w:b w:val="0"/>
                <w:sz w:val="15"/>
              </w:rPr>
              <w:t>Isolation</w:t>
            </w:r>
          </w:p>
        </w:tc>
        <w:tc>
          <w:tcPr>
            <w:tcW w:type="dxa" w:w="6204"/>
            <w:vAlign w:val="center"/>
          </w:tcPr>
          <w:p>
            <w:pPr>
              <w:spacing w:after="0"/>
            </w:pPr>
            <w:r/>
            <w:r>
              <w:rPr>
                <w:rFonts w:ascii="Aptos" w:hAnsi="Aptos"/>
                <w:b w:val="0"/>
                <w:sz w:val="15"/>
              </w:rPr>
              <w:t>Only Hyperscience POC resources exist; no DataWalk or production sharing</w:t>
            </w:r>
          </w:p>
        </w:tc>
      </w:tr>
      <w:tr>
        <w:trPr>
          <w:cantSplit/>
        </w:trPr>
        <w:tc>
          <w:tcPr>
            <w:tcW w:type="dxa" w:w="1008"/>
            <w:vAlign w:val="center"/>
            <w:shd w:fill="F2F2F2"/>
          </w:tcPr>
          <w:p>
            <w:pPr>
              <w:spacing w:after="0"/>
            </w:pPr>
            <w:r/>
            <w:r>
              <w:rPr>
                <w:rFonts w:ascii="Aptos" w:hAnsi="Aptos"/>
                <w:b w:val="0"/>
                <w:sz w:val="15"/>
              </w:rPr>
              <w:t>HS-I02</w:t>
            </w:r>
          </w:p>
        </w:tc>
        <w:tc>
          <w:tcPr>
            <w:tcW w:type="dxa" w:w="3011"/>
            <w:vAlign w:val="center"/>
            <w:shd w:fill="F2F2F2"/>
          </w:tcPr>
          <w:p>
            <w:pPr>
              <w:spacing w:after="0"/>
            </w:pPr>
            <w:r/>
            <w:r>
              <w:rPr>
                <w:rFonts w:ascii="Aptos" w:hAnsi="Aptos"/>
                <w:b w:val="0"/>
                <w:sz w:val="15"/>
              </w:rPr>
              <w:t>Private access</w:t>
            </w:r>
          </w:p>
        </w:tc>
        <w:tc>
          <w:tcPr>
            <w:tcW w:type="dxa" w:w="6204"/>
            <w:vAlign w:val="center"/>
            <w:shd w:fill="F2F2F2"/>
          </w:tcPr>
          <w:p>
            <w:pPr>
              <w:spacing w:after="0"/>
            </w:pPr>
            <w:r/>
            <w:r>
              <w:rPr>
                <w:rFonts w:ascii="Aptos" w:hAnsi="Aptos"/>
                <w:b w:val="0"/>
                <w:sz w:val="15"/>
              </w:rPr>
              <w:t>SSH works only through the jump host; no public IP or Internet path</w:t>
            </w:r>
          </w:p>
        </w:tc>
      </w:tr>
      <w:tr>
        <w:trPr>
          <w:cantSplit/>
        </w:trPr>
        <w:tc>
          <w:tcPr>
            <w:tcW w:type="dxa" w:w="1008"/>
            <w:vAlign w:val="center"/>
          </w:tcPr>
          <w:p>
            <w:pPr>
              <w:spacing w:after="0"/>
            </w:pPr>
            <w:r/>
            <w:r>
              <w:rPr>
                <w:rFonts w:ascii="Aptos" w:hAnsi="Aptos"/>
                <w:b w:val="0"/>
                <w:sz w:val="15"/>
              </w:rPr>
              <w:t>HS-I03</w:t>
            </w:r>
          </w:p>
        </w:tc>
        <w:tc>
          <w:tcPr>
            <w:tcW w:type="dxa" w:w="3011"/>
            <w:vAlign w:val="center"/>
          </w:tcPr>
          <w:p>
            <w:pPr>
              <w:spacing w:after="0"/>
            </w:pPr>
            <w:r/>
            <w:r>
              <w:rPr>
                <w:rFonts w:ascii="Aptos" w:hAnsi="Aptos"/>
                <w:b w:val="0"/>
                <w:sz w:val="15"/>
              </w:rPr>
              <w:t>Hybrid routing</w:t>
            </w:r>
          </w:p>
        </w:tc>
        <w:tc>
          <w:tcPr>
            <w:tcW w:type="dxa" w:w="6204"/>
            <w:vAlign w:val="center"/>
          </w:tcPr>
          <w:p>
            <w:pPr>
              <w:spacing w:after="0"/>
            </w:pPr>
            <w:r/>
            <w:r>
              <w:rPr>
                <w:rFonts w:ascii="Aptos" w:hAnsi="Aptos"/>
                <w:b w:val="0"/>
                <w:sz w:val="15"/>
              </w:rPr>
              <w:t>Forward/return path crosses approved DRG and inspection; MTU test passes</w:t>
            </w:r>
          </w:p>
        </w:tc>
      </w:tr>
      <w:tr>
        <w:trPr>
          <w:cantSplit/>
        </w:trPr>
        <w:tc>
          <w:tcPr>
            <w:tcW w:type="dxa" w:w="1008"/>
            <w:vAlign w:val="center"/>
            <w:shd w:fill="F2F2F2"/>
          </w:tcPr>
          <w:p>
            <w:pPr>
              <w:spacing w:after="0"/>
            </w:pPr>
            <w:r/>
            <w:r>
              <w:rPr>
                <w:rFonts w:ascii="Aptos" w:hAnsi="Aptos"/>
                <w:b w:val="0"/>
                <w:sz w:val="15"/>
              </w:rPr>
              <w:t>HS-I04</w:t>
            </w:r>
          </w:p>
        </w:tc>
        <w:tc>
          <w:tcPr>
            <w:tcW w:type="dxa" w:w="3011"/>
            <w:vAlign w:val="center"/>
            <w:shd w:fill="F2F2F2"/>
          </w:tcPr>
          <w:p>
            <w:pPr>
              <w:spacing w:after="0"/>
            </w:pPr>
            <w:r/>
            <w:r>
              <w:rPr>
                <w:rFonts w:ascii="Aptos" w:hAnsi="Aptos"/>
                <w:b w:val="0"/>
                <w:sz w:val="15"/>
              </w:rPr>
              <w:t>DNS/TLS</w:t>
            </w:r>
          </w:p>
        </w:tc>
        <w:tc>
          <w:tcPr>
            <w:tcW w:type="dxa" w:w="6204"/>
            <w:vAlign w:val="center"/>
            <w:shd w:fill="F2F2F2"/>
          </w:tcPr>
          <w:p>
            <w:pPr>
              <w:spacing w:after="0"/>
            </w:pPr>
            <w:r/>
            <w:r>
              <w:rPr>
                <w:rFonts w:ascii="Aptos" w:hAnsi="Aptos"/>
                <w:b w:val="0"/>
                <w:sz w:val="15"/>
              </w:rPr>
              <w:t>Private name resolves; trusted TLS 1.2+ works on 443; temporary 80 removed</w:t>
            </w:r>
          </w:p>
        </w:tc>
      </w:tr>
      <w:tr>
        <w:trPr>
          <w:cantSplit/>
        </w:trPr>
        <w:tc>
          <w:tcPr>
            <w:tcW w:type="dxa" w:w="1008"/>
            <w:vAlign w:val="center"/>
          </w:tcPr>
          <w:p>
            <w:pPr>
              <w:spacing w:after="0"/>
            </w:pPr>
            <w:r/>
            <w:r>
              <w:rPr>
                <w:rFonts w:ascii="Aptos" w:hAnsi="Aptos"/>
                <w:b w:val="0"/>
                <w:sz w:val="15"/>
              </w:rPr>
              <w:t>HS-I05</w:t>
            </w:r>
          </w:p>
        </w:tc>
        <w:tc>
          <w:tcPr>
            <w:tcW w:type="dxa" w:w="3011"/>
            <w:vAlign w:val="center"/>
          </w:tcPr>
          <w:p>
            <w:pPr>
              <w:spacing w:after="0"/>
            </w:pPr>
            <w:r/>
            <w:r>
              <w:rPr>
                <w:rFonts w:ascii="Aptos" w:hAnsi="Aptos"/>
                <w:b w:val="0"/>
                <w:sz w:val="15"/>
              </w:rPr>
              <w:t>Compute</w:t>
            </w:r>
          </w:p>
        </w:tc>
        <w:tc>
          <w:tcPr>
            <w:tcW w:type="dxa" w:w="6204"/>
            <w:vAlign w:val="center"/>
          </w:tcPr>
          <w:p>
            <w:pPr>
              <w:spacing w:after="0"/>
            </w:pPr>
            <w:r/>
            <w:r>
              <w:rPr>
                <w:rFonts w:ascii="Aptos" w:hAnsi="Aptos"/>
                <w:b w:val="0"/>
                <w:sz w:val="15"/>
              </w:rPr>
              <w:t>Approved VM count healthy with correct CPU/RAM and private IPs; baseline one application VM</w:t>
            </w:r>
          </w:p>
        </w:tc>
      </w:tr>
      <w:tr>
        <w:trPr>
          <w:cantSplit/>
        </w:trPr>
        <w:tc>
          <w:tcPr>
            <w:tcW w:type="dxa" w:w="1008"/>
            <w:vAlign w:val="center"/>
            <w:shd w:fill="F2F2F2"/>
          </w:tcPr>
          <w:p>
            <w:pPr>
              <w:spacing w:after="0"/>
            </w:pPr>
            <w:r/>
            <w:r>
              <w:rPr>
                <w:rFonts w:ascii="Aptos" w:hAnsi="Aptos"/>
                <w:b w:val="0"/>
                <w:sz w:val="15"/>
              </w:rPr>
              <w:t>HS-I06</w:t>
            </w:r>
          </w:p>
        </w:tc>
        <w:tc>
          <w:tcPr>
            <w:tcW w:type="dxa" w:w="3011"/>
            <w:vAlign w:val="center"/>
            <w:shd w:fill="F2F2F2"/>
          </w:tcPr>
          <w:p>
            <w:pPr>
              <w:spacing w:after="0"/>
            </w:pPr>
            <w:r/>
            <w:r>
              <w:rPr>
                <w:rFonts w:ascii="Aptos" w:hAnsi="Aptos"/>
                <w:b w:val="0"/>
                <w:sz w:val="15"/>
              </w:rPr>
              <w:t>GPU</w:t>
            </w:r>
          </w:p>
        </w:tc>
        <w:tc>
          <w:tcPr>
            <w:tcW w:type="dxa" w:w="6204"/>
            <w:vAlign w:val="center"/>
            <w:shd w:fill="F2F2F2"/>
          </w:tcPr>
          <w:p>
            <w:pPr>
              <w:spacing w:after="0"/>
            </w:pPr>
            <w:r/>
            <w:r>
              <w:rPr>
                <w:rFonts w:ascii="Aptos" w:hAnsi="Aptos"/>
                <w:b w:val="0"/>
                <w:sz w:val="15"/>
              </w:rPr>
              <w:t>Each VM reports two healthy A10 24 GB devices; approved driver/runtime test passes</w:t>
            </w:r>
          </w:p>
        </w:tc>
      </w:tr>
      <w:tr>
        <w:trPr>
          <w:cantSplit/>
        </w:trPr>
        <w:tc>
          <w:tcPr>
            <w:tcW w:type="dxa" w:w="1008"/>
            <w:vAlign w:val="center"/>
          </w:tcPr>
          <w:p>
            <w:pPr>
              <w:spacing w:after="0"/>
            </w:pPr>
            <w:r/>
            <w:r>
              <w:rPr>
                <w:rFonts w:ascii="Aptos" w:hAnsi="Aptos"/>
                <w:b w:val="0"/>
                <w:sz w:val="15"/>
              </w:rPr>
              <w:t>HS-I07</w:t>
            </w:r>
          </w:p>
        </w:tc>
        <w:tc>
          <w:tcPr>
            <w:tcW w:type="dxa" w:w="3011"/>
            <w:vAlign w:val="center"/>
          </w:tcPr>
          <w:p>
            <w:pPr>
              <w:spacing w:after="0"/>
            </w:pPr>
            <w:r/>
            <w:r>
              <w:rPr>
                <w:rFonts w:ascii="Aptos" w:hAnsi="Aptos"/>
                <w:b w:val="0"/>
                <w:sz w:val="15"/>
              </w:rPr>
              <w:t>Storage</w:t>
            </w:r>
          </w:p>
        </w:tc>
        <w:tc>
          <w:tcPr>
            <w:tcW w:type="dxa" w:w="6204"/>
            <w:vAlign w:val="center"/>
          </w:tcPr>
          <w:p>
            <w:pPr>
              <w:spacing w:after="0"/>
            </w:pPr>
            <w:r/>
            <w:r>
              <w:rPr>
                <w:rFonts w:ascii="Aptos" w:hAnsi="Aptos"/>
                <w:b w:val="0"/>
                <w:sz w:val="15"/>
              </w:rPr>
              <w:t>600 GB data volume is allocated and mounts persist across reboot; trainer storage is local</w:t>
            </w:r>
          </w:p>
        </w:tc>
      </w:tr>
      <w:tr>
        <w:trPr>
          <w:cantSplit/>
        </w:trPr>
        <w:tc>
          <w:tcPr>
            <w:tcW w:type="dxa" w:w="1008"/>
            <w:vAlign w:val="center"/>
            <w:shd w:fill="F2F2F2"/>
          </w:tcPr>
          <w:p>
            <w:pPr>
              <w:spacing w:after="0"/>
            </w:pPr>
            <w:r/>
            <w:r>
              <w:rPr>
                <w:rFonts w:ascii="Aptos" w:hAnsi="Aptos"/>
                <w:b w:val="0"/>
                <w:sz w:val="15"/>
              </w:rPr>
              <w:t>HS-I08</w:t>
            </w:r>
          </w:p>
        </w:tc>
        <w:tc>
          <w:tcPr>
            <w:tcW w:type="dxa" w:w="3011"/>
            <w:vAlign w:val="center"/>
            <w:shd w:fill="F2F2F2"/>
          </w:tcPr>
          <w:p>
            <w:pPr>
              <w:spacing w:after="0"/>
            </w:pPr>
            <w:r/>
            <w:r>
              <w:rPr>
                <w:rFonts w:ascii="Aptos" w:hAnsi="Aptos"/>
                <w:b w:val="0"/>
                <w:sz w:val="15"/>
              </w:rPr>
              <w:t>Container runtime</w:t>
            </w:r>
          </w:p>
        </w:tc>
        <w:tc>
          <w:tcPr>
            <w:tcW w:type="dxa" w:w="6204"/>
            <w:vAlign w:val="center"/>
            <w:shd w:fill="F2F2F2"/>
          </w:tcPr>
          <w:p>
            <w:pPr>
              <w:spacing w:after="0"/>
            </w:pPr>
            <w:r/>
            <w:r>
              <w:rPr>
                <w:rFonts w:ascii="Aptos" w:hAnsi="Aptos"/>
                <w:b w:val="0"/>
                <w:sz w:val="15"/>
              </w:rPr>
              <w:t>Supported Podman starts at boot; GPU devices visible in approved test container</w:t>
            </w:r>
          </w:p>
        </w:tc>
      </w:tr>
      <w:tr>
        <w:trPr>
          <w:cantSplit/>
        </w:trPr>
        <w:tc>
          <w:tcPr>
            <w:tcW w:type="dxa" w:w="1008"/>
            <w:vAlign w:val="center"/>
          </w:tcPr>
          <w:p>
            <w:pPr>
              <w:spacing w:after="0"/>
            </w:pPr>
            <w:r/>
            <w:r>
              <w:rPr>
                <w:rFonts w:ascii="Aptos" w:hAnsi="Aptos"/>
                <w:b w:val="0"/>
                <w:sz w:val="15"/>
              </w:rPr>
              <w:t>HS-I09</w:t>
            </w:r>
          </w:p>
        </w:tc>
        <w:tc>
          <w:tcPr>
            <w:tcW w:type="dxa" w:w="3011"/>
            <w:vAlign w:val="center"/>
          </w:tcPr>
          <w:p>
            <w:pPr>
              <w:spacing w:after="0"/>
            </w:pPr>
            <w:r/>
            <w:r>
              <w:rPr>
                <w:rFonts w:ascii="Aptos" w:hAnsi="Aptos"/>
                <w:b w:val="0"/>
                <w:sz w:val="15"/>
              </w:rPr>
              <w:t>Security telemetry</w:t>
            </w:r>
          </w:p>
        </w:tc>
        <w:tc>
          <w:tcPr>
            <w:tcW w:type="dxa" w:w="6204"/>
            <w:vAlign w:val="center"/>
          </w:tcPr>
          <w:p>
            <w:pPr>
              <w:spacing w:after="0"/>
            </w:pPr>
            <w:r/>
            <w:r>
              <w:rPr>
                <w:rFonts w:ascii="Aptos" w:hAnsi="Aptos"/>
                <w:b w:val="0"/>
                <w:sz w:val="15"/>
              </w:rPr>
              <w:t>Audit, OS, container and GPU evidence reaches approved logging/monitoring targets</w:t>
            </w:r>
          </w:p>
        </w:tc>
      </w:tr>
      <w:tr>
        <w:trPr>
          <w:cantSplit/>
        </w:trPr>
        <w:tc>
          <w:tcPr>
            <w:tcW w:type="dxa" w:w="1008"/>
            <w:vAlign w:val="center"/>
            <w:shd w:fill="F2F2F2"/>
          </w:tcPr>
          <w:p>
            <w:pPr>
              <w:spacing w:after="0"/>
            </w:pPr>
            <w:r/>
            <w:r>
              <w:rPr>
                <w:rFonts w:ascii="Aptos" w:hAnsi="Aptos"/>
                <w:b w:val="0"/>
                <w:sz w:val="15"/>
              </w:rPr>
              <w:t>HS-I10</w:t>
            </w:r>
          </w:p>
        </w:tc>
        <w:tc>
          <w:tcPr>
            <w:tcW w:type="dxa" w:w="3011"/>
            <w:vAlign w:val="center"/>
            <w:shd w:fill="F2F2F2"/>
          </w:tcPr>
          <w:p>
            <w:pPr>
              <w:spacing w:after="0"/>
            </w:pPr>
            <w:r/>
            <w:r>
              <w:rPr>
                <w:rFonts w:ascii="Aptos" w:hAnsi="Aptos"/>
                <w:b w:val="0"/>
                <w:sz w:val="15"/>
              </w:rPr>
              <w:t>Recovery</w:t>
            </w:r>
          </w:p>
        </w:tc>
        <w:tc>
          <w:tcPr>
            <w:tcW w:type="dxa" w:w="6204"/>
            <w:vAlign w:val="center"/>
            <w:shd w:fill="F2F2F2"/>
          </w:tcPr>
          <w:p>
            <w:pPr>
              <w:spacing w:after="0"/>
            </w:pPr>
            <w:r/>
            <w:r>
              <w:rPr>
                <w:rFonts w:ascii="Aptos" w:hAnsi="Aptos"/>
                <w:b w:val="0"/>
                <w:sz w:val="15"/>
              </w:rPr>
              <w:t>Approved backup completes and a documented restore test succeeds</w:t>
            </w:r>
          </w:p>
        </w:tc>
      </w:tr>
      <w:tr>
        <w:trPr>
          <w:cantSplit/>
        </w:trPr>
        <w:tc>
          <w:tcPr>
            <w:tcW w:type="dxa" w:w="1008"/>
            <w:vAlign w:val="center"/>
          </w:tcPr>
          <w:p>
            <w:pPr>
              <w:spacing w:after="0"/>
            </w:pPr>
            <w:r/>
            <w:r>
              <w:rPr>
                <w:rFonts w:ascii="Aptos" w:hAnsi="Aptos"/>
                <w:b w:val="0"/>
                <w:sz w:val="15"/>
              </w:rPr>
              <w:t>HS-I11</w:t>
            </w:r>
          </w:p>
        </w:tc>
        <w:tc>
          <w:tcPr>
            <w:tcW w:type="dxa" w:w="3011"/>
            <w:vAlign w:val="center"/>
          </w:tcPr>
          <w:p>
            <w:pPr>
              <w:spacing w:after="0"/>
            </w:pPr>
            <w:r/>
            <w:r>
              <w:rPr>
                <w:rFonts w:ascii="Aptos" w:hAnsi="Aptos"/>
                <w:b w:val="0"/>
                <w:sz w:val="15"/>
              </w:rPr>
              <w:t>Installation readiness</w:t>
            </w:r>
          </w:p>
        </w:tc>
        <w:tc>
          <w:tcPr>
            <w:tcW w:type="dxa" w:w="6204"/>
            <w:vAlign w:val="center"/>
          </w:tcPr>
          <w:p>
            <w:pPr>
              <w:spacing w:after="0"/>
            </w:pPr>
            <w:r/>
            <w:r>
              <w:rPr>
                <w:rFonts w:ascii="Aptos" w:hAnsi="Aptos"/>
                <w:b w:val="0"/>
                <w:sz w:val="15"/>
              </w:rPr>
              <w:t>MSS accepts the platform; authorized operator has tested sudo; Chase supports installation remotely</w:t>
            </w:r>
          </w:p>
        </w:tc>
      </w:tr>
    </w:tbl>
    <w:p>
      <w:pPr>
        <w:spacing w:after="0"/>
      </w:pPr>
    </w:p>
    <w:p>
      <w:pPr>
        <w:pStyle w:val="Heading2"/>
        <w:keepNext/>
      </w:pPr>
      <w:r>
        <w:t>9 2 Application POC evidence after vendor install</w:t>
      </w:r>
    </w:p>
    <w:p>
      <w:pPr>
        <w:pStyle w:val="ListBullet"/>
      </w:pPr>
      <w:r>
        <w:t>Application UI/API is reachable privately; license is accepted; health checks show no blocking errors.</w:t>
      </w:r>
    </w:p>
    <w:p>
      <w:pPr>
        <w:pStyle w:val="ListBullet"/>
      </w:pPr>
      <w:r>
        <w:t>If approved, trainer authenticates over the private TLS endpoint; otherwise mark trainer tests not applicable with the reason.</w:t>
      </w:r>
    </w:p>
    <w:p>
      <w:pPr>
        <w:pStyle w:val="ListBullet"/>
      </w:pPr>
      <w:r>
        <w:t>Imported flows, layouts and models process approved check, deposit-slip, wire-record, bank-statement and multi-document samples. Include a GPU-enabled model and retain GPU-use evidence.</w:t>
      </w:r>
    </w:p>
    <w:p>
      <w:pPr>
        <w:pStyle w:val="ListBullet"/>
      </w:pPr>
      <w:r>
        <w:t>Throughput, latency, CPU, memory, GPU, VRAM, disk and network metrics are captured against agreed targets.</w:t>
      </w:r>
    </w:p>
    <w:p>
      <w:pPr>
        <w:pStyle w:val="ListBullet"/>
      </w:pPr>
      <w:r>
        <w:t>Security scan, backup/restore, operator restart and failure-recovery tests pass or have documented remediation owners.</w:t>
      </w:r>
    </w:p>
    <w:p>
      <w:pPr>
        <w:pStyle w:val="Heading2"/>
        <w:keepNext/>
      </w:pPr>
      <w:r>
        <w:t>9 3 Rollback and teardown</w:t>
      </w:r>
    </w:p>
    <w:p>
      <w:pPr>
        <w:ind w:left="346" w:hanging="346"/>
      </w:pPr>
      <w:r>
        <w:rPr>
          <w:b/>
        </w:rPr>
        <w:t xml:space="preserve">1.  </w:t>
      </w:r>
      <w:r>
        <w:t>Stop testing and preserve sanitized logs, metrics, configuration and failure evidence. Do not destroy resources needed for root-cause analysis.</w:t>
      </w:r>
    </w:p>
    <w:p>
      <w:pPr>
        <w:ind w:left="346" w:hanging="346"/>
      </w:pPr>
      <w:r>
        <w:rPr>
          <w:b/>
        </w:rPr>
        <w:t xml:space="preserve">2.  </w:t>
      </w:r>
      <w:r>
        <w:t>If application readiness fails, revert the last approved OS/driver/runtime change or restore the validated boot/data-volume backup.</w:t>
      </w:r>
    </w:p>
    <w:p>
      <w:pPr>
        <w:ind w:left="346" w:hanging="346"/>
      </w:pPr>
      <w:r>
        <w:rPr>
          <w:b/>
        </w:rPr>
        <w:t xml:space="preserve">3.  </w:t>
      </w:r>
      <w:r>
        <w:t>For full teardown, obtain project, security and data-owner approval; revoke the license/token, securely remove POC data and verify backup-retention requirements.</w:t>
      </w:r>
    </w:p>
    <w:p>
      <w:pPr>
        <w:ind w:left="346" w:hanging="346"/>
      </w:pPr>
      <w:r>
        <w:rPr>
          <w:b/>
        </w:rPr>
        <w:t xml:space="preserve">4.  </w:t>
      </w:r>
      <w:r>
        <w:t>Run ORM Destroy Plan, verify that only the hs-poc stack resources are targeted, obtain approval, then Apply Destroy. Confirm detached volumes, backups, DNS records, firewall rules and temporary IAM grants are removed or intentionally retained.</w:t>
      </w:r>
    </w:p>
    <w:p>
      <w:pPr>
        <w:pStyle w:val="Heading1"/>
        <w:keepNext/>
        <w:pageBreakBefore/>
      </w:pPr>
      <w:r>
        <w:t>10 Execution log and references</w:t>
      </w:r>
    </w:p>
    <w:p>
      <w:pPr>
        <w:pStyle w:val="Heading2"/>
        <w:keepNext/>
      </w:pPr>
      <w:r>
        <w:t>10 1 Execution log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91"/>
        <w:gridCol w:w="1821"/>
        <w:gridCol w:w="3081"/>
        <w:gridCol w:w="3431"/>
      </w:tblGrid>
      <w:tr>
        <w:trPr>
          <w:tblHeader w:val="true"/>
          <w:cantSplit/>
        </w:trPr>
        <w:tc>
          <w:tcPr>
            <w:tcW w:type="dxa" w:w="1891"/>
            <w:vAlign w:val="center"/>
            <w:shd w:fill="1F4E78"/>
          </w:tcPr>
          <w:p>
            <w:pPr>
              <w:spacing w:after="0"/>
            </w:pPr>
            <w:r/>
            <w:r>
              <w:rPr>
                <w:rFonts w:ascii="Aptos" w:hAnsi="Aptos"/>
                <w:b/>
                <w:color w:val="FFFFFF"/>
                <w:sz w:val="18"/>
              </w:rPr>
              <w:t>Date/time</w:t>
            </w:r>
          </w:p>
        </w:tc>
        <w:tc>
          <w:tcPr>
            <w:tcW w:type="dxa" w:w="1821"/>
            <w:vAlign w:val="center"/>
            <w:shd w:fill="1F4E78"/>
          </w:tcPr>
          <w:p>
            <w:pPr>
              <w:spacing w:after="0"/>
            </w:pPr>
            <w:r/>
            <w:r>
              <w:rPr>
                <w:rFonts w:ascii="Aptos" w:hAnsi="Aptos"/>
                <w:b/>
                <w:color w:val="FFFFFF"/>
                <w:sz w:val="18"/>
              </w:rPr>
              <w:t>Operator</w:t>
            </w:r>
          </w:p>
        </w:tc>
        <w:tc>
          <w:tcPr>
            <w:tcW w:type="dxa" w:w="3081"/>
            <w:vAlign w:val="center"/>
            <w:shd w:fill="1F4E78"/>
          </w:tcPr>
          <w:p>
            <w:pPr>
              <w:spacing w:after="0"/>
            </w:pPr>
            <w:r/>
            <w:r>
              <w:rPr>
                <w:rFonts w:ascii="Aptos" w:hAnsi="Aptos"/>
                <w:b/>
                <w:color w:val="FFFFFF"/>
                <w:sz w:val="18"/>
              </w:rPr>
              <w:t>Step / change</w:t>
            </w:r>
          </w:p>
        </w:tc>
        <w:tc>
          <w:tcPr>
            <w:tcW w:type="dxa" w:w="3431"/>
            <w:vAlign w:val="center"/>
            <w:shd w:fill="1F4E78"/>
          </w:tcPr>
          <w:p>
            <w:pPr>
              <w:spacing w:after="0"/>
            </w:pPr>
            <w:r/>
            <w:r>
              <w:rPr>
                <w:rFonts w:ascii="Aptos" w:hAnsi="Aptos"/>
                <w:b/>
                <w:color w:val="FFFFFF"/>
                <w:sz w:val="18"/>
              </w:rPr>
              <w:t>Result / evidence</w:t>
            </w:r>
          </w:p>
        </w:tc>
      </w:tr>
      <w:tr>
        <w:trPr>
          <w:cantSplit/>
        </w:trPr>
        <w:tc>
          <w:tcPr>
            <w:tcW w:type="dxa" w:w="1891"/>
            <w:vAlign w:val="center"/>
          </w:tcPr>
          <w:p>
            <w:pPr>
              <w:spacing w:after="0"/>
            </w:pPr>
            <w:r/>
            <w:r>
              <w:rPr>
                <w:rFonts w:ascii="Aptos" w:hAnsi="Aptos"/>
                <w:b w:val="0"/>
                <w:sz w:val="17"/>
              </w:rPr>
            </w:r>
          </w:p>
        </w:tc>
        <w:tc>
          <w:tcPr>
            <w:tcW w:type="dxa" w:w="1821"/>
            <w:vAlign w:val="center"/>
          </w:tcPr>
          <w:p>
            <w:pPr>
              <w:spacing w:after="0"/>
            </w:pPr>
            <w:r/>
            <w:r>
              <w:rPr>
                <w:rFonts w:ascii="Aptos" w:hAnsi="Aptos"/>
                <w:b w:val="0"/>
                <w:sz w:val="17"/>
              </w:rPr>
            </w:r>
          </w:p>
        </w:tc>
        <w:tc>
          <w:tcPr>
            <w:tcW w:type="dxa" w:w="3081"/>
            <w:vAlign w:val="center"/>
          </w:tcPr>
          <w:p>
            <w:pPr>
              <w:spacing w:after="0"/>
            </w:pPr>
            <w:r/>
            <w:r>
              <w:rPr>
                <w:rFonts w:ascii="Aptos" w:hAnsi="Aptos"/>
                <w:b w:val="0"/>
                <w:sz w:val="17"/>
              </w:rPr>
            </w:r>
          </w:p>
        </w:tc>
        <w:tc>
          <w:tcPr>
            <w:tcW w:type="dxa" w:w="3431"/>
            <w:vAlign w:val="center"/>
          </w:tcPr>
          <w:p>
            <w:pPr>
              <w:spacing w:after="0"/>
            </w:pPr>
            <w:r/>
            <w:r>
              <w:rPr>
                <w:rFonts w:ascii="Aptos" w:hAnsi="Aptos"/>
                <w:b w:val="0"/>
                <w:sz w:val="17"/>
              </w:rPr>
            </w:r>
          </w:p>
        </w:tc>
      </w:tr>
      <w:tr>
        <w:trPr>
          <w:cantSplit/>
        </w:trPr>
        <w:tc>
          <w:tcPr>
            <w:tcW w:type="dxa" w:w="1891"/>
            <w:vAlign w:val="center"/>
            <w:shd w:fill="F2F2F2"/>
          </w:tcPr>
          <w:p>
            <w:pPr>
              <w:spacing w:after="0"/>
            </w:pPr>
            <w:r/>
            <w:r>
              <w:rPr>
                <w:rFonts w:ascii="Aptos" w:hAnsi="Aptos"/>
                <w:b w:val="0"/>
                <w:sz w:val="17"/>
              </w:rPr>
            </w:r>
          </w:p>
        </w:tc>
        <w:tc>
          <w:tcPr>
            <w:tcW w:type="dxa" w:w="1821"/>
            <w:vAlign w:val="center"/>
            <w:shd w:fill="F2F2F2"/>
          </w:tcPr>
          <w:p>
            <w:pPr>
              <w:spacing w:after="0"/>
            </w:pPr>
            <w:r/>
            <w:r>
              <w:rPr>
                <w:rFonts w:ascii="Aptos" w:hAnsi="Aptos"/>
                <w:b w:val="0"/>
                <w:sz w:val="17"/>
              </w:rPr>
            </w:r>
          </w:p>
        </w:tc>
        <w:tc>
          <w:tcPr>
            <w:tcW w:type="dxa" w:w="3081"/>
            <w:vAlign w:val="center"/>
            <w:shd w:fill="F2F2F2"/>
          </w:tcPr>
          <w:p>
            <w:pPr>
              <w:spacing w:after="0"/>
            </w:pPr>
            <w:r/>
            <w:r>
              <w:rPr>
                <w:rFonts w:ascii="Aptos" w:hAnsi="Aptos"/>
                <w:b w:val="0"/>
                <w:sz w:val="17"/>
              </w:rPr>
            </w:r>
          </w:p>
        </w:tc>
        <w:tc>
          <w:tcPr>
            <w:tcW w:type="dxa" w:w="3431"/>
            <w:vAlign w:val="center"/>
            <w:shd w:fill="F2F2F2"/>
          </w:tcPr>
          <w:p>
            <w:pPr>
              <w:spacing w:after="0"/>
            </w:pPr>
            <w:r/>
            <w:r>
              <w:rPr>
                <w:rFonts w:ascii="Aptos" w:hAnsi="Aptos"/>
                <w:b w:val="0"/>
                <w:sz w:val="17"/>
              </w:rPr>
            </w:r>
          </w:p>
        </w:tc>
      </w:tr>
      <w:tr>
        <w:trPr>
          <w:cantSplit/>
        </w:trPr>
        <w:tc>
          <w:tcPr>
            <w:tcW w:type="dxa" w:w="1891"/>
            <w:vAlign w:val="center"/>
          </w:tcPr>
          <w:p>
            <w:pPr>
              <w:spacing w:after="0"/>
            </w:pPr>
            <w:r/>
            <w:r>
              <w:rPr>
                <w:rFonts w:ascii="Aptos" w:hAnsi="Aptos"/>
                <w:b w:val="0"/>
                <w:sz w:val="17"/>
              </w:rPr>
            </w:r>
          </w:p>
        </w:tc>
        <w:tc>
          <w:tcPr>
            <w:tcW w:type="dxa" w:w="1821"/>
            <w:vAlign w:val="center"/>
          </w:tcPr>
          <w:p>
            <w:pPr>
              <w:spacing w:after="0"/>
            </w:pPr>
            <w:r/>
            <w:r>
              <w:rPr>
                <w:rFonts w:ascii="Aptos" w:hAnsi="Aptos"/>
                <w:b w:val="0"/>
                <w:sz w:val="17"/>
              </w:rPr>
            </w:r>
          </w:p>
        </w:tc>
        <w:tc>
          <w:tcPr>
            <w:tcW w:type="dxa" w:w="3081"/>
            <w:vAlign w:val="center"/>
          </w:tcPr>
          <w:p>
            <w:pPr>
              <w:spacing w:after="0"/>
            </w:pPr>
            <w:r/>
            <w:r>
              <w:rPr>
                <w:rFonts w:ascii="Aptos" w:hAnsi="Aptos"/>
                <w:b w:val="0"/>
                <w:sz w:val="17"/>
              </w:rPr>
            </w:r>
          </w:p>
        </w:tc>
        <w:tc>
          <w:tcPr>
            <w:tcW w:type="dxa" w:w="3431"/>
            <w:vAlign w:val="center"/>
          </w:tcPr>
          <w:p>
            <w:pPr>
              <w:spacing w:after="0"/>
            </w:pPr>
            <w:r/>
            <w:r>
              <w:rPr>
                <w:rFonts w:ascii="Aptos" w:hAnsi="Aptos"/>
                <w:b w:val="0"/>
                <w:sz w:val="17"/>
              </w:rPr>
            </w:r>
          </w:p>
        </w:tc>
      </w:tr>
      <w:tr>
        <w:trPr>
          <w:cantSplit/>
        </w:trPr>
        <w:tc>
          <w:tcPr>
            <w:tcW w:type="dxa" w:w="1891"/>
            <w:vAlign w:val="center"/>
            <w:shd w:fill="F2F2F2"/>
          </w:tcPr>
          <w:p>
            <w:pPr>
              <w:spacing w:after="0"/>
            </w:pPr>
            <w:r/>
            <w:r>
              <w:rPr>
                <w:rFonts w:ascii="Aptos" w:hAnsi="Aptos"/>
                <w:b w:val="0"/>
                <w:sz w:val="17"/>
              </w:rPr>
            </w:r>
          </w:p>
        </w:tc>
        <w:tc>
          <w:tcPr>
            <w:tcW w:type="dxa" w:w="1821"/>
            <w:vAlign w:val="center"/>
            <w:shd w:fill="F2F2F2"/>
          </w:tcPr>
          <w:p>
            <w:pPr>
              <w:spacing w:after="0"/>
            </w:pPr>
            <w:r/>
            <w:r>
              <w:rPr>
                <w:rFonts w:ascii="Aptos" w:hAnsi="Aptos"/>
                <w:b w:val="0"/>
                <w:sz w:val="17"/>
              </w:rPr>
            </w:r>
          </w:p>
        </w:tc>
        <w:tc>
          <w:tcPr>
            <w:tcW w:type="dxa" w:w="3081"/>
            <w:vAlign w:val="center"/>
            <w:shd w:fill="F2F2F2"/>
          </w:tcPr>
          <w:p>
            <w:pPr>
              <w:spacing w:after="0"/>
            </w:pPr>
            <w:r/>
            <w:r>
              <w:rPr>
                <w:rFonts w:ascii="Aptos" w:hAnsi="Aptos"/>
                <w:b w:val="0"/>
                <w:sz w:val="17"/>
              </w:rPr>
            </w:r>
          </w:p>
        </w:tc>
        <w:tc>
          <w:tcPr>
            <w:tcW w:type="dxa" w:w="3431"/>
            <w:vAlign w:val="center"/>
            <w:shd w:fill="F2F2F2"/>
          </w:tcPr>
          <w:p>
            <w:pPr>
              <w:spacing w:after="0"/>
            </w:pPr>
            <w:r/>
            <w:r>
              <w:rPr>
                <w:rFonts w:ascii="Aptos" w:hAnsi="Aptos"/>
                <w:b w:val="0"/>
                <w:sz w:val="17"/>
              </w:rPr>
            </w:r>
          </w:p>
        </w:tc>
      </w:tr>
      <w:tr>
        <w:trPr>
          <w:cantSplit/>
        </w:trPr>
        <w:tc>
          <w:tcPr>
            <w:tcW w:type="dxa" w:w="1891"/>
            <w:vAlign w:val="center"/>
          </w:tcPr>
          <w:p>
            <w:pPr>
              <w:spacing w:after="0"/>
            </w:pPr>
            <w:r/>
            <w:r>
              <w:rPr>
                <w:rFonts w:ascii="Aptos" w:hAnsi="Aptos"/>
                <w:b w:val="0"/>
                <w:sz w:val="17"/>
              </w:rPr>
            </w:r>
          </w:p>
        </w:tc>
        <w:tc>
          <w:tcPr>
            <w:tcW w:type="dxa" w:w="1821"/>
            <w:vAlign w:val="center"/>
          </w:tcPr>
          <w:p>
            <w:pPr>
              <w:spacing w:after="0"/>
            </w:pPr>
            <w:r/>
            <w:r>
              <w:rPr>
                <w:rFonts w:ascii="Aptos" w:hAnsi="Aptos"/>
                <w:b w:val="0"/>
                <w:sz w:val="17"/>
              </w:rPr>
            </w:r>
          </w:p>
        </w:tc>
        <w:tc>
          <w:tcPr>
            <w:tcW w:type="dxa" w:w="3081"/>
            <w:vAlign w:val="center"/>
          </w:tcPr>
          <w:p>
            <w:pPr>
              <w:spacing w:after="0"/>
            </w:pPr>
            <w:r/>
            <w:r>
              <w:rPr>
                <w:rFonts w:ascii="Aptos" w:hAnsi="Aptos"/>
                <w:b w:val="0"/>
                <w:sz w:val="17"/>
              </w:rPr>
            </w:r>
          </w:p>
        </w:tc>
        <w:tc>
          <w:tcPr>
            <w:tcW w:type="dxa" w:w="3431"/>
            <w:vAlign w:val="center"/>
          </w:tcPr>
          <w:p>
            <w:pPr>
              <w:spacing w:after="0"/>
            </w:pPr>
            <w:r/>
            <w:r>
              <w:rPr>
                <w:rFonts w:ascii="Aptos" w:hAnsi="Aptos"/>
                <w:b w:val="0"/>
                <w:sz w:val="17"/>
              </w:rPr>
            </w:r>
          </w:p>
        </w:tc>
      </w:tr>
      <w:tr>
        <w:trPr>
          <w:cantSplit/>
        </w:trPr>
        <w:tc>
          <w:tcPr>
            <w:tcW w:type="dxa" w:w="1891"/>
            <w:vAlign w:val="center"/>
            <w:shd w:fill="F2F2F2"/>
          </w:tcPr>
          <w:p>
            <w:pPr>
              <w:spacing w:after="0"/>
            </w:pPr>
            <w:r/>
            <w:r>
              <w:rPr>
                <w:rFonts w:ascii="Aptos" w:hAnsi="Aptos"/>
                <w:b w:val="0"/>
                <w:sz w:val="17"/>
              </w:rPr>
            </w:r>
          </w:p>
        </w:tc>
        <w:tc>
          <w:tcPr>
            <w:tcW w:type="dxa" w:w="1821"/>
            <w:vAlign w:val="center"/>
            <w:shd w:fill="F2F2F2"/>
          </w:tcPr>
          <w:p>
            <w:pPr>
              <w:spacing w:after="0"/>
            </w:pPr>
            <w:r/>
            <w:r>
              <w:rPr>
                <w:rFonts w:ascii="Aptos" w:hAnsi="Aptos"/>
                <w:b w:val="0"/>
                <w:sz w:val="17"/>
              </w:rPr>
            </w:r>
          </w:p>
        </w:tc>
        <w:tc>
          <w:tcPr>
            <w:tcW w:type="dxa" w:w="3081"/>
            <w:vAlign w:val="center"/>
            <w:shd w:fill="F2F2F2"/>
          </w:tcPr>
          <w:p>
            <w:pPr>
              <w:spacing w:after="0"/>
            </w:pPr>
            <w:r/>
            <w:r>
              <w:rPr>
                <w:rFonts w:ascii="Aptos" w:hAnsi="Aptos"/>
                <w:b w:val="0"/>
                <w:sz w:val="17"/>
              </w:rPr>
            </w:r>
          </w:p>
        </w:tc>
        <w:tc>
          <w:tcPr>
            <w:tcW w:type="dxa" w:w="3431"/>
            <w:vAlign w:val="center"/>
            <w:shd w:fill="F2F2F2"/>
          </w:tcPr>
          <w:p>
            <w:pPr>
              <w:spacing w:after="0"/>
            </w:pPr>
            <w:r/>
            <w:r>
              <w:rPr>
                <w:rFonts w:ascii="Aptos" w:hAnsi="Aptos"/>
                <w:b w:val="0"/>
                <w:sz w:val="17"/>
              </w:rPr>
            </w:r>
          </w:p>
        </w:tc>
      </w:tr>
    </w:tbl>
    <w:p>
      <w:pPr>
        <w:spacing w:after="0"/>
      </w:pPr>
    </w:p>
    <w:p>
      <w:pPr>
        <w:pStyle w:val="Heading2"/>
        <w:keepNext/>
      </w:pPr>
      <w:r>
        <w:t>10 2 Final sign off</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71"/>
        <w:gridCol w:w="3151"/>
        <w:gridCol w:w="4202"/>
      </w:tblGrid>
      <w:tr>
        <w:trPr>
          <w:tblHeader w:val="true"/>
          <w:cantSplit/>
        </w:trPr>
        <w:tc>
          <w:tcPr>
            <w:tcW w:type="dxa" w:w="2871"/>
            <w:vAlign w:val="center"/>
            <w:shd w:fill="1F4E78"/>
          </w:tcPr>
          <w:p>
            <w:pPr>
              <w:spacing w:after="0"/>
            </w:pPr>
            <w:r/>
            <w:r>
              <w:rPr>
                <w:rFonts w:ascii="Aptos" w:hAnsi="Aptos"/>
                <w:b/>
                <w:color w:val="FFFFFF"/>
                <w:sz w:val="18"/>
              </w:rPr>
              <w:t>Role</w:t>
            </w:r>
          </w:p>
        </w:tc>
        <w:tc>
          <w:tcPr>
            <w:tcW w:type="dxa" w:w="3151"/>
            <w:vAlign w:val="center"/>
            <w:shd w:fill="1F4E78"/>
          </w:tcPr>
          <w:p>
            <w:pPr>
              <w:spacing w:after="0"/>
            </w:pPr>
            <w:r/>
            <w:r>
              <w:rPr>
                <w:rFonts w:ascii="Aptos" w:hAnsi="Aptos"/>
                <w:b/>
                <w:color w:val="FFFFFF"/>
                <w:sz w:val="18"/>
              </w:rPr>
              <w:t>Name</w:t>
            </w:r>
          </w:p>
        </w:tc>
        <w:tc>
          <w:tcPr>
            <w:tcW w:type="dxa" w:w="4202"/>
            <w:vAlign w:val="center"/>
            <w:shd w:fill="1F4E78"/>
          </w:tcPr>
          <w:p>
            <w:pPr>
              <w:spacing w:after="0"/>
            </w:pPr>
            <w:r/>
            <w:r>
              <w:rPr>
                <w:rFonts w:ascii="Aptos" w:hAnsi="Aptos"/>
                <w:b/>
                <w:color w:val="FFFFFF"/>
                <w:sz w:val="18"/>
              </w:rPr>
              <w:t>Decision / date</w:t>
            </w:r>
          </w:p>
        </w:tc>
      </w:tr>
      <w:tr>
        <w:trPr>
          <w:cantSplit/>
        </w:trPr>
        <w:tc>
          <w:tcPr>
            <w:tcW w:type="dxa" w:w="2871"/>
            <w:vAlign w:val="center"/>
          </w:tcPr>
          <w:p>
            <w:pPr>
              <w:spacing w:after="0"/>
            </w:pPr>
            <w:r/>
            <w:r>
              <w:rPr>
                <w:rFonts w:ascii="Aptos" w:hAnsi="Aptos"/>
                <w:b w:val="0"/>
                <w:sz w:val="17"/>
              </w:rPr>
              <w:t>OCI infrastructure lead</w:t>
            </w:r>
          </w:p>
        </w:tc>
        <w:tc>
          <w:tcPr>
            <w:tcW w:type="dxa" w:w="3151"/>
            <w:vAlign w:val="center"/>
          </w:tcPr>
          <w:p>
            <w:pPr>
              <w:spacing w:after="0"/>
            </w:pPr>
            <w:r/>
            <w:r>
              <w:rPr>
                <w:rFonts w:ascii="Aptos" w:hAnsi="Aptos"/>
                <w:b w:val="0"/>
                <w:sz w:val="17"/>
              </w:rPr>
            </w:r>
          </w:p>
        </w:tc>
        <w:tc>
          <w:tcPr>
            <w:tcW w:type="dxa" w:w="4202"/>
            <w:vAlign w:val="center"/>
          </w:tcPr>
          <w:p>
            <w:pPr>
              <w:spacing w:after="0"/>
            </w:pPr>
            <w:r/>
            <w:r>
              <w:rPr>
                <w:rFonts w:ascii="Aptos" w:hAnsi="Aptos"/>
                <w:b w:val="0"/>
                <w:sz w:val="17"/>
              </w:rPr>
            </w:r>
          </w:p>
        </w:tc>
      </w:tr>
      <w:tr>
        <w:trPr>
          <w:cantSplit/>
        </w:trPr>
        <w:tc>
          <w:tcPr>
            <w:tcW w:type="dxa" w:w="2871"/>
            <w:vAlign w:val="center"/>
            <w:shd w:fill="F2F2F2"/>
          </w:tcPr>
          <w:p>
            <w:pPr>
              <w:spacing w:after="0"/>
            </w:pPr>
            <w:r/>
            <w:r>
              <w:rPr>
                <w:rFonts w:ascii="Aptos" w:hAnsi="Aptos"/>
                <w:b w:val="0"/>
                <w:sz w:val="17"/>
              </w:rPr>
              <w:t>Network lead</w:t>
            </w:r>
          </w:p>
        </w:tc>
        <w:tc>
          <w:tcPr>
            <w:tcW w:type="dxa" w:w="3151"/>
            <w:vAlign w:val="center"/>
            <w:shd w:fill="F2F2F2"/>
          </w:tcPr>
          <w:p>
            <w:pPr>
              <w:spacing w:after="0"/>
            </w:pPr>
            <w:r/>
            <w:r>
              <w:rPr>
                <w:rFonts w:ascii="Aptos" w:hAnsi="Aptos"/>
                <w:b w:val="0"/>
                <w:sz w:val="17"/>
              </w:rPr>
            </w:r>
          </w:p>
        </w:tc>
        <w:tc>
          <w:tcPr>
            <w:tcW w:type="dxa" w:w="4202"/>
            <w:vAlign w:val="center"/>
            <w:shd w:fill="F2F2F2"/>
          </w:tcPr>
          <w:p>
            <w:pPr>
              <w:spacing w:after="0"/>
            </w:pPr>
            <w:r/>
            <w:r>
              <w:rPr>
                <w:rFonts w:ascii="Aptos" w:hAnsi="Aptos"/>
                <w:b w:val="0"/>
                <w:sz w:val="17"/>
              </w:rPr>
            </w:r>
          </w:p>
        </w:tc>
      </w:tr>
      <w:tr>
        <w:trPr>
          <w:cantSplit/>
        </w:trPr>
        <w:tc>
          <w:tcPr>
            <w:tcW w:type="dxa" w:w="2871"/>
            <w:vAlign w:val="center"/>
          </w:tcPr>
          <w:p>
            <w:pPr>
              <w:spacing w:after="0"/>
            </w:pPr>
            <w:r/>
            <w:r>
              <w:rPr>
                <w:rFonts w:ascii="Aptos" w:hAnsi="Aptos"/>
                <w:b w:val="0"/>
                <w:sz w:val="17"/>
              </w:rPr>
              <w:t>Security / ATO lead</w:t>
            </w:r>
          </w:p>
        </w:tc>
        <w:tc>
          <w:tcPr>
            <w:tcW w:type="dxa" w:w="3151"/>
            <w:vAlign w:val="center"/>
          </w:tcPr>
          <w:p>
            <w:pPr>
              <w:spacing w:after="0"/>
            </w:pPr>
            <w:r/>
            <w:r>
              <w:rPr>
                <w:rFonts w:ascii="Aptos" w:hAnsi="Aptos"/>
                <w:b w:val="0"/>
                <w:sz w:val="17"/>
              </w:rPr>
            </w:r>
          </w:p>
        </w:tc>
        <w:tc>
          <w:tcPr>
            <w:tcW w:type="dxa" w:w="4202"/>
            <w:vAlign w:val="center"/>
          </w:tcPr>
          <w:p>
            <w:pPr>
              <w:spacing w:after="0"/>
            </w:pPr>
            <w:r/>
            <w:r>
              <w:rPr>
                <w:rFonts w:ascii="Aptos" w:hAnsi="Aptos"/>
                <w:b w:val="0"/>
                <w:sz w:val="17"/>
              </w:rPr>
            </w:r>
          </w:p>
        </w:tc>
      </w:tr>
      <w:tr>
        <w:trPr>
          <w:cantSplit/>
        </w:trPr>
        <w:tc>
          <w:tcPr>
            <w:tcW w:type="dxa" w:w="2871"/>
            <w:vAlign w:val="center"/>
            <w:shd w:fill="F2F2F2"/>
          </w:tcPr>
          <w:p>
            <w:pPr>
              <w:spacing w:after="0"/>
            </w:pPr>
            <w:r/>
            <w:r>
              <w:rPr>
                <w:rFonts w:ascii="Aptos" w:hAnsi="Aptos"/>
                <w:b w:val="0"/>
                <w:sz w:val="17"/>
              </w:rPr>
              <w:t>Hyperscience technical lead</w:t>
            </w:r>
          </w:p>
        </w:tc>
        <w:tc>
          <w:tcPr>
            <w:tcW w:type="dxa" w:w="3151"/>
            <w:vAlign w:val="center"/>
            <w:shd w:fill="F2F2F2"/>
          </w:tcPr>
          <w:p>
            <w:pPr>
              <w:spacing w:after="0"/>
            </w:pPr>
            <w:r/>
            <w:r>
              <w:rPr>
                <w:rFonts w:ascii="Aptos" w:hAnsi="Aptos"/>
                <w:b w:val="0"/>
                <w:sz w:val="17"/>
              </w:rPr>
            </w:r>
          </w:p>
        </w:tc>
        <w:tc>
          <w:tcPr>
            <w:tcW w:type="dxa" w:w="4202"/>
            <w:vAlign w:val="center"/>
            <w:shd w:fill="F2F2F2"/>
          </w:tcPr>
          <w:p>
            <w:pPr>
              <w:spacing w:after="0"/>
            </w:pPr>
            <w:r/>
            <w:r>
              <w:rPr>
                <w:rFonts w:ascii="Aptos" w:hAnsi="Aptos"/>
                <w:b w:val="0"/>
                <w:sz w:val="17"/>
              </w:rPr>
            </w:r>
          </w:p>
        </w:tc>
      </w:tr>
      <w:tr>
        <w:trPr>
          <w:cantSplit/>
        </w:trPr>
        <w:tc>
          <w:tcPr>
            <w:tcW w:type="dxa" w:w="2871"/>
            <w:vAlign w:val="center"/>
          </w:tcPr>
          <w:p>
            <w:pPr>
              <w:spacing w:after="0"/>
            </w:pPr>
            <w:r/>
            <w:r>
              <w:rPr>
                <w:rFonts w:ascii="Aptos" w:hAnsi="Aptos"/>
                <w:b w:val="0"/>
                <w:sz w:val="17"/>
              </w:rPr>
              <w:t>Project owner</w:t>
            </w:r>
          </w:p>
        </w:tc>
        <w:tc>
          <w:tcPr>
            <w:tcW w:type="dxa" w:w="3151"/>
            <w:vAlign w:val="center"/>
          </w:tcPr>
          <w:p>
            <w:pPr>
              <w:spacing w:after="0"/>
            </w:pPr>
            <w:r/>
            <w:r>
              <w:rPr>
                <w:rFonts w:ascii="Aptos" w:hAnsi="Aptos"/>
                <w:b w:val="0"/>
                <w:sz w:val="17"/>
              </w:rPr>
            </w:r>
          </w:p>
        </w:tc>
        <w:tc>
          <w:tcPr>
            <w:tcW w:type="dxa" w:w="4202"/>
            <w:vAlign w:val="center"/>
          </w:tcPr>
          <w:p>
            <w:pPr>
              <w:spacing w:after="0"/>
            </w:pPr>
            <w:r/>
            <w:r>
              <w:rPr>
                <w:rFonts w:ascii="Aptos" w:hAnsi="Aptos"/>
                <w:b w:val="0"/>
                <w:sz w:val="17"/>
              </w:rPr>
            </w:r>
          </w:p>
        </w:tc>
      </w:tr>
    </w:tbl>
    <w:p>
      <w:pPr>
        <w:spacing w:after="0"/>
      </w:pPr>
    </w:p>
    <w:p>
      <w:pPr>
        <w:pStyle w:val="Heading2"/>
        <w:keepNext/>
      </w:pPr>
      <w:r>
        <w:t>10 3 Authoritative references</w:t>
      </w:r>
    </w:p>
    <w:p>
      <w:pPr>
        <w:spacing w:after="40"/>
      </w:pPr>
      <w:r>
        <w:t>[R1] Hyperscience — TVE (POC) Infrastructure Requirements: https://help.hyperscience.ai/deployment/docs/tve-poc-infrastructure-requirements</w:t>
      </w:r>
    </w:p>
    <w:p>
      <w:pPr>
        <w:spacing w:after="40"/>
      </w:pPr>
      <w:r>
        <w:t>[R2] Hyperscience — TVE (POC) Installation Instructions: https://help.hyperscience.ai/deployment/docs/tve-poc-installation-instructions</w:t>
      </w:r>
    </w:p>
    <w:p>
      <w:pPr>
        <w:spacing w:after="40"/>
      </w:pPr>
      <w:r>
        <w:t>[R3] Hyperscience — Infrastructure Requirements: https://help.hyperscience.ai/deployment/docs/infrastructure-requirements</w:t>
      </w:r>
    </w:p>
    <w:p>
      <w:pPr>
        <w:spacing w:after="40"/>
      </w:pPr>
      <w:r>
        <w:t>[R4] Hyperscience — Configuring Podman in RHEL 8: https://help.hyperscience.ai/deployment/docs/configuring-podman-in-rhel-8</w:t>
      </w:r>
    </w:p>
    <w:p>
      <w:pPr>
        <w:spacing w:after="40"/>
      </w:pPr>
      <w:r>
        <w:t>[R5] Hyperscience — Enabling Application Machines with GPUs in Podman: https://help.hyperscience.ai/deployment/docs/enabling-application-machines-with-gpus-in-on-premise-podman-deployments</w:t>
      </w:r>
    </w:p>
    <w:p>
      <w:pPr>
        <w:spacing w:after="40"/>
      </w:pPr>
      <w:r>
        <w:t>[R6] Hyperscience — Enabling Trainers with GPUs in Podman: https://help.hyperscience.ai/deployment/docs/enabling-trainers-with-gpus-in-on-premise-podman-deployments</w:t>
      </w:r>
    </w:p>
    <w:p>
      <w:pPr>
        <w:spacing w:after="40"/>
      </w:pPr>
      <w:r>
        <w:t>[R7] Hyperscience — Security: https://help.hyperscience.ai/deployment/docs/security</w:t>
      </w:r>
    </w:p>
    <w:p>
      <w:pPr>
        <w:spacing w:after="40"/>
      </w:pPr>
      <w:r>
        <w:t>[R8] Oracle — Compute Shapes: https://docs.oracle.com/en-us/iaas/Content/Compute/References/computeshapes.htm</w:t>
      </w:r>
    </w:p>
    <w:p>
      <w:pPr>
        <w:spacing w:after="40"/>
      </w:pPr>
      <w:r>
        <w:t>[R9] Project IaC — https://github.com/oci-appdev/dwhs/tree/main/terraform/oci-vm-foundation</w:t>
      </w:r>
    </w:p>
    <w:p>
      <w:r>
        <w:rPr>
          <w:b/>
        </w:rPr>
        <w:t xml:space="preserve">DOCUMENT CONTROL  </w:t>
      </w:r>
      <w:r>
        <w:t>Record every deviation in the execution log and obtain the responsible owner's approval before continuing. Vendor documentation and the approved change record take precedence over illustrative values in this runbook.</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Hyperscience POC — Nonproduction Only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HYPERSCIENCE OCI POC  |  INFRASTRUCTURE BUILD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after="60"/>
      <w:ind w:left="288"/>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Hyperscience OCI POC Infrastructure Build Runbook</dc:title>
  <dc:subject>Dedicated Hyperscience Dev/Test-equivalent infrastructure build on OCI VM.GPU.A10.2</dc:subject>
  <dc:creator>John Nguyen-Tran / OCI POC Team</dc:creator>
  <cp:keywords>OCI, Hyperscience, POC, A10.2, GPU, RHEL 8.10, Podman, Resource Manager</cp:keywords>
  <dc:description>generated by python-docx</dc:description>
  <cp:lastModifiedBy/>
  <cp:revision>1</cp:revision>
  <dcterms:created xsi:type="dcterms:W3CDTF">2013-12-23T23:15:00Z</dcterms:created>
  <dcterms:modified xsi:type="dcterms:W3CDTF">2013-12-23T23:15:00Z</dcterms:modified>
  <cp:category/>
</cp:coreProperties>
</file>