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DataWalk and Hyperscience OCI POC Runbook</w:t>
      </w:r>
    </w:p>
    <w:p>
      <w:r>
        <w:t>Operational procedures for the OCI platform team, Kubernetes engineer, application vendors, network team, and security reviewers.</w:t>
      </w:r>
    </w:p>
    <w:p>
      <w:r>
        <w:t>Use this runbook to build and operate two isolated nonproduction proof of concept environments, execute repeatable tests, and retain the evidence needed for the implementation decision. Complete the approval fields before provisioning. A successful POC does not authorize production processing or establish an Authority to Operate.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90" w:type="dxa"/>
              <w:bottom w:w="90" w:type="dxa"/>
              <w:left w:w="90" w:type="dxa"/>
              <w:right w:w="90" w:type="dxa"/>
            </w:tcMar>
            <w:shd w:fill="333333"/>
          </w:tcPr>
          <w:p>
            <w:pPr>
              <w:spacing w:after="0" w:line="240" w:lineRule="auto"/>
            </w:pPr>
            <w:r>
              <w:rPr>
                <w:b/>
                <w:color w:val="FFFFFF"/>
                <w:sz w:val="20"/>
              </w:rPr>
              <w:t>Document control</w:t>
            </w:r>
          </w:p>
        </w:tc>
        <w:tc>
          <w:tcPr>
            <w:tcW w:type="dxa" w:w="7560"/>
            <w:vAlign w:val="center"/>
            <w:tcMar>
              <w:top w:w="90" w:type="dxa"/>
              <w:bottom w:w="90" w:type="dxa"/>
              <w:left w:w="90" w:type="dxa"/>
              <w:right w:w="90" w:type="dxa"/>
            </w:tcMar>
            <w:shd w:fill="333333"/>
          </w:tcPr>
          <w:p>
            <w:pPr>
              <w:spacing w:after="0" w:line="240" w:lineRule="auto"/>
            </w:pPr>
            <w:r>
              <w:rPr>
                <w:b/>
                <w:color w:val="FFFFFF"/>
                <w:sz w:val="20"/>
              </w:rPr>
              <w:t>Value</w:t>
            </w:r>
          </w:p>
        </w:tc>
      </w:tr>
      <w:tr>
        <w:trPr>
          <w:cantSplit/>
        </w:trPr>
        <w:tc>
          <w:tcPr>
            <w:tcW w:type="dxa" w:w="2520"/>
            <w:vAlign w:val="center"/>
            <w:tcMar>
              <w:top w:w="90" w:type="dxa"/>
              <w:bottom w:w="90" w:type="dxa"/>
              <w:left w:w="90" w:type="dxa"/>
              <w:right w:w="90" w:type="dxa"/>
            </w:tcMar>
            <w:shd w:fill="FFFFFF"/>
          </w:tcPr>
          <w:p>
            <w:pPr>
              <w:spacing w:after="0" w:line="240" w:lineRule="auto"/>
            </w:pPr>
            <w:r>
              <w:rPr>
                <w:b w:val="0"/>
                <w:sz w:val="20"/>
              </w:rPr>
              <w:t>Version and date</w:t>
            </w:r>
          </w:p>
        </w:tc>
        <w:tc>
          <w:tcPr>
            <w:tcW w:type="dxa" w:w="7560"/>
            <w:vAlign w:val="center"/>
            <w:tcMar>
              <w:top w:w="90" w:type="dxa"/>
              <w:bottom w:w="90" w:type="dxa"/>
              <w:left w:w="90" w:type="dxa"/>
              <w:right w:w="90" w:type="dxa"/>
            </w:tcMar>
            <w:shd w:fill="FFFFFF"/>
          </w:tcPr>
          <w:p>
            <w:pPr>
              <w:spacing w:after="0" w:line="240" w:lineRule="auto"/>
            </w:pPr>
            <w:r>
              <w:rPr>
                <w:b w:val="0"/>
                <w:sz w:val="20"/>
              </w:rPr>
              <w:t>1.0  |  September 11 2026</w:t>
            </w:r>
          </w:p>
        </w:tc>
      </w:tr>
      <w:tr>
        <w:trPr>
          <w:cantSplit/>
        </w:trPr>
        <w:tc>
          <w:tcPr>
            <w:tcW w:type="dxa" w:w="2520"/>
            <w:vAlign w:val="center"/>
            <w:tcMar>
              <w:top w:w="90" w:type="dxa"/>
              <w:bottom w:w="90" w:type="dxa"/>
              <w:left w:w="90" w:type="dxa"/>
              <w:right w:w="90" w:type="dxa"/>
            </w:tcMar>
            <w:shd w:fill="F4F4F4"/>
          </w:tcPr>
          <w:p>
            <w:pPr>
              <w:spacing w:after="0" w:line="240" w:lineRule="auto"/>
            </w:pPr>
            <w:r>
              <w:rPr>
                <w:b w:val="0"/>
                <w:sz w:val="20"/>
              </w:rPr>
              <w:t>Companion plan</w:t>
            </w:r>
          </w:p>
        </w:tc>
        <w:tc>
          <w:tcPr>
            <w:tcW w:type="dxa" w:w="7560"/>
            <w:vAlign w:val="center"/>
            <w:tcMar>
              <w:top w:w="90" w:type="dxa"/>
              <w:bottom w:w="90" w:type="dxa"/>
              <w:left w:w="90" w:type="dxa"/>
              <w:right w:w="90" w:type="dxa"/>
            </w:tcMar>
            <w:shd w:fill="F4F4F4"/>
          </w:tcPr>
          <w:p>
            <w:pPr>
              <w:spacing w:after="0" w:line="240" w:lineRule="auto"/>
            </w:pPr>
            <w:r>
              <w:rPr>
                <w:b w:val="0"/>
                <w:sz w:val="20"/>
              </w:rPr>
              <w:t>OCI DataWalk Hyperscience POC Plan CAF WAF</w:t>
            </w:r>
          </w:p>
        </w:tc>
      </w:tr>
      <w:tr>
        <w:trPr>
          <w:cantSplit/>
        </w:trPr>
        <w:tc>
          <w:tcPr>
            <w:tcW w:type="dxa" w:w="2520"/>
            <w:vAlign w:val="center"/>
            <w:tcMar>
              <w:top w:w="90" w:type="dxa"/>
              <w:bottom w:w="90" w:type="dxa"/>
              <w:left w:w="90" w:type="dxa"/>
              <w:right w:w="90" w:type="dxa"/>
            </w:tcMar>
            <w:shd w:fill="FFFFFF"/>
          </w:tcPr>
          <w:p>
            <w:pPr>
              <w:spacing w:after="0" w:line="240" w:lineRule="auto"/>
            </w:pPr>
            <w:r>
              <w:rPr>
                <w:b w:val="0"/>
                <w:sz w:val="20"/>
              </w:rPr>
              <w:t>Execution boundary</w:t>
            </w:r>
          </w:p>
        </w:tc>
        <w:tc>
          <w:tcPr>
            <w:tcW w:type="dxa" w:w="7560"/>
            <w:vAlign w:val="center"/>
            <w:tcMar>
              <w:top w:w="90" w:type="dxa"/>
              <w:bottom w:w="90" w:type="dxa"/>
              <w:left w:w="90" w:type="dxa"/>
              <w:right w:w="90" w:type="dxa"/>
            </w:tcMar>
            <w:shd w:fill="FFFFFF"/>
          </w:tcPr>
          <w:p>
            <w:pPr>
              <w:spacing w:after="0" w:line="240" w:lineRule="auto"/>
            </w:pPr>
            <w:r>
              <w:rPr>
                <w:b w:val="0"/>
                <w:sz w:val="20"/>
              </w:rPr>
              <w:t>One DataWalk Dev equivalent cluster and one Hyperscience Dev equivalent cluster</w:t>
            </w:r>
          </w:p>
        </w:tc>
      </w:tr>
      <w:tr>
        <w:trPr>
          <w:cantSplit/>
        </w:trPr>
        <w:tc>
          <w:tcPr>
            <w:tcW w:type="dxa" w:w="2520"/>
            <w:vAlign w:val="center"/>
            <w:tcMar>
              <w:top w:w="90" w:type="dxa"/>
              <w:bottom w:w="90" w:type="dxa"/>
              <w:left w:w="90" w:type="dxa"/>
              <w:right w:w="90" w:type="dxa"/>
            </w:tcMar>
            <w:shd w:fill="F4F4F4"/>
          </w:tcPr>
          <w:p>
            <w:pPr>
              <w:spacing w:after="0" w:line="240" w:lineRule="auto"/>
            </w:pPr>
            <w:r>
              <w:rPr>
                <w:b w:val="0"/>
                <w:sz w:val="20"/>
              </w:rPr>
              <w:t>Target after approval</w:t>
            </w:r>
          </w:p>
        </w:tc>
        <w:tc>
          <w:tcPr>
            <w:tcW w:type="dxa" w:w="7560"/>
            <w:vAlign w:val="center"/>
            <w:tcMar>
              <w:top w:w="90" w:type="dxa"/>
              <w:bottom w:w="90" w:type="dxa"/>
              <w:left w:w="90" w:type="dxa"/>
              <w:right w:w="90" w:type="dxa"/>
            </w:tcMar>
            <w:shd w:fill="F4F4F4"/>
          </w:tcPr>
          <w:p>
            <w:pPr>
              <w:spacing w:after="0" w:line="240" w:lineRule="auto"/>
            </w:pPr>
            <w:r>
              <w:rPr>
                <w:b w:val="0"/>
                <w:sz w:val="20"/>
              </w:rPr>
              <w:t>Separate DW Dev, Test, Prod and HS Dev, Prod clusters</w:t>
            </w:r>
          </w:p>
        </w:tc>
      </w:tr>
      <w:tr>
        <w:trPr>
          <w:cantSplit/>
        </w:trPr>
        <w:tc>
          <w:tcPr>
            <w:tcW w:type="dxa" w:w="2520"/>
            <w:vAlign w:val="center"/>
            <w:tcMar>
              <w:top w:w="90" w:type="dxa"/>
              <w:bottom w:w="90" w:type="dxa"/>
              <w:left w:w="90" w:type="dxa"/>
              <w:right w:w="90" w:type="dxa"/>
            </w:tcMar>
            <w:shd w:fill="FFFFFF"/>
          </w:tcPr>
          <w:p>
            <w:pPr>
              <w:spacing w:after="0" w:line="240" w:lineRule="auto"/>
            </w:pPr>
            <w:r>
              <w:rPr>
                <w:b w:val="0"/>
                <w:sz w:val="20"/>
              </w:rPr>
              <w:t>Run owner and deputy</w:t>
            </w:r>
          </w:p>
        </w:tc>
        <w:tc>
          <w:tcPr>
            <w:tcW w:type="dxa" w:w="7560"/>
            <w:vAlign w:val="center"/>
            <w:tcMar>
              <w:top w:w="90" w:type="dxa"/>
              <w:bottom w:w="90" w:type="dxa"/>
              <w:left w:w="90" w:type="dxa"/>
              <w:right w:w="90" w:type="dxa"/>
            </w:tcMar>
            <w:shd w:fill="FFFFFF"/>
          </w:tcPr>
          <w:p>
            <w:pPr>
              <w:spacing w:after="0" w:line="240" w:lineRule="auto"/>
            </w:pPr>
            <w:r>
              <w:rPr>
                <w:b w:val="0"/>
                <w:sz w:val="20"/>
              </w:rPr>
              <w:t>To be assigned before execution</w:t>
            </w:r>
          </w:p>
        </w:tc>
      </w:tr>
      <w:tr>
        <w:trPr>
          <w:cantSplit/>
        </w:trPr>
        <w:tc>
          <w:tcPr>
            <w:tcW w:type="dxa" w:w="2520"/>
            <w:vAlign w:val="center"/>
            <w:tcMar>
              <w:top w:w="90" w:type="dxa"/>
              <w:bottom w:w="90" w:type="dxa"/>
              <w:left w:w="90" w:type="dxa"/>
              <w:right w:w="90" w:type="dxa"/>
            </w:tcMar>
            <w:shd w:fill="F4F4F4"/>
          </w:tcPr>
          <w:p>
            <w:pPr>
              <w:spacing w:after="0" w:line="240" w:lineRule="auto"/>
            </w:pPr>
            <w:r>
              <w:rPr>
                <w:b w:val="0"/>
                <w:sz w:val="20"/>
              </w:rPr>
              <w:t>Change and funding approvals</w:t>
            </w:r>
          </w:p>
        </w:tc>
        <w:tc>
          <w:tcPr>
            <w:tcW w:type="dxa" w:w="7560"/>
            <w:vAlign w:val="center"/>
            <w:tcMar>
              <w:top w:w="90" w:type="dxa"/>
              <w:bottom w:w="90" w:type="dxa"/>
              <w:left w:w="90" w:type="dxa"/>
              <w:right w:w="90" w:type="dxa"/>
            </w:tcMar>
            <w:shd w:fill="F4F4F4"/>
          </w:tcPr>
          <w:p>
            <w:pPr>
              <w:spacing w:after="0" w:line="240" w:lineRule="auto"/>
            </w:pPr>
            <w:r>
              <w:rPr>
                <w:b w:val="0"/>
                <w:sz w:val="20"/>
              </w:rPr>
              <w:t>Record ticket, approved spend ceiling, expiration date, and approvers</w:t>
            </w:r>
          </w:p>
        </w:tc>
      </w:tr>
      <w:tr>
        <w:trPr>
          <w:cantSplit/>
        </w:trPr>
        <w:tc>
          <w:tcPr>
            <w:tcW w:type="dxa" w:w="2520"/>
            <w:vAlign w:val="center"/>
            <w:tcMar>
              <w:top w:w="90" w:type="dxa"/>
              <w:bottom w:w="90" w:type="dxa"/>
              <w:left w:w="90" w:type="dxa"/>
              <w:right w:w="90" w:type="dxa"/>
            </w:tcMar>
            <w:shd w:fill="FFFFFF"/>
          </w:tcPr>
          <w:p>
            <w:pPr>
              <w:spacing w:after="0" w:line="240" w:lineRule="auto"/>
            </w:pPr>
            <w:r>
              <w:rPr>
                <w:b w:val="0"/>
                <w:sz w:val="20"/>
              </w:rPr>
              <w:t>Execution status</w:t>
            </w:r>
          </w:p>
        </w:tc>
        <w:tc>
          <w:tcPr>
            <w:tcW w:type="dxa" w:w="7560"/>
            <w:vAlign w:val="center"/>
            <w:tcMar>
              <w:top w:w="90" w:type="dxa"/>
              <w:bottom w:w="90" w:type="dxa"/>
              <w:left w:w="90" w:type="dxa"/>
              <w:right w:w="90" w:type="dxa"/>
            </w:tcMar>
            <w:shd w:fill="FFFFFF"/>
          </w:tcPr>
          <w:p>
            <w:pPr>
              <w:spacing w:after="0" w:line="240" w:lineRule="auto"/>
            </w:pPr>
            <w:r>
              <w:rPr>
                <w:b w:val="0"/>
                <w:sz w:val="20"/>
              </w:rPr>
              <w:t>Not executed by this document</w:t>
            </w:r>
          </w:p>
        </w:tc>
      </w:tr>
    </w:tbl>
    <w:p/>
    <w:p>
      <w:pPr>
        <w:pStyle w:val="Heading2"/>
      </w:pPr>
      <w:r>
        <w:t>How to use this runbook</w:t>
      </w:r>
    </w:p>
    <w:p>
      <w:r>
        <w:t>Perform procedures 1 through 6 in sequence. Procedure 7 governs testing; procedures 8 and 9 cover daily operations and incidents. Use procedure 10 for rollback and closure. Record UTC timestamps, operator, exact resource identifiers, results, and evidence locations for each procedure. Mark a step PASS, FAIL, BLOCKED, or NOT RUN; never substitute an expected result for observed evidence.</w:t>
      </w:r>
    </w:p>
    <w:p>
      <w:r>
        <w:t>Commands are operator templates, not a deployment package. Replace all UPPERCASE placeholders before use. OCI provisioning uses the authorized Console workflow or approved infrastructure code. If OCI automation is added, use the official OCI Python SDK. Kubernetes commands use kubectl with an explicit context. Vendor installation commands must come from the signed release specific installation procedure.</w:t>
      </w:r>
    </w:p>
    <w:p>
      <w:pPr>
        <w:pStyle w:val="Heading2"/>
      </w:pPr>
      <w:r>
        <w:t>Navigation</w:t>
      </w:r>
    </w:p>
    <w:p>
      <w:r>
        <w:t>1 Readiness • 2 Connectivity • 3 Cluster build • 4 Platform validation • 5 Vendor installation • 6 Integration • 7 Tests • 8 Daily operations • 9 Troubleshooting • 10 Recovery and closure • Appendix References</w:t>
      </w:r>
    </w:p>
    <w:p>
      <w:pPr>
        <w:pStyle w:val="Heading1"/>
        <w:pageBreakBefore/>
      </w:pPr>
      <w:r>
        <w:t>1 Approve readiness and record inputs</w:t>
      </w:r>
    </w:p>
    <w:p>
      <w:r>
        <w:t>Owner: POC lead with platform, vendor, security, and network representatives. Entry: leadership permits prerequisite planning. Exit: signed readiness checklist and a funded build window.</w:t>
      </w:r>
    </w:p>
    <w:p>
      <w:r>
        <w:t>1. Confirm that this execution is limited to the two POC clusters. Do not provision the full five environment target unless a separate change authorizes it.</w:t>
      </w:r>
    </w:p>
    <w:p>
      <w:r>
        <w:t>2. Obtain written support for the chosen application releases, Kubernetes minor, worker image and OS, container runtime, database, storage interfaces, and deployment artifacts. Managed OKE remains conditional on vendor approval. A RHEL requirement is not approval of an Oracle Linux worker image.</w:t>
      </w:r>
    </w:p>
    <w:p>
      <w:r>
        <w:t>3. Obtain DataWalk CPU, RAM, worker count, block volume size, throughput, IOPS, and Decoupled Storage requirements. Reconcile the meeting values of 96 versus 128 GB and vCPU versus OCPU before ordering. Do not treat the old VM count as a Kubernetes node count.</w:t>
      </w:r>
    </w:p>
    <w:p>
      <w:r>
        <w:t>4. Confirm Hyperscience platform and trainer sizing, GPU use case, driver and CUDA compatibility, and A10 capacity in the selected Government region and availability domain. Record CPU and GPU node pools separately.</w:t>
      </w:r>
    </w:p>
    <w:p>
      <w:r>
        <w:t>5. Freeze representative test data, ground truth, on premises baseline, concurrency, runtime, quality thresholds, recovery targets, and budget. Obtain security permission to use the data and perform failure tests.</w:t>
      </w:r>
    </w:p>
    <w:p>
      <w:r>
        <w:t>6. Assign named primary and backup operators. Book vendor sessions and the Kubernetes SME. Approve evidence retention, support bundle redaction, incident contacts, and the cleanup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90" w:type="dxa"/>
              <w:bottom w:w="90" w:type="dxa"/>
              <w:left w:w="90" w:type="dxa"/>
              <w:right w:w="90" w:type="dxa"/>
            </w:tcMar>
            <w:shd w:fill="333333"/>
          </w:tcPr>
          <w:p>
            <w:pPr>
              <w:spacing w:after="0" w:line="240" w:lineRule="auto"/>
            </w:pPr>
            <w:r>
              <w:rPr>
                <w:b/>
                <w:color w:val="FFFFFF"/>
                <w:sz w:val="20"/>
              </w:rPr>
              <w:t>Required input</w:t>
            </w:r>
          </w:p>
        </w:tc>
        <w:tc>
          <w:tcPr>
            <w:tcW w:type="dxa" w:w="7776"/>
            <w:vAlign w:val="center"/>
            <w:tcMar>
              <w:top w:w="90" w:type="dxa"/>
              <w:bottom w:w="90" w:type="dxa"/>
              <w:left w:w="90" w:type="dxa"/>
              <w:right w:w="90" w:type="dxa"/>
            </w:tcMar>
            <w:shd w:fill="333333"/>
          </w:tcPr>
          <w:p>
            <w:pPr>
              <w:spacing w:after="0" w:line="240" w:lineRule="auto"/>
            </w:pPr>
            <w:r>
              <w:rPr>
                <w:b/>
                <w:color w:val="FFFFFF"/>
                <w:sz w:val="20"/>
              </w:rPr>
              <w:t>Record before build</w:t>
            </w:r>
          </w:p>
        </w:tc>
      </w:tr>
      <w:tr>
        <w:trPr>
          <w:cantSplit/>
        </w:trPr>
        <w:tc>
          <w:tcPr>
            <w:tcW w:type="dxa" w:w="2304"/>
            <w:vAlign w:val="center"/>
            <w:tcMar>
              <w:top w:w="90" w:type="dxa"/>
              <w:bottom w:w="90" w:type="dxa"/>
              <w:left w:w="90" w:type="dxa"/>
              <w:right w:w="90" w:type="dxa"/>
            </w:tcMar>
            <w:shd w:fill="FFFFFF"/>
          </w:tcPr>
          <w:p>
            <w:pPr>
              <w:spacing w:after="0" w:line="240" w:lineRule="auto"/>
            </w:pPr>
            <w:r>
              <w:rPr>
                <w:b w:val="0"/>
                <w:sz w:val="20"/>
              </w:rPr>
              <w:t>OCI placement</w:t>
            </w:r>
          </w:p>
        </w:tc>
        <w:tc>
          <w:tcPr>
            <w:tcW w:type="dxa" w:w="7776"/>
            <w:vAlign w:val="center"/>
            <w:tcMar>
              <w:top w:w="90" w:type="dxa"/>
              <w:bottom w:w="90" w:type="dxa"/>
              <w:left w:w="90" w:type="dxa"/>
              <w:right w:w="90" w:type="dxa"/>
            </w:tcMar>
            <w:shd w:fill="FFFFFF"/>
          </w:tcPr>
          <w:p>
            <w:pPr>
              <w:spacing w:after="0" w:line="240" w:lineRule="auto"/>
            </w:pPr>
            <w:r>
              <w:rPr>
                <w:b w:val="0"/>
                <w:sz w:val="20"/>
              </w:rPr>
              <w:t>Tenancy, region, compartment OCIDs, VCN and subnet OCIDs, NSGs, routing owner</w:t>
            </w:r>
          </w:p>
        </w:tc>
      </w:tr>
      <w:tr>
        <w:trPr>
          <w:cantSplit/>
        </w:trPr>
        <w:tc>
          <w:tcPr>
            <w:tcW w:type="dxa" w:w="2304"/>
            <w:vAlign w:val="center"/>
            <w:tcMar>
              <w:top w:w="90" w:type="dxa"/>
              <w:bottom w:w="90" w:type="dxa"/>
              <w:left w:w="90" w:type="dxa"/>
              <w:right w:w="90" w:type="dxa"/>
            </w:tcMar>
            <w:shd w:fill="F4F4F4"/>
          </w:tcPr>
          <w:p>
            <w:pPr>
              <w:spacing w:after="0" w:line="240" w:lineRule="auto"/>
            </w:pPr>
            <w:r>
              <w:rPr>
                <w:b w:val="0"/>
                <w:sz w:val="20"/>
              </w:rPr>
              <w:t>Cluster identity</w:t>
            </w:r>
          </w:p>
        </w:tc>
        <w:tc>
          <w:tcPr>
            <w:tcW w:type="dxa" w:w="7776"/>
            <w:vAlign w:val="center"/>
            <w:tcMar>
              <w:top w:w="90" w:type="dxa"/>
              <w:bottom w:w="90" w:type="dxa"/>
              <w:left w:w="90" w:type="dxa"/>
              <w:right w:w="90" w:type="dxa"/>
            </w:tcMar>
            <w:shd w:fill="F4F4F4"/>
          </w:tcPr>
          <w:p>
            <w:pPr>
              <w:spacing w:after="0" w:line="240" w:lineRule="auto"/>
            </w:pPr>
            <w:r>
              <w:rPr>
                <w:b w:val="0"/>
                <w:sz w:val="20"/>
              </w:rPr>
              <w:t>DW and HS names and OCIDs, local context names, namespaces, private API endpoints</w:t>
            </w:r>
          </w:p>
        </w:tc>
      </w:tr>
      <w:tr>
        <w:trPr>
          <w:cantSplit/>
        </w:trPr>
        <w:tc>
          <w:tcPr>
            <w:tcW w:type="dxa" w:w="2304"/>
            <w:vAlign w:val="center"/>
            <w:tcMar>
              <w:top w:w="90" w:type="dxa"/>
              <w:bottom w:w="90" w:type="dxa"/>
              <w:left w:w="90" w:type="dxa"/>
              <w:right w:w="90" w:type="dxa"/>
            </w:tcMar>
            <w:shd w:fill="FFFFFF"/>
          </w:tcPr>
          <w:p>
            <w:pPr>
              <w:spacing w:after="0" w:line="240" w:lineRule="auto"/>
            </w:pPr>
            <w:r>
              <w:rPr>
                <w:b w:val="0"/>
                <w:sz w:val="20"/>
              </w:rPr>
              <w:t>Application endpoints</w:t>
            </w:r>
          </w:p>
        </w:tc>
        <w:tc>
          <w:tcPr>
            <w:tcW w:type="dxa" w:w="7776"/>
            <w:vAlign w:val="center"/>
            <w:tcMar>
              <w:top w:w="90" w:type="dxa"/>
              <w:bottom w:w="90" w:type="dxa"/>
              <w:left w:w="90" w:type="dxa"/>
              <w:right w:w="90" w:type="dxa"/>
            </w:tcMar>
            <w:shd w:fill="FFFFFF"/>
          </w:tcPr>
          <w:p>
            <w:pPr>
              <w:spacing w:after="0" w:line="240" w:lineRule="auto"/>
            </w:pPr>
            <w:r>
              <w:rPr>
                <w:b w:val="0"/>
                <w:sz w:val="20"/>
              </w:rPr>
              <w:t>DW and HS FQDNs, certificate issuer, DNS owner, ingress design</w:t>
            </w:r>
          </w:p>
        </w:tc>
      </w:tr>
      <w:tr>
        <w:trPr>
          <w:cantSplit/>
        </w:trPr>
        <w:tc>
          <w:tcPr>
            <w:tcW w:type="dxa" w:w="2304"/>
            <w:vAlign w:val="center"/>
            <w:tcMar>
              <w:top w:w="90" w:type="dxa"/>
              <w:bottom w:w="90" w:type="dxa"/>
              <w:left w:w="90" w:type="dxa"/>
              <w:right w:w="90" w:type="dxa"/>
            </w:tcMar>
            <w:shd w:fill="F4F4F4"/>
          </w:tcPr>
          <w:p>
            <w:pPr>
              <w:spacing w:after="0" w:line="240" w:lineRule="auto"/>
            </w:pPr>
            <w:r>
              <w:rPr>
                <w:b w:val="0"/>
                <w:sz w:val="20"/>
              </w:rPr>
              <w:t>State and secrets</w:t>
            </w:r>
          </w:p>
        </w:tc>
        <w:tc>
          <w:tcPr>
            <w:tcW w:type="dxa" w:w="7776"/>
            <w:vAlign w:val="center"/>
            <w:tcMar>
              <w:top w:w="90" w:type="dxa"/>
              <w:bottom w:w="90" w:type="dxa"/>
              <w:left w:w="90" w:type="dxa"/>
              <w:right w:w="90" w:type="dxa"/>
            </w:tcMar>
            <w:shd w:fill="F4F4F4"/>
          </w:tcPr>
          <w:p>
            <w:pPr>
              <w:spacing w:after="0" w:line="240" w:lineRule="auto"/>
            </w:pPr>
            <w:r>
              <w:rPr>
                <w:b w:val="0"/>
                <w:sz w:val="20"/>
              </w:rPr>
              <w:t>Database endpoints, volume and bucket IDs, secret references, backup destinations</w:t>
            </w:r>
          </w:p>
        </w:tc>
      </w:tr>
      <w:tr>
        <w:trPr>
          <w:cantSplit/>
        </w:trPr>
        <w:tc>
          <w:tcPr>
            <w:tcW w:type="dxa" w:w="2304"/>
            <w:vAlign w:val="center"/>
            <w:tcMar>
              <w:top w:w="90" w:type="dxa"/>
              <w:bottom w:w="90" w:type="dxa"/>
              <w:left w:w="90" w:type="dxa"/>
              <w:right w:w="90" w:type="dxa"/>
            </w:tcMar>
            <w:shd w:fill="FFFFFF"/>
          </w:tcPr>
          <w:p>
            <w:pPr>
              <w:spacing w:after="0" w:line="240" w:lineRule="auto"/>
            </w:pPr>
            <w:r>
              <w:rPr>
                <w:b w:val="0"/>
                <w:sz w:val="20"/>
              </w:rPr>
              <w:t>Capacity and finance</w:t>
            </w:r>
          </w:p>
        </w:tc>
        <w:tc>
          <w:tcPr>
            <w:tcW w:type="dxa" w:w="7776"/>
            <w:vAlign w:val="center"/>
            <w:tcMar>
              <w:top w:w="90" w:type="dxa"/>
              <w:bottom w:w="90" w:type="dxa"/>
              <w:left w:w="90" w:type="dxa"/>
              <w:right w:w="90" w:type="dxa"/>
            </w:tcMar>
            <w:shd w:fill="FFFFFF"/>
          </w:tcPr>
          <w:p>
            <w:pPr>
              <w:spacing w:after="0" w:line="240" w:lineRule="auto"/>
            </w:pPr>
            <w:r>
              <w:rPr>
                <w:b w:val="0"/>
                <w:sz w:val="20"/>
              </w:rPr>
              <w:t>Approved node shapes and counts, quota/capacity evidence, POC spending cap</w:t>
            </w:r>
          </w:p>
        </w:tc>
      </w:tr>
      <w:tr>
        <w:trPr>
          <w:cantSplit/>
        </w:trPr>
        <w:tc>
          <w:tcPr>
            <w:tcW w:type="dxa" w:w="2304"/>
            <w:vAlign w:val="center"/>
            <w:tcMar>
              <w:top w:w="90" w:type="dxa"/>
              <w:bottom w:w="90" w:type="dxa"/>
              <w:left w:w="90" w:type="dxa"/>
              <w:right w:w="90" w:type="dxa"/>
            </w:tcMar>
            <w:shd w:fill="F4F4F4"/>
          </w:tcPr>
          <w:p>
            <w:pPr>
              <w:spacing w:after="0" w:line="240" w:lineRule="auto"/>
            </w:pPr>
            <w:r>
              <w:rPr>
                <w:b w:val="0"/>
                <w:sz w:val="20"/>
              </w:rPr>
              <w:t>Test record</w:t>
            </w:r>
          </w:p>
        </w:tc>
        <w:tc>
          <w:tcPr>
            <w:tcW w:type="dxa" w:w="7776"/>
            <w:vAlign w:val="center"/>
            <w:tcMar>
              <w:top w:w="90" w:type="dxa"/>
              <w:bottom w:w="90" w:type="dxa"/>
              <w:left w:w="90" w:type="dxa"/>
              <w:right w:w="90" w:type="dxa"/>
            </w:tcMar>
            <w:shd w:fill="F4F4F4"/>
          </w:tcPr>
          <w:p>
            <w:pPr>
              <w:spacing w:after="0" w:line="240" w:lineRule="auto"/>
            </w:pPr>
            <w:r>
              <w:rPr>
                <w:b w:val="0"/>
                <w:sz w:val="20"/>
              </w:rPr>
              <w:t>Dataset IDs, hashes, baseline results, acceptance thresholds, approvers</w:t>
            </w:r>
          </w:p>
        </w:tc>
      </w:tr>
    </w:tbl>
    <w:p/>
    <w:p>
      <w:r>
        <w:t>Stop if any support, data handling, identity, capacity, or funding gate remains unresolved. Public documentation and this runbook do not replace vendor or government approvals.</w:t>
      </w:r>
    </w:p>
    <w:p>
      <w:pPr>
        <w:pStyle w:val="Heading1"/>
        <w:pageBreakBefore/>
      </w:pPr>
      <w:r>
        <w:t>2 Establish private administrative connectivity</w:t>
      </w:r>
    </w:p>
    <w:p>
      <w:r>
        <w:t>Owner: network and IAM teams; Kubernetes engineer validates access. Entry: approved network diagram and port matrix. Normal path: enterprise workstation to approved Windows jump host, then private routing through FastConnect and DRG to OCI. OCI Bastion is optional and requires a separate access decision.</w:t>
      </w:r>
    </w:p>
    <w:p>
      <w:r>
        <w:t>1. Sign in to the approved jump host using the existing enterprise MFA or YubiKey workflow. Use the operator account approved for this POC. Do not create a second identity solely for convenience.</w:t>
      </w:r>
    </w:p>
    <w:p>
      <w:r>
        <w:t>2. Validate the jump host source subnet, on premises routes, DRG attachment/import routing, workload subnet return routes, firewall rules, and NSGs. Use the actual private API address and port from the cluster access record.</w:t>
      </w:r>
    </w:p>
    <w:p>
      <w:r>
        <w:t>3. Check private DNS resolution for the API, both application FQDNs, database, and approved storage endpoints. Verify HTTPS trust using the enterprise certificate chain; do not disable certificate verification.</w:t>
      </w:r>
    </w:p>
    <w:p>
      <w:r>
        <w:t>4. Have the authorized OCI administrator prepare each operator's own kubeconfig through the supported OKE access workflow. Confirm the configured OCI authentication method works from the jump host, including any required IAM/token endpoints. Private network reachability alone does not grant Kubernetes access. [R3]</w:t>
      </w:r>
    </w:p>
    <w:p>
      <w:r>
        <w:t>5. Install approved compatible kubectl and the OCI authentication dependency used by kubeconfig. Use the approved PowerShell or Linux administration host. Do not share kubeconfig or export credentials into tickets.</w:t>
      </w:r>
    </w:p>
    <w:p>
      <w:r>
        <w:t>6. Record the exact two context names and test least privilege. Platform admins may require broader permissions than application installers; record each role separately.</w:t>
      </w:r>
    </w:p>
    <w:p>
      <w:pPr>
        <w:pStyle w:val="Heading2"/>
      </w:pPr>
      <w:r>
        <w:t>Read only checks</w:t>
      </w:r>
    </w:p>
    <w:p>
      <w:r>
        <w:t>PowerShell examples from the Windows jump host. Use the recorded port; Kubernetes APIs commonly use 6443.</w:t>
      </w:r>
    </w:p>
    <w:p>
      <w:pPr>
        <w:spacing w:after="40"/>
      </w:pPr>
      <w:r>
        <w:rPr>
          <w:rFonts w:ascii="Liberation Mono" w:hAnsi="Liberation Mono"/>
          <w:sz w:val="18"/>
        </w:rPr>
        <w:t>Resolve-DnsName API_PRIVATE_FQDN</w:t>
      </w:r>
    </w:p>
    <w:p>
      <w:pPr>
        <w:spacing w:after="40"/>
      </w:pPr>
      <w:r>
        <w:rPr>
          <w:rFonts w:ascii="Liberation Mono" w:hAnsi="Liberation Mono"/>
          <w:sz w:val="18"/>
        </w:rPr>
        <w:t>Test-NetConnection API_PRIVATE_FQDN -Port API_PORT</w:t>
      </w:r>
    </w:p>
    <w:p>
      <w:pPr>
        <w:spacing w:after="40"/>
      </w:pPr>
      <w:r>
        <w:rPr>
          <w:rFonts w:ascii="Liberation Mono" w:hAnsi="Liberation Mono"/>
          <w:sz w:val="18"/>
        </w:rPr>
        <w:t>Test-NetConnection DW_PRIVATE_FQDN -Port 443</w:t>
      </w:r>
    </w:p>
    <w:p>
      <w:r>
        <w:t>Run for each approved cluster context. A node listing may legitimately be denied to a restricted installer.</w:t>
      </w:r>
    </w:p>
    <w:p>
      <w:pPr>
        <w:spacing w:after="40"/>
      </w:pPr>
      <w:r>
        <w:rPr>
          <w:rFonts w:ascii="Liberation Mono" w:hAnsi="Liberation Mono"/>
          <w:sz w:val="18"/>
        </w:rPr>
        <w:t>kubectl config get-contexts</w:t>
      </w:r>
    </w:p>
    <w:p>
      <w:pPr>
        <w:spacing w:after="40"/>
      </w:pPr>
      <w:r>
        <w:rPr>
          <w:rFonts w:ascii="Liberation Mono" w:hAnsi="Liberation Mono"/>
          <w:sz w:val="18"/>
        </w:rPr>
        <w:t>kubectl --context=DW_POC_CONTEXT cluster-info</w:t>
      </w:r>
    </w:p>
    <w:p>
      <w:pPr>
        <w:spacing w:after="40"/>
      </w:pPr>
      <w:r>
        <w:rPr>
          <w:rFonts w:ascii="Liberation Mono" w:hAnsi="Liberation Mono"/>
          <w:sz w:val="18"/>
        </w:rPr>
        <w:t>kubectl --context=DW_POC_CONTEXT auth can-i get pods -n DW_NAMESPACE</w:t>
      </w:r>
    </w:p>
    <w:p>
      <w:pPr>
        <w:spacing w:after="40"/>
      </w:pPr>
      <w:r>
        <w:rPr>
          <w:rFonts w:ascii="Liberation Mono" w:hAnsi="Liberation Mono"/>
          <w:sz w:val="18"/>
        </w:rPr>
        <w:t>kubectl --context=HS_POC_CONTEXT auth can-i get pods -n HS_NAMESPACE</w:t>
      </w:r>
    </w:p>
    <w:p>
      <w:r>
        <w:t>Evidence: DNS answers, TCP test results, redacted context mapping, and permission results. Stop on a wrong endpoint, unexpected tenancy, TLS failure, or permission denial. Ask the network/IAM owner to correct access; do not add public IPs or broaden root policies to bypass the issue.</w:t>
      </w:r>
    </w:p>
    <w:p>
      <w:pPr>
        <w:pStyle w:val="Heading1"/>
        <w:pageBreakBefore/>
      </w:pPr>
      <w:r>
        <w:t>3 Build the two OKE clusters</w:t>
      </w:r>
    </w:p>
    <w:p>
      <w:r>
        <w:t>Owner: OCI platform team and Kubernetes SME. Entry: procedure 1 approved and the required landing zone network paths ready. Perform the following separately for DataWalk and Hyperscience; capture a build record for each.</w:t>
      </w:r>
    </w:p>
    <w:p>
      <w:r>
        <w:t>1. In the authorized OCI Console, verify region and POC compartment. Open Kubernetes Engine and select Custom Create so the build can use the reviewed existing network resources. Avoid accepting newly generated public subnet defaults. [R4]</w:t>
      </w:r>
    </w:p>
    <w:p>
      <w:r>
        <w:t>2. Set the approved cluster name, Kubernetes version, cluster type, encryption choices, and pod networking mode. Select the POC VCN and private API subnet/NSGs. Record pod/service CIDRs or pod subnets as applicable and verify no overlap with enterprise routes.</w:t>
      </w:r>
    </w:p>
    <w:p>
      <w:r>
        <w:t>3. Select approved private worker and load balancer subnets. Validate required cluster networking rules for the chosen networking mode. Apply the approved network policy implementation before application deployment and test enforcement later.</w:t>
      </w:r>
    </w:p>
    <w:p>
      <w:r>
        <w:t>4. Create DataWalk CPU worker pools according to vendor sizing. A separate system pool is a design choice requiring sizing, not a fixed vendor minimum. Record node image, architecture, OCPU/vCPU mapping, RAM, placement, labels, taints, and volume settings.</w:t>
      </w:r>
    </w:p>
    <w:p>
      <w:r>
        <w:t>5. Create Hyperscience CPU platform and GPU trainer pools using the supported image and shape combination. Use VM.GPU.A10.2 only where capacity and vendor support are confirmed. The planning baseline is at least two CPU platform nodes and one GPU worker, subject to release specific approval. [R5, R6]</w:t>
      </w:r>
    </w:p>
    <w:p>
      <w:r>
        <w:t>6. Apply agreed scheduling labels to the correct pools. Hyperscience documents hs-component=platform and hs-component=trainer; confirm the chart uses the same values. Add taints only with matching tolerations approved in the application configuration. [R6]</w:t>
      </w:r>
    </w:p>
    <w:p>
      <w:r>
        <w:t>7. Apply owner, application, environment, cost center, and expiration tags. Save the configuration in the approved repository or change record without secrets. If Console provisioning was used, reconcile the created resources with infrastructure code before declaring the build repeatable.</w:t>
      </w:r>
    </w:p>
    <w:p>
      <w:r>
        <w:t>8. Wait for cluster and worker readiness. Record OCIDs and work request IDs. Generate the two operator contexts and repeat procedure 2 against the actual private endpoints.</w:t>
      </w:r>
    </w:p>
    <w:p>
      <w:pPr>
        <w:pStyle w:val="Heading2"/>
      </w:pPr>
      <w:r>
        <w:t>Build acceptance</w:t>
      </w:r>
    </w:p>
    <w:p>
      <w:pPr>
        <w:spacing w:after="40"/>
      </w:pPr>
      <w:r>
        <w:rPr>
          <w:rFonts w:ascii="Liberation Mono" w:hAnsi="Liberation Mono"/>
          <w:sz w:val="18"/>
        </w:rPr>
        <w:t>kubectl --context=DW_POC_CONTEXT get nodes -o wide</w:t>
      </w:r>
    </w:p>
    <w:p>
      <w:pPr>
        <w:spacing w:after="40"/>
      </w:pPr>
      <w:r>
        <w:rPr>
          <w:rFonts w:ascii="Liberation Mono" w:hAnsi="Liberation Mono"/>
          <w:sz w:val="18"/>
        </w:rPr>
        <w:t>kubectl --context=HS_POC_CONTEXT get nodes -o wide</w:t>
      </w:r>
    </w:p>
    <w:p>
      <w:pPr>
        <w:spacing w:after="40"/>
      </w:pPr>
      <w:r>
        <w:rPr>
          <w:rFonts w:ascii="Liberation Mono" w:hAnsi="Liberation Mono"/>
          <w:sz w:val="18"/>
        </w:rPr>
        <w:t>kubectl --context=HS_POC_CONTEXT get nodes --show-labels</w:t>
      </w:r>
    </w:p>
    <w:p>
      <w:pPr>
        <w:spacing w:after="40"/>
      </w:pPr>
      <w:r>
        <w:rPr>
          <w:rFonts w:ascii="Liberation Mono" w:hAnsi="Liberation Mono"/>
          <w:sz w:val="18"/>
        </w:rPr>
        <w:t>kubectl --context=HS_POC_CONTEXT describe node GPU_NODE</w:t>
      </w:r>
    </w:p>
    <w:p>
      <w:r>
        <w:t>Expected: two distinct cluster IDs; planned workers Ready; no public worker/API exposure; correct shapes/images; GPU resources registered on the intended node. VM.GPU.A10.2 contains two separate GPUs, not node level redundancy. Stop if the GPU allocation, labels, image, or isolation differs from the approved build sheet.</w:t>
      </w:r>
    </w:p>
    <w:p>
      <w:pPr>
        <w:pStyle w:val="Heading1"/>
        <w:pageBreakBefore/>
      </w:pPr>
      <w:r>
        <w:t>4 Validate platform services and storage</w:t>
      </w:r>
    </w:p>
    <w:p>
      <w:r>
        <w:t>Owner: Kubernetes SME with storage and security teams. Entry: workers Ready. Exit: both platforms accepted for vendor installation. Repeat checks for each cluster and keep state resources isolated.</w:t>
      </w:r>
    </w:p>
    <w:p>
      <w:r>
        <w:t>1. Create the approved namespaces, service accounts, and RBAC from reviewed manifests. Use named application roles and time bounded installer access. Confirm that an application account cannot read the other application's data or secrets.</w:t>
      </w:r>
    </w:p>
    <w:p>
      <w:r>
        <w:t>2. Prepare the approved internal registry, synchronize signed or verified release artifacts, and record digests. Validate image pull access without enabling unrestricted Internet egress. Apply approved vulnerability acceptance criteria.</w:t>
      </w:r>
    </w:p>
    <w:p>
      <w:r>
        <w:t>3. Provision the database and storage required by each vendor. Record engine/version, TLS settings, database privileges, block volume tier, filesystem/mount options, backup policy, and network access. Do not assume OCI Object Storage substitutes for DataWalk Decoupled Storage or the Hyperscience file store.</w:t>
      </w:r>
    </w:p>
    <w:p>
      <w:r>
        <w:t>4. Install the approved CSI drivers and storage classes as required. Inspect reclaim policy, binding mode, topology, encryption and expansion support before creating claims. Bind a disposable test claim and prove write/read persistence using an approved test image and manifest.</w:t>
      </w:r>
    </w:p>
    <w:p>
      <w:r>
        <w:t>5. Deploy the chosen ingress or gateway implementation and private load balancer configuration. Configure DNS and TLS, backend health checks, approved source ranges, and application routing. A namespace or an Ingress object alone does not create a working private endpoint.</w:t>
      </w:r>
    </w:p>
    <w:p>
      <w:r>
        <w:t>6. Verify service connectivity and enforced network policies with an allowed test and a denied test. Keep DNS, registry, database, storage, metrics and necessary control plane paths available.</w:t>
      </w:r>
    </w:p>
    <w:p>
      <w:r>
        <w:t>7. Enable application/platform logging, audit collection, metrics and alerts. Send a test notification to the approved team and confirm receipt. Verify timestamps and retention; do not assume a configured alarm is working.</w:t>
      </w:r>
    </w:p>
    <w:p>
      <w:pPr>
        <w:pStyle w:val="Heading2"/>
      </w:pPr>
      <w:r>
        <w:t>Read only checks</w:t>
      </w:r>
    </w:p>
    <w:p>
      <w:pPr>
        <w:spacing w:after="40"/>
      </w:pPr>
      <w:r>
        <w:rPr>
          <w:rFonts w:ascii="Liberation Mono" w:hAnsi="Liberation Mono"/>
          <w:sz w:val="18"/>
        </w:rPr>
        <w:t>kubectl --context=DW_POC_CONTEXT get pods -A</w:t>
      </w:r>
    </w:p>
    <w:p>
      <w:pPr>
        <w:spacing w:after="40"/>
      </w:pPr>
      <w:r>
        <w:rPr>
          <w:rFonts w:ascii="Liberation Mono" w:hAnsi="Liberation Mono"/>
          <w:sz w:val="18"/>
        </w:rPr>
        <w:t>kubectl --context=DW_POC_CONTEXT get storageclass</w:t>
      </w:r>
    </w:p>
    <w:p>
      <w:pPr>
        <w:spacing w:after="40"/>
      </w:pPr>
      <w:r>
        <w:rPr>
          <w:rFonts w:ascii="Liberation Mono" w:hAnsi="Liberation Mono"/>
          <w:sz w:val="18"/>
        </w:rPr>
        <w:t>kubectl --context=DW_POC_CONTEXT get pvc -n DW_NAMESPACE</w:t>
      </w:r>
    </w:p>
    <w:p>
      <w:pPr>
        <w:spacing w:after="40"/>
      </w:pPr>
      <w:r>
        <w:rPr>
          <w:rFonts w:ascii="Liberation Mono" w:hAnsi="Liberation Mono"/>
          <w:sz w:val="18"/>
        </w:rPr>
        <w:t>kubectl --context=DW_POC_CONTEXT get svc,ingress -n DW_NAMESPACE</w:t>
      </w:r>
    </w:p>
    <w:p>
      <w:pPr>
        <w:spacing w:after="40"/>
      </w:pPr>
      <w:r>
        <w:rPr>
          <w:rFonts w:ascii="Liberation Mono" w:hAnsi="Liberation Mono"/>
          <w:sz w:val="18"/>
        </w:rPr>
        <w:t>kubectl --context=HS_POC_CONTEXT get pods -A</w:t>
      </w:r>
    </w:p>
    <w:p>
      <w:pPr>
        <w:spacing w:after="40"/>
      </w:pPr>
      <w:r>
        <w:rPr>
          <w:rFonts w:ascii="Liberation Mono" w:hAnsi="Liberation Mono"/>
          <w:sz w:val="18"/>
        </w:rPr>
        <w:t>kubectl --context=HS_POC_CONTEXT get pvc -n HS_NAMESPACE</w:t>
      </w:r>
    </w:p>
    <w:p>
      <w:pPr>
        <w:spacing w:after="40"/>
      </w:pPr>
      <w:r>
        <w:rPr>
          <w:rFonts w:ascii="Liberation Mono" w:hAnsi="Liberation Mono"/>
          <w:sz w:val="18"/>
        </w:rPr>
        <w:t>kubectl --context=HS_POC_CONTEXT get svc,ingress -n HS_NAMESPACE</w:t>
      </w:r>
    </w:p>
    <w:p>
      <w:r>
        <w:t>Evidence: storage settings and persistence result; endpoint/DNS/TLS checks; allowed and denied traffic; image digests; received alert. Stop on lost test data, unintended public endpoints, unapproved findings, or unenforced isolation. Never run storage benchmarks against existing application data; use a separately approved disposable volume.</w:t>
      </w:r>
    </w:p>
    <w:p>
      <w:pPr>
        <w:pStyle w:val="Heading1"/>
        <w:pageBreakBefore/>
      </w:pPr>
      <w:r>
        <w:t>5 Install and accept each application</w:t>
      </w:r>
    </w:p>
    <w:p>
      <w:r>
        <w:t>Owner: application vendors; platform engineer assists. Entry: signed platform handoff and approved release matrix. Execute one application installation at a time. This procedure does not authorize a substitute chart, image, database engine, or unsupported OS.</w:t>
      </w:r>
    </w:p>
    <w:p>
      <w:pPr>
        <w:pStyle w:val="Heading2"/>
      </w:pPr>
      <w:r>
        <w:t>DataWalk installation</w:t>
      </w:r>
    </w:p>
    <w:p>
      <w:r>
        <w:t>1. Give the vendor the DW context/namespace, private FQDN, approved worker inventory, database/storage design, registry references, secret references, and supported installation guide revision. Record artifact digests and configuration commit.</w:t>
      </w:r>
    </w:p>
    <w:p>
      <w:r>
        <w:t>2. Have the vendor verify its database and Decoupled Storage design, resource requests/limits, CPU affinity or scheduling requirements, and storage performance settings. Containers do not eliminate underlying I/O requirements. [R7]</w:t>
      </w:r>
    </w:p>
    <w:p>
      <w:r>
        <w:t>3. Execute the vendor approved installer under the authorized identity. Retain the redacted command transcript and work/change ID. Do not invent Helm release names or run generic upgrades against vendor operators.</w:t>
      </w:r>
    </w:p>
    <w:p>
      <w:r>
        <w:t>4. Confirm expected services and workloads, authentication, small dataset ingestion, graph/query results, and restart persistence. Obtain vendor acceptance with the exact installed version and open defects.</w:t>
      </w:r>
    </w:p>
    <w:p>
      <w:pPr>
        <w:pStyle w:val="Heading2"/>
      </w:pPr>
      <w:r>
        <w:t>Hyperscience installation</w:t>
      </w:r>
    </w:p>
    <w:p>
      <w:r>
        <w:t>1. Confirm the licensed private FQDN, SQL/file store connectivity, internal artifact registry, deployment workstation and controlled artifact transfer path. Obtain credentials through the approved secret channel. [R6]</w:t>
      </w:r>
    </w:p>
    <w:p>
      <w:r>
        <w:t>2. Have the vendor prepare its release specific values and deployment tooling. Record chart/operator version, model artifacts and image digests. Keep secret values out of Git, shell history and support evidence.</w:t>
      </w:r>
    </w:p>
    <w:p>
      <w:r>
        <w:t>3. Install using the vendor procedure. Verify platform workloads on CPU workers and the intended trainer/GPU workload on the GPU pool. Confirm requested GPU resources and compatible driver/runtime; do not install a second competing device plugin or driver manager.</w:t>
      </w:r>
    </w:p>
    <w:p>
      <w:r>
        <w:t>4. Process a small labeled document set, run the approved training/inference use case, and inspect output quality and job completion. Prove GPU activity during a relevant workload, not merely the presence of a GPU node.</w:t>
      </w:r>
    </w:p>
    <w:p>
      <w:pPr>
        <w:pStyle w:val="Heading2"/>
      </w:pPr>
      <w:r>
        <w:t>Application handoff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trPr>
        <w:tc>
          <w:tcPr>
            <w:tcW w:type="dxa" w:w="2088"/>
            <w:vAlign w:val="center"/>
            <w:tcMar>
              <w:top w:w="90" w:type="dxa"/>
              <w:bottom w:w="90" w:type="dxa"/>
              <w:left w:w="90" w:type="dxa"/>
              <w:right w:w="90" w:type="dxa"/>
            </w:tcMar>
            <w:shd w:fill="333333"/>
          </w:tcPr>
          <w:p>
            <w:pPr>
              <w:spacing w:after="0" w:line="240" w:lineRule="auto"/>
            </w:pPr>
            <w:r>
              <w:rPr>
                <w:b/>
                <w:color w:val="FFFFFF"/>
                <w:sz w:val="20"/>
              </w:rPr>
              <w:t>Field</w:t>
            </w:r>
          </w:p>
        </w:tc>
        <w:tc>
          <w:tcPr>
            <w:tcW w:type="dxa" w:w="7992"/>
            <w:vAlign w:val="center"/>
            <w:tcMar>
              <w:top w:w="90" w:type="dxa"/>
              <w:bottom w:w="90" w:type="dxa"/>
              <w:left w:w="90" w:type="dxa"/>
              <w:right w:w="90" w:type="dxa"/>
            </w:tcMar>
            <w:shd w:fill="333333"/>
          </w:tcPr>
          <w:p>
            <w:pPr>
              <w:spacing w:after="0" w:line="240" w:lineRule="auto"/>
            </w:pPr>
            <w:r>
              <w:rPr>
                <w:b/>
                <w:color w:val="FFFFFF"/>
                <w:sz w:val="20"/>
              </w:rPr>
              <w:t>Record for each application</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0"/>
              </w:rPr>
              <w:t>Installation</w:t>
            </w:r>
          </w:p>
        </w:tc>
        <w:tc>
          <w:tcPr>
            <w:tcW w:type="dxa" w:w="7992"/>
            <w:vAlign w:val="center"/>
            <w:tcMar>
              <w:top w:w="90" w:type="dxa"/>
              <w:bottom w:w="90" w:type="dxa"/>
              <w:left w:w="90" w:type="dxa"/>
              <w:right w:w="90" w:type="dxa"/>
            </w:tcMar>
            <w:shd w:fill="FFFFFF"/>
          </w:tcPr>
          <w:p>
            <w:pPr>
              <w:spacing w:after="0" w:line="240" w:lineRule="auto"/>
            </w:pPr>
            <w:r>
              <w:rPr>
                <w:b w:val="0"/>
                <w:sz w:val="20"/>
              </w:rPr>
              <w:t>Operator, UTC start/end, release, guide revision, config commit, image digests</w:t>
            </w:r>
          </w:p>
        </w:tc>
      </w:tr>
      <w:tr>
        <w:trPr>
          <w:cantSplit/>
        </w:trPr>
        <w:tc>
          <w:tcPr>
            <w:tcW w:type="dxa" w:w="2088"/>
            <w:vAlign w:val="center"/>
            <w:tcMar>
              <w:top w:w="90" w:type="dxa"/>
              <w:bottom w:w="90" w:type="dxa"/>
              <w:left w:w="90" w:type="dxa"/>
              <w:right w:w="90" w:type="dxa"/>
            </w:tcMar>
            <w:shd w:fill="F4F4F4"/>
          </w:tcPr>
          <w:p>
            <w:pPr>
              <w:spacing w:after="0" w:line="240" w:lineRule="auto"/>
            </w:pPr>
            <w:r>
              <w:rPr>
                <w:b w:val="0"/>
                <w:sz w:val="20"/>
              </w:rPr>
              <w:t>Validation</w:t>
            </w:r>
          </w:p>
        </w:tc>
        <w:tc>
          <w:tcPr>
            <w:tcW w:type="dxa" w:w="7992"/>
            <w:vAlign w:val="center"/>
            <w:tcMar>
              <w:top w:w="90" w:type="dxa"/>
              <w:bottom w:w="90" w:type="dxa"/>
              <w:left w:w="90" w:type="dxa"/>
              <w:right w:w="90" w:type="dxa"/>
            </w:tcMar>
            <w:shd w:fill="F4F4F4"/>
          </w:tcPr>
          <w:p>
            <w:pPr>
              <w:spacing w:after="0" w:line="240" w:lineRule="auto"/>
            </w:pPr>
            <w:r>
              <w:rPr>
                <w:b w:val="0"/>
                <w:sz w:val="20"/>
              </w:rPr>
              <w:t>Login result, sample input/output hashes, workload health, expected replica count</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0"/>
              </w:rPr>
              <w:t>Support</w:t>
            </w:r>
          </w:p>
        </w:tc>
        <w:tc>
          <w:tcPr>
            <w:tcW w:type="dxa" w:w="7992"/>
            <w:vAlign w:val="center"/>
            <w:tcMar>
              <w:top w:w="90" w:type="dxa"/>
              <w:bottom w:w="90" w:type="dxa"/>
              <w:left w:w="90" w:type="dxa"/>
              <w:right w:w="90" w:type="dxa"/>
            </w:tcMar>
            <w:shd w:fill="FFFFFF"/>
          </w:tcPr>
          <w:p>
            <w:pPr>
              <w:spacing w:after="0" w:line="240" w:lineRule="auto"/>
            </w:pPr>
            <w:r>
              <w:rPr>
                <w:b w:val="0"/>
                <w:sz w:val="20"/>
              </w:rPr>
              <w:t>Vendor acceptance, restrictions, defect IDs, escalation contact</w:t>
            </w:r>
          </w:p>
        </w:tc>
      </w:tr>
      <w:tr>
        <w:trPr>
          <w:cantSplit/>
        </w:trPr>
        <w:tc>
          <w:tcPr>
            <w:tcW w:type="dxa" w:w="2088"/>
            <w:vAlign w:val="center"/>
            <w:tcMar>
              <w:top w:w="90" w:type="dxa"/>
              <w:bottom w:w="90" w:type="dxa"/>
              <w:left w:w="90" w:type="dxa"/>
              <w:right w:w="90" w:type="dxa"/>
            </w:tcMar>
            <w:shd w:fill="F4F4F4"/>
          </w:tcPr>
          <w:p>
            <w:pPr>
              <w:spacing w:after="0" w:line="240" w:lineRule="auto"/>
            </w:pPr>
            <w:r>
              <w:rPr>
                <w:b w:val="0"/>
                <w:sz w:val="20"/>
              </w:rPr>
              <w:t>Next gate</w:t>
            </w:r>
          </w:p>
        </w:tc>
        <w:tc>
          <w:tcPr>
            <w:tcW w:type="dxa" w:w="7992"/>
            <w:vAlign w:val="center"/>
            <w:tcMar>
              <w:top w:w="90" w:type="dxa"/>
              <w:bottom w:w="90" w:type="dxa"/>
              <w:left w:w="90" w:type="dxa"/>
              <w:right w:w="90" w:type="dxa"/>
            </w:tcMar>
            <w:shd w:fill="F4F4F4"/>
          </w:tcPr>
          <w:p>
            <w:pPr>
              <w:spacing w:after="0" w:line="240" w:lineRule="auto"/>
            </w:pPr>
            <w:r>
              <w:rPr>
                <w:b w:val="0"/>
                <w:sz w:val="20"/>
              </w:rPr>
              <w:t>App owner authorizes integration and representative performance testing</w:t>
            </w:r>
          </w:p>
        </w:tc>
      </w:tr>
    </w:tbl>
    <w:p/>
    <w:p>
      <w:r>
        <w:t>Stop if a database migration fails, results differ from ground truth, unsupported privileges are required, or the vendor declines support. Preserve logs and state; do not reinstall over the failed environment without a recovery plan.</w:t>
      </w:r>
    </w:p>
    <w:p>
      <w:pPr>
        <w:pStyle w:val="Heading1"/>
        <w:pageBreakBefore/>
      </w:pPr>
      <w:r>
        <w:t>6 Validate document transfer and integration</w:t>
      </w:r>
    </w:p>
    <w:p>
      <w:r>
        <w:t>Owner: application owners and integration engineer. Entry: both applications pass smoke tests. The meeting described manual steps and a postprocessing script; automation is a POC test only if separately agreed. Preserve the current workflow as the comparison baseline.</w:t>
      </w:r>
    </w:p>
    <w:p>
      <w:r>
        <w:t>1. Document the actual sequence: input upload, Hyperscience processing, export, optional postprocessing script, transfer, and DataWalk ingestion. Identify which steps a user performs and who owns the script.</w:t>
      </w:r>
    </w:p>
    <w:p>
      <w:r>
        <w:t>2. Select the vendor approved exchange endpoint. If S3 compatibility is proposed, validate the exact OCI endpoint, region/signing behavior, SDK settings, encryption and supported operations. Do not assume SQS or event behavior is available because object access works.</w:t>
      </w:r>
    </w:p>
    <w:p>
      <w:r>
        <w:t>3. Use a dedicated POC integration bucket or file location with narrowly scoped producer and consumer access. Keep each application's internal storage separate. Define object naming, correlation ID, checksum, completion marker, retention and malware handling.</w:t>
      </w:r>
    </w:p>
    <w:p>
      <w:r>
        <w:t>4. Submit a small approved test batch. Record document count, identifiers, sizes and hashes. Run the pinned postprocessing script revision if required; record its output manifest and any rejected documents.</w:t>
      </w:r>
    </w:p>
    <w:p>
      <w:r>
        <w:t>5. Ingest the completed output into DataWalk. Reconcile source count, export count, ingestion count and expected results. Explain every intentional transformation so checksum differences are not mistaken for corruption.</w:t>
      </w:r>
    </w:p>
    <w:p>
      <w:r>
        <w:t>6. Repeat with duplicate input, interrupted transfer, partial output, unauthorized access and a malformed document. Confirm retry and quarantine behavior. Never claim exactly once processing solely because one happy path run passed.</w:t>
      </w:r>
    </w:p>
    <w:p>
      <w:r>
        <w:t>7. Confirm an end user can perform every remaining manual step from the approved enterprise access path. Record the manual effort separately from automated processing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90" w:type="dxa"/>
              <w:bottom w:w="90" w:type="dxa"/>
              <w:left w:w="90" w:type="dxa"/>
              <w:right w:w="90" w:type="dxa"/>
            </w:tcMar>
            <w:shd w:fill="333333"/>
          </w:tcPr>
          <w:p>
            <w:pPr>
              <w:spacing w:after="0" w:line="240" w:lineRule="auto"/>
            </w:pPr>
            <w:r>
              <w:rPr>
                <w:b/>
                <w:color w:val="FFFFFF"/>
                <w:sz w:val="20"/>
              </w:rPr>
              <w:t>Test</w:t>
            </w:r>
          </w:p>
        </w:tc>
        <w:tc>
          <w:tcPr>
            <w:tcW w:type="dxa" w:w="7704"/>
            <w:vAlign w:val="center"/>
            <w:tcMar>
              <w:top w:w="90" w:type="dxa"/>
              <w:bottom w:w="90" w:type="dxa"/>
              <w:left w:w="90" w:type="dxa"/>
              <w:right w:w="90" w:type="dxa"/>
            </w:tcMar>
            <w:shd w:fill="333333"/>
          </w:tcPr>
          <w:p>
            <w:pPr>
              <w:spacing w:after="0" w:line="240" w:lineRule="auto"/>
            </w:pPr>
            <w:r>
              <w:rPr>
                <w:b/>
                <w:color w:val="FFFFFF"/>
                <w:sz w:val="20"/>
              </w:rPr>
              <w:t>Required observation</w:t>
            </w:r>
          </w:p>
        </w:tc>
      </w:tr>
      <w:tr>
        <w:trPr>
          <w:cantSplit/>
        </w:trPr>
        <w:tc>
          <w:tcPr>
            <w:tcW w:type="dxa" w:w="2376"/>
            <w:vAlign w:val="center"/>
            <w:tcMar>
              <w:top w:w="90" w:type="dxa"/>
              <w:bottom w:w="90" w:type="dxa"/>
              <w:left w:w="90" w:type="dxa"/>
              <w:right w:w="90" w:type="dxa"/>
            </w:tcMar>
            <w:shd w:fill="FFFFFF"/>
          </w:tcPr>
          <w:p>
            <w:pPr>
              <w:spacing w:after="0" w:line="240" w:lineRule="auto"/>
            </w:pPr>
            <w:r>
              <w:rPr>
                <w:b w:val="0"/>
                <w:sz w:val="20"/>
              </w:rPr>
              <w:t>Happy path</w:t>
            </w:r>
          </w:p>
        </w:tc>
        <w:tc>
          <w:tcPr>
            <w:tcW w:type="dxa" w:w="7704"/>
            <w:vAlign w:val="center"/>
            <w:tcMar>
              <w:top w:w="90" w:type="dxa"/>
              <w:bottom w:w="90" w:type="dxa"/>
              <w:left w:w="90" w:type="dxa"/>
              <w:right w:w="90" w:type="dxa"/>
            </w:tcMar>
            <w:shd w:fill="FFFFFF"/>
          </w:tcPr>
          <w:p>
            <w:pPr>
              <w:spacing w:after="0" w:line="240" w:lineRule="auto"/>
            </w:pPr>
            <w:r>
              <w:rPr>
                <w:b w:val="0"/>
                <w:sz w:val="20"/>
              </w:rPr>
              <w:t>All expected documents and metadata reconciled</w:t>
            </w:r>
          </w:p>
        </w:tc>
      </w:tr>
      <w:tr>
        <w:trPr>
          <w:cantSplit/>
        </w:trPr>
        <w:tc>
          <w:tcPr>
            <w:tcW w:type="dxa" w:w="2376"/>
            <w:vAlign w:val="center"/>
            <w:tcMar>
              <w:top w:w="90" w:type="dxa"/>
              <w:bottom w:w="90" w:type="dxa"/>
              <w:left w:w="90" w:type="dxa"/>
              <w:right w:w="90" w:type="dxa"/>
            </w:tcMar>
            <w:shd w:fill="F4F4F4"/>
          </w:tcPr>
          <w:p>
            <w:pPr>
              <w:spacing w:after="0" w:line="240" w:lineRule="auto"/>
            </w:pPr>
            <w:r>
              <w:rPr>
                <w:b w:val="0"/>
                <w:sz w:val="20"/>
              </w:rPr>
              <w:t>Duplicate or replay</w:t>
            </w:r>
          </w:p>
        </w:tc>
        <w:tc>
          <w:tcPr>
            <w:tcW w:type="dxa" w:w="7704"/>
            <w:vAlign w:val="center"/>
            <w:tcMar>
              <w:top w:w="90" w:type="dxa"/>
              <w:bottom w:w="90" w:type="dxa"/>
              <w:left w:w="90" w:type="dxa"/>
              <w:right w:w="90" w:type="dxa"/>
            </w:tcMar>
            <w:shd w:fill="F4F4F4"/>
          </w:tcPr>
          <w:p>
            <w:pPr>
              <w:spacing w:after="0" w:line="240" w:lineRule="auto"/>
            </w:pPr>
            <w:r>
              <w:rPr>
                <w:b w:val="0"/>
                <w:sz w:val="20"/>
              </w:rPr>
              <w:t>No silent duplicate business records; deduplication or operator resolution shown</w:t>
            </w:r>
          </w:p>
        </w:tc>
      </w:tr>
      <w:tr>
        <w:trPr>
          <w:cantSplit/>
        </w:trPr>
        <w:tc>
          <w:tcPr>
            <w:tcW w:type="dxa" w:w="2376"/>
            <w:vAlign w:val="center"/>
            <w:tcMar>
              <w:top w:w="90" w:type="dxa"/>
              <w:bottom w:w="90" w:type="dxa"/>
              <w:left w:w="90" w:type="dxa"/>
              <w:right w:w="90" w:type="dxa"/>
            </w:tcMar>
            <w:shd w:fill="FFFFFF"/>
          </w:tcPr>
          <w:p>
            <w:pPr>
              <w:spacing w:after="0" w:line="240" w:lineRule="auto"/>
            </w:pPr>
            <w:r>
              <w:rPr>
                <w:b w:val="0"/>
                <w:sz w:val="20"/>
              </w:rPr>
              <w:t>Interrupted transfer</w:t>
            </w:r>
          </w:p>
        </w:tc>
        <w:tc>
          <w:tcPr>
            <w:tcW w:type="dxa" w:w="7704"/>
            <w:vAlign w:val="center"/>
            <w:tcMar>
              <w:top w:w="90" w:type="dxa"/>
              <w:bottom w:w="90" w:type="dxa"/>
              <w:left w:w="90" w:type="dxa"/>
              <w:right w:w="90" w:type="dxa"/>
            </w:tcMar>
            <w:shd w:fill="FFFFFF"/>
          </w:tcPr>
          <w:p>
            <w:pPr>
              <w:spacing w:after="0" w:line="240" w:lineRule="auto"/>
            </w:pPr>
            <w:r>
              <w:rPr>
                <w:b w:val="0"/>
                <w:sz w:val="20"/>
              </w:rPr>
              <w:t>Partial output not consumed as complete; recoverable retry</w:t>
            </w:r>
          </w:p>
        </w:tc>
      </w:tr>
      <w:tr>
        <w:trPr>
          <w:cantSplit/>
        </w:trPr>
        <w:tc>
          <w:tcPr>
            <w:tcW w:type="dxa" w:w="2376"/>
            <w:vAlign w:val="center"/>
            <w:tcMar>
              <w:top w:w="90" w:type="dxa"/>
              <w:bottom w:w="90" w:type="dxa"/>
              <w:left w:w="90" w:type="dxa"/>
              <w:right w:w="90" w:type="dxa"/>
            </w:tcMar>
            <w:shd w:fill="F4F4F4"/>
          </w:tcPr>
          <w:p>
            <w:pPr>
              <w:spacing w:after="0" w:line="240" w:lineRule="auto"/>
            </w:pPr>
            <w:r>
              <w:rPr>
                <w:b w:val="0"/>
                <w:sz w:val="20"/>
              </w:rPr>
              <w:t>Invalid document</w:t>
            </w:r>
          </w:p>
        </w:tc>
        <w:tc>
          <w:tcPr>
            <w:tcW w:type="dxa" w:w="7704"/>
            <w:vAlign w:val="center"/>
            <w:tcMar>
              <w:top w:w="90" w:type="dxa"/>
              <w:bottom w:w="90" w:type="dxa"/>
              <w:left w:w="90" w:type="dxa"/>
              <w:right w:w="90" w:type="dxa"/>
            </w:tcMar>
            <w:shd w:fill="F4F4F4"/>
          </w:tcPr>
          <w:p>
            <w:pPr>
              <w:spacing w:after="0" w:line="240" w:lineRule="auto"/>
            </w:pPr>
            <w:r>
              <w:rPr>
                <w:b w:val="0"/>
                <w:sz w:val="20"/>
              </w:rPr>
              <w:t>Explicit rejection or quarantine and visible error</w:t>
            </w:r>
          </w:p>
        </w:tc>
      </w:tr>
      <w:tr>
        <w:trPr>
          <w:cantSplit/>
        </w:trPr>
        <w:tc>
          <w:tcPr>
            <w:tcW w:type="dxa" w:w="2376"/>
            <w:vAlign w:val="center"/>
            <w:tcMar>
              <w:top w:w="90" w:type="dxa"/>
              <w:bottom w:w="90" w:type="dxa"/>
              <w:left w:w="90" w:type="dxa"/>
              <w:right w:w="90" w:type="dxa"/>
            </w:tcMar>
            <w:shd w:fill="FFFFFF"/>
          </w:tcPr>
          <w:p>
            <w:pPr>
              <w:spacing w:after="0" w:line="240" w:lineRule="auto"/>
            </w:pPr>
            <w:r>
              <w:rPr>
                <w:b w:val="0"/>
                <w:sz w:val="20"/>
              </w:rPr>
              <w:t>Access boundary</w:t>
            </w:r>
          </w:p>
        </w:tc>
        <w:tc>
          <w:tcPr>
            <w:tcW w:type="dxa" w:w="7704"/>
            <w:vAlign w:val="center"/>
            <w:tcMar>
              <w:top w:w="90" w:type="dxa"/>
              <w:bottom w:w="90" w:type="dxa"/>
              <w:left w:w="90" w:type="dxa"/>
              <w:right w:w="90" w:type="dxa"/>
            </w:tcMar>
            <w:shd w:fill="FFFFFF"/>
          </w:tcPr>
          <w:p>
            <w:pPr>
              <w:spacing w:after="0" w:line="240" w:lineRule="auto"/>
            </w:pPr>
            <w:r>
              <w:rPr>
                <w:b w:val="0"/>
                <w:sz w:val="20"/>
              </w:rPr>
              <w:t>Unauthorized producer/consumer denied</w:t>
            </w:r>
          </w:p>
        </w:tc>
      </w:tr>
      <w:tr>
        <w:trPr>
          <w:cantSplit/>
        </w:trPr>
        <w:tc>
          <w:tcPr>
            <w:tcW w:type="dxa" w:w="2376"/>
            <w:vAlign w:val="center"/>
            <w:tcMar>
              <w:top w:w="90" w:type="dxa"/>
              <w:bottom w:w="90" w:type="dxa"/>
              <w:left w:w="90" w:type="dxa"/>
              <w:right w:w="90" w:type="dxa"/>
            </w:tcMar>
            <w:shd w:fill="F4F4F4"/>
          </w:tcPr>
          <w:p>
            <w:pPr>
              <w:spacing w:after="0" w:line="240" w:lineRule="auto"/>
            </w:pPr>
            <w:r>
              <w:rPr>
                <w:b w:val="0"/>
                <w:sz w:val="20"/>
              </w:rPr>
              <w:t>Postprocessing</w:t>
            </w:r>
          </w:p>
        </w:tc>
        <w:tc>
          <w:tcPr>
            <w:tcW w:type="dxa" w:w="7704"/>
            <w:vAlign w:val="center"/>
            <w:tcMar>
              <w:top w:w="90" w:type="dxa"/>
              <w:bottom w:w="90" w:type="dxa"/>
              <w:left w:w="90" w:type="dxa"/>
              <w:right w:w="90" w:type="dxa"/>
            </w:tcMar>
            <w:shd w:fill="F4F4F4"/>
          </w:tcPr>
          <w:p>
            <w:pPr>
              <w:spacing w:after="0" w:line="240" w:lineRule="auto"/>
            </w:pPr>
            <w:r>
              <w:rPr>
                <w:b w:val="0"/>
                <w:sz w:val="20"/>
              </w:rPr>
              <w:t>Pinned script, input/output manifest and repeatable result</w:t>
            </w:r>
          </w:p>
        </w:tc>
      </w:tr>
    </w:tbl>
    <w:p/>
    <w:p>
      <w:r>
        <w:t>Evidence: manifests, job IDs, timestamps, sanitized outputs, error cases and operator steps. Stop for silent loss, unexplained duplicates, unauthorized read/write, or inconsistent postprocessing. A failing optional automation path must not be reported as a successful integrated solution.</w:t>
      </w:r>
    </w:p>
    <w:p>
      <w:pPr>
        <w:pStyle w:val="Heading1"/>
        <w:pageBreakBefore/>
      </w:pPr>
      <w:r>
        <w:t>7 Execute the acceptance test campaign</w:t>
      </w:r>
    </w:p>
    <w:p>
      <w:r>
        <w:t>Owner: test lead and application owners. Entry: approved workload definition and repeatable smoke/integration results. Acceptance thresholds are fixed before testing; changing them requires a recorded decision and a new baseline.</w:t>
      </w:r>
    </w:p>
    <w:p>
      <w:r>
        <w:t>1. Assign a test ID and record application, dataset/hash, model/configuration version, node shapes/counts, storage configuration, concurrent users/jobs, and UTC start. Capture the comparable on premises baseline using the same workload where feasible.</w:t>
      </w:r>
    </w:p>
    <w:p>
      <w:r>
        <w:t>2. Run a warmup, then at least three measured baseline runs and the approved peak/concurrency scenario. Keep warm and cold runs separate. Record manual processing time separately. Do not change node size or storage tier during a measurement window.</w:t>
      </w:r>
    </w:p>
    <w:p>
      <w:r>
        <w:t>3. Capture throughput, end to end latency including p95 where meaningful, completion/error counts, CPU/memory, GPU activity/memory, disk latency/IOPS/throughput, network and cost. Inspect throttling, OOM and queue buildup. If telemetry is missing, mark the performance result incomplete.</w:t>
      </w:r>
    </w:p>
    <w:p>
      <w:r>
        <w:t>4. Execute security tests using approved identities and scans. Test both allowed and denied access; verify audit events, TLS, secret handling, vulnerability disposition and log forwarding. Obtain permission before intrusive scanning.</w:t>
      </w:r>
    </w:p>
    <w:p>
      <w:r>
        <w:t>5. Run controlled pod/worker recovery and database/storage restore tests using procedure 10. Measure detection time, service recovery, actual recovered data age, and unreconciled work against agreed RTO/RPO.</w:t>
      </w:r>
    </w:p>
    <w:p>
      <w:r>
        <w:t>6. Score each mandatory test against its frozen threshold. Retain raw results and explain variance. Submit failed runs and retests together; do not remove inconvenient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448"/>
        <w:gridCol w:w="6120"/>
      </w:tblGrid>
      <w:tr>
        <w:trPr>
          <w:cantSplit/>
          <w:tblHeader/>
        </w:trPr>
        <w:tc>
          <w:tcPr>
            <w:tcW w:type="dxa" w:w="1512"/>
            <w:vAlign w:val="center"/>
            <w:tcMar>
              <w:top w:w="90" w:type="dxa"/>
              <w:bottom w:w="90" w:type="dxa"/>
              <w:left w:w="90" w:type="dxa"/>
              <w:right w:w="90" w:type="dxa"/>
            </w:tcMar>
            <w:shd w:fill="333333"/>
          </w:tcPr>
          <w:p>
            <w:pPr>
              <w:spacing w:after="0" w:line="240" w:lineRule="auto"/>
            </w:pPr>
            <w:r>
              <w:rPr>
                <w:b/>
                <w:color w:val="FFFFFF"/>
                <w:sz w:val="20"/>
              </w:rPr>
              <w:t>Test IDs</w:t>
            </w:r>
          </w:p>
        </w:tc>
        <w:tc>
          <w:tcPr>
            <w:tcW w:type="dxa" w:w="2448"/>
            <w:vAlign w:val="center"/>
            <w:tcMar>
              <w:top w:w="90" w:type="dxa"/>
              <w:bottom w:w="90" w:type="dxa"/>
              <w:left w:w="90" w:type="dxa"/>
              <w:right w:w="90" w:type="dxa"/>
            </w:tcMar>
            <w:shd w:fill="333333"/>
          </w:tcPr>
          <w:p>
            <w:pPr>
              <w:spacing w:after="0" w:line="240" w:lineRule="auto"/>
            </w:pPr>
            <w:r>
              <w:rPr>
                <w:b/>
                <w:color w:val="FFFFFF"/>
                <w:sz w:val="20"/>
              </w:rPr>
              <w:t>Domain</w:t>
            </w:r>
          </w:p>
        </w:tc>
        <w:tc>
          <w:tcPr>
            <w:tcW w:type="dxa" w:w="6120"/>
            <w:vAlign w:val="center"/>
            <w:tcMar>
              <w:top w:w="90" w:type="dxa"/>
              <w:bottom w:w="90" w:type="dxa"/>
              <w:left w:w="90" w:type="dxa"/>
              <w:right w:w="90" w:type="dxa"/>
            </w:tcMar>
            <w:shd w:fill="333333"/>
          </w:tcPr>
          <w:p>
            <w:pPr>
              <w:spacing w:after="0" w:line="240" w:lineRule="auto"/>
            </w:pPr>
            <w:r>
              <w:rPr>
                <w:b/>
                <w:color w:val="FFFFFF"/>
                <w:sz w:val="20"/>
              </w:rPr>
              <w:t>Acceptance basis</w:t>
            </w:r>
          </w:p>
        </w:tc>
      </w:tr>
      <w:tr>
        <w:trPr>
          <w:cantSplit/>
        </w:trPr>
        <w:tc>
          <w:tcPr>
            <w:tcW w:type="dxa" w:w="1512"/>
            <w:vAlign w:val="center"/>
            <w:tcMar>
              <w:top w:w="90" w:type="dxa"/>
              <w:bottom w:w="90" w:type="dxa"/>
              <w:left w:w="90" w:type="dxa"/>
              <w:right w:w="90" w:type="dxa"/>
            </w:tcMar>
            <w:shd w:fill="FFFFFF"/>
          </w:tcPr>
          <w:p>
            <w:pPr>
              <w:spacing w:after="0" w:line="240" w:lineRule="auto"/>
            </w:pPr>
            <w:r>
              <w:rPr>
                <w:b w:val="0"/>
                <w:sz w:val="20"/>
              </w:rPr>
              <w:t>T01 to T03</w:t>
            </w:r>
          </w:p>
        </w:tc>
        <w:tc>
          <w:tcPr>
            <w:tcW w:type="dxa" w:w="2448"/>
            <w:vAlign w:val="center"/>
            <w:tcMar>
              <w:top w:w="90" w:type="dxa"/>
              <w:bottom w:w="90" w:type="dxa"/>
              <w:left w:w="90" w:type="dxa"/>
              <w:right w:w="90" w:type="dxa"/>
            </w:tcMar>
            <w:shd w:fill="FFFFFF"/>
          </w:tcPr>
          <w:p>
            <w:pPr>
              <w:spacing w:after="0" w:line="240" w:lineRule="auto"/>
            </w:pPr>
            <w:r>
              <w:rPr>
                <w:b w:val="0"/>
                <w:sz w:val="20"/>
              </w:rPr>
              <w:t>Platform and access</w:t>
            </w:r>
          </w:p>
        </w:tc>
        <w:tc>
          <w:tcPr>
            <w:tcW w:type="dxa" w:w="6120"/>
            <w:vAlign w:val="center"/>
            <w:tcMar>
              <w:top w:w="90" w:type="dxa"/>
              <w:bottom w:w="90" w:type="dxa"/>
              <w:left w:w="90" w:type="dxa"/>
              <w:right w:w="90" w:type="dxa"/>
            </w:tcMar>
            <w:shd w:fill="FFFFFF"/>
          </w:tcPr>
          <w:p>
            <w:pPr>
              <w:spacing w:after="0" w:line="240" w:lineRule="auto"/>
            </w:pPr>
            <w:r>
              <w:rPr>
                <w:b w:val="0"/>
                <w:sz w:val="20"/>
              </w:rPr>
              <w:t>Correct private clusters, roles, state and scheduling</w:t>
            </w:r>
          </w:p>
        </w:tc>
      </w:tr>
      <w:tr>
        <w:trPr>
          <w:cantSplit/>
        </w:trPr>
        <w:tc>
          <w:tcPr>
            <w:tcW w:type="dxa" w:w="1512"/>
            <w:vAlign w:val="center"/>
            <w:tcMar>
              <w:top w:w="90" w:type="dxa"/>
              <w:bottom w:w="90" w:type="dxa"/>
              <w:left w:w="90" w:type="dxa"/>
              <w:right w:w="90" w:type="dxa"/>
            </w:tcMar>
            <w:shd w:fill="F4F4F4"/>
          </w:tcPr>
          <w:p>
            <w:pPr>
              <w:spacing w:after="0" w:line="240" w:lineRule="auto"/>
            </w:pPr>
            <w:r>
              <w:rPr>
                <w:b w:val="0"/>
                <w:sz w:val="20"/>
              </w:rPr>
              <w:t>T04 to T06</w:t>
            </w:r>
          </w:p>
        </w:tc>
        <w:tc>
          <w:tcPr>
            <w:tcW w:type="dxa" w:w="2448"/>
            <w:vAlign w:val="center"/>
            <w:tcMar>
              <w:top w:w="90" w:type="dxa"/>
              <w:bottom w:w="90" w:type="dxa"/>
              <w:left w:w="90" w:type="dxa"/>
              <w:right w:w="90" w:type="dxa"/>
            </w:tcMar>
            <w:shd w:fill="F4F4F4"/>
          </w:tcPr>
          <w:p>
            <w:pPr>
              <w:spacing w:after="0" w:line="240" w:lineRule="auto"/>
            </w:pPr>
            <w:r>
              <w:rPr>
                <w:b w:val="0"/>
                <w:sz w:val="20"/>
              </w:rPr>
              <w:t>DW and HS function</w:t>
            </w:r>
          </w:p>
        </w:tc>
        <w:tc>
          <w:tcPr>
            <w:tcW w:type="dxa" w:w="6120"/>
            <w:vAlign w:val="center"/>
            <w:tcMar>
              <w:top w:w="90" w:type="dxa"/>
              <w:bottom w:w="90" w:type="dxa"/>
              <w:left w:w="90" w:type="dxa"/>
              <w:right w:w="90" w:type="dxa"/>
            </w:tcMar>
            <w:shd w:fill="F4F4F4"/>
          </w:tcPr>
          <w:p>
            <w:pPr>
              <w:spacing w:after="0" w:line="240" w:lineRule="auto"/>
            </w:pPr>
            <w:r>
              <w:rPr>
                <w:b w:val="0"/>
                <w:sz w:val="20"/>
              </w:rPr>
              <w:t>All critical workflows and approved quality targets pass</w:t>
            </w:r>
          </w:p>
        </w:tc>
      </w:tr>
      <w:tr>
        <w:trPr>
          <w:cantSplit/>
        </w:trPr>
        <w:tc>
          <w:tcPr>
            <w:tcW w:type="dxa" w:w="1512"/>
            <w:vAlign w:val="center"/>
            <w:tcMar>
              <w:top w:w="90" w:type="dxa"/>
              <w:bottom w:w="90" w:type="dxa"/>
              <w:left w:w="90" w:type="dxa"/>
              <w:right w:w="90" w:type="dxa"/>
            </w:tcMar>
            <w:shd w:fill="FFFFFF"/>
          </w:tcPr>
          <w:p>
            <w:pPr>
              <w:spacing w:after="0" w:line="240" w:lineRule="auto"/>
            </w:pPr>
            <w:r>
              <w:rPr>
                <w:b w:val="0"/>
                <w:sz w:val="20"/>
              </w:rPr>
              <w:t>T07 to T09</w:t>
            </w:r>
          </w:p>
        </w:tc>
        <w:tc>
          <w:tcPr>
            <w:tcW w:type="dxa" w:w="2448"/>
            <w:vAlign w:val="center"/>
            <w:tcMar>
              <w:top w:w="90" w:type="dxa"/>
              <w:bottom w:w="90" w:type="dxa"/>
              <w:left w:w="90" w:type="dxa"/>
              <w:right w:w="90" w:type="dxa"/>
            </w:tcMar>
            <w:shd w:fill="FFFFFF"/>
          </w:tcPr>
          <w:p>
            <w:pPr>
              <w:spacing w:after="0" w:line="240" w:lineRule="auto"/>
            </w:pPr>
            <w:r>
              <w:rPr>
                <w:b w:val="0"/>
                <w:sz w:val="20"/>
              </w:rPr>
              <w:t>Integration</w:t>
            </w:r>
          </w:p>
        </w:tc>
        <w:tc>
          <w:tcPr>
            <w:tcW w:type="dxa" w:w="6120"/>
            <w:vAlign w:val="center"/>
            <w:tcMar>
              <w:top w:w="90" w:type="dxa"/>
              <w:bottom w:w="90" w:type="dxa"/>
              <w:left w:w="90" w:type="dxa"/>
              <w:right w:w="90" w:type="dxa"/>
            </w:tcMar>
            <w:shd w:fill="FFFFFF"/>
          </w:tcPr>
          <w:p>
            <w:pPr>
              <w:spacing w:after="0" w:line="240" w:lineRule="auto"/>
            </w:pPr>
            <w:r>
              <w:rPr>
                <w:b w:val="0"/>
                <w:sz w:val="20"/>
              </w:rPr>
              <w:t>Count and result reconciliation; controlled error recovery</w:t>
            </w:r>
          </w:p>
        </w:tc>
      </w:tr>
      <w:tr>
        <w:trPr>
          <w:cantSplit/>
        </w:trPr>
        <w:tc>
          <w:tcPr>
            <w:tcW w:type="dxa" w:w="1512"/>
            <w:vAlign w:val="center"/>
            <w:tcMar>
              <w:top w:w="90" w:type="dxa"/>
              <w:bottom w:w="90" w:type="dxa"/>
              <w:left w:w="90" w:type="dxa"/>
              <w:right w:w="90" w:type="dxa"/>
            </w:tcMar>
            <w:shd w:fill="F4F4F4"/>
          </w:tcPr>
          <w:p>
            <w:pPr>
              <w:spacing w:after="0" w:line="240" w:lineRule="auto"/>
            </w:pPr>
            <w:r>
              <w:rPr>
                <w:b w:val="0"/>
                <w:sz w:val="20"/>
              </w:rPr>
              <w:t>T10 to T12</w:t>
            </w:r>
          </w:p>
        </w:tc>
        <w:tc>
          <w:tcPr>
            <w:tcW w:type="dxa" w:w="2448"/>
            <w:vAlign w:val="center"/>
            <w:tcMar>
              <w:top w:w="90" w:type="dxa"/>
              <w:bottom w:w="90" w:type="dxa"/>
              <w:left w:w="90" w:type="dxa"/>
              <w:right w:w="90" w:type="dxa"/>
            </w:tcMar>
            <w:shd w:fill="F4F4F4"/>
          </w:tcPr>
          <w:p>
            <w:pPr>
              <w:spacing w:after="0" w:line="240" w:lineRule="auto"/>
            </w:pPr>
            <w:r>
              <w:rPr>
                <w:b w:val="0"/>
                <w:sz w:val="20"/>
              </w:rPr>
              <w:t>Performance</w:t>
            </w:r>
          </w:p>
        </w:tc>
        <w:tc>
          <w:tcPr>
            <w:tcW w:type="dxa" w:w="6120"/>
            <w:vAlign w:val="center"/>
            <w:tcMar>
              <w:top w:w="90" w:type="dxa"/>
              <w:bottom w:w="90" w:type="dxa"/>
              <w:left w:w="90" w:type="dxa"/>
              <w:right w:w="90" w:type="dxa"/>
            </w:tcMar>
            <w:shd w:fill="F4F4F4"/>
          </w:tcPr>
          <w:p>
            <w:pPr>
              <w:spacing w:after="0" w:line="240" w:lineRule="auto"/>
            </w:pPr>
            <w:r>
              <w:rPr>
                <w:b w:val="0"/>
                <w:sz w:val="20"/>
              </w:rPr>
              <w:t>Approved latency, throughput and headroom targets</w:t>
            </w:r>
          </w:p>
        </w:tc>
      </w:tr>
      <w:tr>
        <w:trPr>
          <w:cantSplit/>
        </w:trPr>
        <w:tc>
          <w:tcPr>
            <w:tcW w:type="dxa" w:w="1512"/>
            <w:vAlign w:val="center"/>
            <w:tcMar>
              <w:top w:w="90" w:type="dxa"/>
              <w:bottom w:w="90" w:type="dxa"/>
              <w:left w:w="90" w:type="dxa"/>
              <w:right w:w="90" w:type="dxa"/>
            </w:tcMar>
            <w:shd w:fill="FFFFFF"/>
          </w:tcPr>
          <w:p>
            <w:pPr>
              <w:spacing w:after="0" w:line="240" w:lineRule="auto"/>
            </w:pPr>
            <w:r>
              <w:rPr>
                <w:b w:val="0"/>
                <w:sz w:val="20"/>
              </w:rPr>
              <w:t>T13 to T15</w:t>
            </w:r>
          </w:p>
        </w:tc>
        <w:tc>
          <w:tcPr>
            <w:tcW w:type="dxa" w:w="2448"/>
            <w:vAlign w:val="center"/>
            <w:tcMar>
              <w:top w:w="90" w:type="dxa"/>
              <w:bottom w:w="90" w:type="dxa"/>
              <w:left w:w="90" w:type="dxa"/>
              <w:right w:w="90" w:type="dxa"/>
            </w:tcMar>
            <w:shd w:fill="FFFFFF"/>
          </w:tcPr>
          <w:p>
            <w:pPr>
              <w:spacing w:after="0" w:line="240" w:lineRule="auto"/>
            </w:pPr>
            <w:r>
              <w:rPr>
                <w:b w:val="0"/>
                <w:sz w:val="20"/>
              </w:rPr>
              <w:t>Security</w:t>
            </w:r>
          </w:p>
        </w:tc>
        <w:tc>
          <w:tcPr>
            <w:tcW w:type="dxa" w:w="6120"/>
            <w:vAlign w:val="center"/>
            <w:tcMar>
              <w:top w:w="90" w:type="dxa"/>
              <w:bottom w:w="90" w:type="dxa"/>
              <w:left w:w="90" w:type="dxa"/>
              <w:right w:w="90" w:type="dxa"/>
            </w:tcMar>
            <w:shd w:fill="FFFFFF"/>
          </w:tcPr>
          <w:p>
            <w:pPr>
              <w:spacing w:after="0" w:line="240" w:lineRule="auto"/>
            </w:pPr>
            <w:r>
              <w:rPr>
                <w:b w:val="0"/>
                <w:sz w:val="20"/>
              </w:rPr>
              <w:t>Required controls proven; findings formally dispositioned</w:t>
            </w:r>
          </w:p>
        </w:tc>
      </w:tr>
      <w:tr>
        <w:trPr>
          <w:cantSplit/>
        </w:trPr>
        <w:tc>
          <w:tcPr>
            <w:tcW w:type="dxa" w:w="1512"/>
            <w:vAlign w:val="center"/>
            <w:tcMar>
              <w:top w:w="90" w:type="dxa"/>
              <w:bottom w:w="90" w:type="dxa"/>
              <w:left w:w="90" w:type="dxa"/>
              <w:right w:w="90" w:type="dxa"/>
            </w:tcMar>
            <w:shd w:fill="F4F4F4"/>
          </w:tcPr>
          <w:p>
            <w:pPr>
              <w:spacing w:after="0" w:line="240" w:lineRule="auto"/>
            </w:pPr>
            <w:r>
              <w:rPr>
                <w:b w:val="0"/>
                <w:sz w:val="20"/>
              </w:rPr>
              <w:t>T16 to T18</w:t>
            </w:r>
          </w:p>
        </w:tc>
        <w:tc>
          <w:tcPr>
            <w:tcW w:type="dxa" w:w="2448"/>
            <w:vAlign w:val="center"/>
            <w:tcMar>
              <w:top w:w="90" w:type="dxa"/>
              <w:bottom w:w="90" w:type="dxa"/>
              <w:left w:w="90" w:type="dxa"/>
              <w:right w:w="90" w:type="dxa"/>
            </w:tcMar>
            <w:shd w:fill="F4F4F4"/>
          </w:tcPr>
          <w:p>
            <w:pPr>
              <w:spacing w:after="0" w:line="240" w:lineRule="auto"/>
            </w:pPr>
            <w:r>
              <w:rPr>
                <w:b w:val="0"/>
                <w:sz w:val="20"/>
              </w:rPr>
              <w:t>Recovery and operations</w:t>
            </w:r>
          </w:p>
        </w:tc>
        <w:tc>
          <w:tcPr>
            <w:tcW w:type="dxa" w:w="6120"/>
            <w:vAlign w:val="center"/>
            <w:tcMar>
              <w:top w:w="90" w:type="dxa"/>
              <w:bottom w:w="90" w:type="dxa"/>
              <w:left w:w="90" w:type="dxa"/>
              <w:right w:w="90" w:type="dxa"/>
            </w:tcMar>
            <w:shd w:fill="F4F4F4"/>
          </w:tcPr>
          <w:p>
            <w:pPr>
              <w:spacing w:after="0" w:line="240" w:lineRule="auto"/>
            </w:pPr>
            <w:r>
              <w:rPr>
                <w:b w:val="0"/>
                <w:sz w:val="20"/>
              </w:rPr>
              <w:t>Restore proof, recovery targets, alerts and operator handoff</w:t>
            </w:r>
          </w:p>
        </w:tc>
      </w:tr>
      <w:tr>
        <w:trPr>
          <w:cantSplit/>
        </w:trPr>
        <w:tc>
          <w:tcPr>
            <w:tcW w:type="dxa" w:w="1512"/>
            <w:vAlign w:val="center"/>
            <w:tcMar>
              <w:top w:w="90" w:type="dxa"/>
              <w:bottom w:w="90" w:type="dxa"/>
              <w:left w:w="90" w:type="dxa"/>
              <w:right w:w="90" w:type="dxa"/>
            </w:tcMar>
            <w:shd w:fill="FFFFFF"/>
          </w:tcPr>
          <w:p>
            <w:pPr>
              <w:spacing w:after="0" w:line="240" w:lineRule="auto"/>
            </w:pPr>
            <w:r>
              <w:rPr>
                <w:b w:val="0"/>
                <w:sz w:val="20"/>
              </w:rPr>
              <w:t>T19</w:t>
            </w:r>
          </w:p>
        </w:tc>
        <w:tc>
          <w:tcPr>
            <w:tcW w:type="dxa" w:w="2448"/>
            <w:vAlign w:val="center"/>
            <w:tcMar>
              <w:top w:w="90" w:type="dxa"/>
              <w:bottom w:w="90" w:type="dxa"/>
              <w:left w:w="90" w:type="dxa"/>
              <w:right w:w="90" w:type="dxa"/>
            </w:tcMar>
            <w:shd w:fill="FFFFFF"/>
          </w:tcPr>
          <w:p>
            <w:pPr>
              <w:spacing w:after="0" w:line="240" w:lineRule="auto"/>
            </w:pPr>
            <w:r>
              <w:rPr>
                <w:b w:val="0"/>
                <w:sz w:val="20"/>
              </w:rPr>
              <w:t>Cost</w:t>
            </w:r>
          </w:p>
        </w:tc>
        <w:tc>
          <w:tcPr>
            <w:tcW w:type="dxa" w:w="6120"/>
            <w:vAlign w:val="center"/>
            <w:tcMar>
              <w:top w:w="90" w:type="dxa"/>
              <w:bottom w:w="90" w:type="dxa"/>
              <w:left w:w="90" w:type="dxa"/>
              <w:right w:w="90" w:type="dxa"/>
            </w:tcMar>
            <w:shd w:fill="FFFFFF"/>
          </w:tcPr>
          <w:p>
            <w:pPr>
              <w:spacing w:after="0" w:line="240" w:lineRule="auto"/>
            </w:pPr>
            <w:r>
              <w:rPr>
                <w:b w:val="0"/>
                <w:sz w:val="20"/>
              </w:rPr>
              <w:t>Measured consumption and complete target cost model</w:t>
            </w:r>
          </w:p>
        </w:tc>
      </w:tr>
    </w:tbl>
    <w:p/>
    <w:p>
      <w:r>
        <w:t>Test record template: Test ID | operator | change ID | start/end UTC | configuration commit | dataset ID/hash | expected result | observed result | PASS/FAIL/BLOCKED/NOT RUN | evidence URI | defect | reviewer. The team assigns individual test cases within the suggested ID ranges.</w:t>
      </w:r>
    </w:p>
    <w:p>
      <w:r>
        <w:t>For each improvement percentage, retain the baseline and OCI values, units and calculation. A faster run with a smaller dataset or different quality setting is not a like for like comparison.</w:t>
      </w:r>
    </w:p>
    <w:p>
      <w:pPr>
        <w:pStyle w:val="Heading1"/>
        <w:pageBreakBefore/>
      </w:pPr>
      <w:r>
        <w:t>8 Perform daily operations and cost checks</w:t>
      </w:r>
    </w:p>
    <w:p>
      <w:r>
        <w:t>Owner: daily duty operator. Entry: applications installed. Frequency: at the start and end of each execution day, and before a scheduled test window. Use the same checks after any approved change.</w:t>
      </w:r>
    </w:p>
    <w:p>
      <w:r>
        <w:t>1. Verify both context mappings and planned changes. Check cluster/work request status, worker health, unexpected restarts, pending workloads and storage usage. Confirm no unapproved shape or pool change.</w:t>
      </w:r>
    </w:p>
    <w:p>
      <w:r>
        <w:t>2. Review application queues and failed jobs. Confirm test input/output reconciliation. Check database health, available storage, certificate validity and the last successful backup.</w:t>
      </w:r>
    </w:p>
    <w:p>
      <w:r>
        <w:t>3. Verify log and metric freshness and alert delivery. Missing telemetry is an incident for the POC evidence record even when the application appears healthy.</w:t>
      </w:r>
    </w:p>
    <w:p>
      <w:r>
        <w:t>4. Inspect daily accumulated spending and forecast against the approved cap. Include CPU/GPU workers, databases, volumes, backups, private load balancers, logs and other retained resources. Record delayed cost data as an estimate.</w:t>
      </w:r>
    </w:p>
    <w:p>
      <w:r>
        <w:t>5. At the end of the day, finish or checkpoint jobs. Follow the vendor approved idle/shutdown schedule only if one exists. Stopping a worker may cause the platform to replace it or lose service; retained resources can continue billing.</w:t>
      </w:r>
    </w:p>
    <w:p>
      <w:r>
        <w:t>6. Publish a short daily entry with completed tests, failures, open blockers, spending, next window and responsible owners. Escalate projected budget breach before starting the next costly run.</w:t>
      </w:r>
    </w:p>
    <w:p>
      <w:pPr>
        <w:pStyle w:val="Heading2"/>
      </w:pPr>
      <w:r>
        <w:t>Routine diagnostic commands</w:t>
      </w:r>
    </w:p>
    <w:p>
      <w:r>
        <w:t>Examples use the DW context; repeat with the HS context and namespace. Cluster wide commands require the appropriate admin role.</w:t>
      </w:r>
    </w:p>
    <w:p>
      <w:pPr>
        <w:spacing w:after="40"/>
      </w:pPr>
      <w:r>
        <w:rPr>
          <w:rFonts w:ascii="Liberation Mono" w:hAnsi="Liberation Mono"/>
          <w:sz w:val="18"/>
        </w:rPr>
        <w:t>kubectl --context=DW_POC_CONTEXT get nodes</w:t>
      </w:r>
    </w:p>
    <w:p>
      <w:pPr>
        <w:spacing w:after="40"/>
      </w:pPr>
      <w:r>
        <w:rPr>
          <w:rFonts w:ascii="Liberation Mono" w:hAnsi="Liberation Mono"/>
          <w:sz w:val="18"/>
        </w:rPr>
        <w:t>kubectl --context=DW_POC_CONTEXT get pods -n DW_NAMESPACE -o wide</w:t>
      </w:r>
    </w:p>
    <w:p>
      <w:pPr>
        <w:spacing w:after="40"/>
      </w:pPr>
      <w:r>
        <w:rPr>
          <w:rFonts w:ascii="Liberation Mono" w:hAnsi="Liberation Mono"/>
          <w:sz w:val="18"/>
        </w:rPr>
        <w:t>kubectl --context=DW_POC_CONTEXT get events -n DW_NAMESPACE</w:t>
      </w:r>
    </w:p>
    <w:p>
      <w:pPr>
        <w:spacing w:after="40"/>
      </w:pPr>
      <w:r>
        <w:rPr>
          <w:rFonts w:ascii="Liberation Mono" w:hAnsi="Liberation Mono"/>
          <w:sz w:val="18"/>
        </w:rPr>
        <w:t>kubectl --context=DW_POC_CONTEXT get pvc -n DW_NAMESPACE</w:t>
      </w:r>
    </w:p>
    <w:p>
      <w:pPr>
        <w:spacing w:after="40"/>
      </w:pPr>
      <w:r>
        <w:rPr>
          <w:rFonts w:ascii="Liberation Mono" w:hAnsi="Liberation Mono"/>
          <w:sz w:val="18"/>
        </w:rPr>
        <w:t>kubectl --context=DW_POC_CONTEXT top nodes</w:t>
      </w:r>
    </w:p>
    <w:p>
      <w:pPr>
        <w:spacing w:after="40"/>
      </w:pPr>
      <w:r>
        <w:rPr>
          <w:rFonts w:ascii="Liberation Mono" w:hAnsi="Liberation Mono"/>
          <w:sz w:val="18"/>
        </w:rPr>
        <w:t>kubectl --context=DW_POC_CONTEXT top pods -n DW_NAMESPACE</w:t>
      </w:r>
    </w:p>
    <w:p>
      <w:r>
        <w:t>The top commands require a working resource metrics API and provide current CPU/memory usage, not historical GPU or disk performance. Use the approved monitoring stack for time series and GPU telemetry.</w:t>
      </w:r>
    </w:p>
    <w:p>
      <w:pPr>
        <w:pStyle w:val="Heading2"/>
      </w:pPr>
      <w:r>
        <w:t>Evidence handling</w:t>
      </w:r>
    </w:p>
    <w:p>
      <w:r>
        <w:t>Store evidence in the approved restricted location under POC run ID, date, application and test ID. Preserve UTC timestamps, source resource IDs, software/configuration versions and checksums. Do not export Kubernetes Secret objects, tokens, full kubeconfigs, customer documents or unredacted support bundles to general email or public repositories. Review logs for sensitive payloads before sharing.</w:t>
      </w:r>
    </w:p>
    <w:p>
      <w:r>
        <w:t>Daily log template: Date | operator | service health | failed jobs | last backup | telemetry freshness | daily/cumulative cost | forecast | changes | blockers | next owner.</w:t>
      </w:r>
    </w:p>
    <w:p>
      <w:pPr>
        <w:pStyle w:val="Heading1"/>
        <w:pageBreakBefore/>
      </w:pPr>
      <w:r>
        <w:t>9 Diagnose failures and escalate</w:t>
      </w:r>
    </w:p>
    <w:p>
      <w:r>
        <w:t>Owner: duty operator for triage; platform or application owner for remediation. First record the test, exact context, namespace, affected resource and UTC time. Pause the affected workload when continued processing risks data integrity. Preserve evidence before making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4176"/>
      </w:tblGrid>
      <w:tr>
        <w:trPr>
          <w:cantSplit/>
          <w:tblHeader/>
        </w:trPr>
        <w:tc>
          <w:tcPr>
            <w:tcW w:type="dxa" w:w="1800"/>
            <w:vAlign w:val="center"/>
            <w:tcMar>
              <w:top w:w="90" w:type="dxa"/>
              <w:bottom w:w="90" w:type="dxa"/>
              <w:left w:w="90" w:type="dxa"/>
              <w:right w:w="90" w:type="dxa"/>
            </w:tcMar>
            <w:shd w:fill="333333"/>
          </w:tcPr>
          <w:p>
            <w:pPr>
              <w:spacing w:after="0" w:line="240" w:lineRule="auto"/>
            </w:pPr>
            <w:r>
              <w:rPr>
                <w:b/>
                <w:color w:val="FFFFFF"/>
                <w:sz w:val="20"/>
              </w:rPr>
              <w:t>Symptom</w:t>
            </w:r>
          </w:p>
        </w:tc>
        <w:tc>
          <w:tcPr>
            <w:tcW w:type="dxa" w:w="4104"/>
            <w:vAlign w:val="center"/>
            <w:tcMar>
              <w:top w:w="90" w:type="dxa"/>
              <w:bottom w:w="90" w:type="dxa"/>
              <w:left w:w="90" w:type="dxa"/>
              <w:right w:w="90" w:type="dxa"/>
            </w:tcMar>
            <w:shd w:fill="333333"/>
          </w:tcPr>
          <w:p>
            <w:pPr>
              <w:spacing w:after="0" w:line="240" w:lineRule="auto"/>
            </w:pPr>
            <w:r>
              <w:rPr>
                <w:b/>
                <w:color w:val="FFFFFF"/>
                <w:sz w:val="20"/>
              </w:rPr>
              <w:t>Read only checks</w:t>
            </w:r>
          </w:p>
        </w:tc>
        <w:tc>
          <w:tcPr>
            <w:tcW w:type="dxa" w:w="4176"/>
            <w:vAlign w:val="center"/>
            <w:tcMar>
              <w:top w:w="90" w:type="dxa"/>
              <w:bottom w:w="90" w:type="dxa"/>
              <w:left w:w="90" w:type="dxa"/>
              <w:right w:w="90" w:type="dxa"/>
            </w:tcMar>
            <w:shd w:fill="333333"/>
          </w:tcPr>
          <w:p>
            <w:pPr>
              <w:spacing w:after="0" w:line="240" w:lineRule="auto"/>
            </w:pPr>
            <w:r>
              <w:rPr>
                <w:b/>
                <w:color w:val="FFFFFF"/>
                <w:sz w:val="20"/>
              </w:rPr>
              <w:t>Route and stop condition</w:t>
            </w:r>
          </w:p>
        </w:tc>
      </w:tr>
      <w:tr>
        <w:trPr>
          <w:cantSplit/>
        </w:trPr>
        <w:tc>
          <w:tcPr>
            <w:tcW w:type="dxa" w:w="1800"/>
            <w:vAlign w:val="center"/>
            <w:tcMar>
              <w:top w:w="90" w:type="dxa"/>
              <w:bottom w:w="90" w:type="dxa"/>
              <w:left w:w="90" w:type="dxa"/>
              <w:right w:w="90" w:type="dxa"/>
            </w:tcMar>
            <w:shd w:fill="FFFFFF"/>
          </w:tcPr>
          <w:p>
            <w:pPr>
              <w:spacing w:after="0" w:line="240" w:lineRule="auto"/>
            </w:pPr>
            <w:r>
              <w:rPr>
                <w:b w:val="0"/>
                <w:sz w:val="20"/>
              </w:rPr>
              <w:t>API unreachable</w:t>
            </w:r>
          </w:p>
        </w:tc>
        <w:tc>
          <w:tcPr>
            <w:tcW w:type="dxa" w:w="4104"/>
            <w:vAlign w:val="center"/>
            <w:tcMar>
              <w:top w:w="90" w:type="dxa"/>
              <w:bottom w:w="90" w:type="dxa"/>
              <w:left w:w="90" w:type="dxa"/>
              <w:right w:w="90" w:type="dxa"/>
            </w:tcMar>
            <w:shd w:fill="FFFFFF"/>
          </w:tcPr>
          <w:p>
            <w:pPr>
              <w:spacing w:after="0" w:line="240" w:lineRule="auto"/>
            </w:pPr>
            <w:r>
              <w:rPr>
                <w:b w:val="0"/>
                <w:sz w:val="20"/>
              </w:rPr>
              <w:t>DNS and TCP path; DRG/return routes; endpoint and NSGs</w:t>
            </w:r>
          </w:p>
        </w:tc>
        <w:tc>
          <w:tcPr>
            <w:tcW w:type="dxa" w:w="4176"/>
            <w:vAlign w:val="center"/>
            <w:tcMar>
              <w:top w:w="90" w:type="dxa"/>
              <w:bottom w:w="90" w:type="dxa"/>
              <w:left w:w="90" w:type="dxa"/>
              <w:right w:w="90" w:type="dxa"/>
            </w:tcMar>
            <w:shd w:fill="FFFFFF"/>
          </w:tcPr>
          <w:p>
            <w:pPr>
              <w:spacing w:after="0" w:line="240" w:lineRule="auto"/>
            </w:pPr>
            <w:r>
              <w:rPr>
                <w:b w:val="0"/>
                <w:sz w:val="20"/>
              </w:rPr>
              <w:t>Network owner; never expose a public API to bypass routing</w:t>
            </w:r>
          </w:p>
        </w:tc>
      </w:tr>
      <w:tr>
        <w:trPr>
          <w:cantSplit/>
        </w:trPr>
        <w:tc>
          <w:tcPr>
            <w:tcW w:type="dxa" w:w="1800"/>
            <w:vAlign w:val="center"/>
            <w:tcMar>
              <w:top w:w="90" w:type="dxa"/>
              <w:bottom w:w="90" w:type="dxa"/>
              <w:left w:w="90" w:type="dxa"/>
              <w:right w:w="90" w:type="dxa"/>
            </w:tcMar>
            <w:shd w:fill="F4F4F4"/>
          </w:tcPr>
          <w:p>
            <w:pPr>
              <w:spacing w:after="0" w:line="240" w:lineRule="auto"/>
            </w:pPr>
            <w:r>
              <w:rPr>
                <w:b w:val="0"/>
                <w:sz w:val="20"/>
              </w:rPr>
              <w:t>Unauthorized or forbidden</w:t>
            </w:r>
          </w:p>
        </w:tc>
        <w:tc>
          <w:tcPr>
            <w:tcW w:type="dxa" w:w="4104"/>
            <w:vAlign w:val="center"/>
            <w:tcMar>
              <w:top w:w="90" w:type="dxa"/>
              <w:bottom w:w="90" w:type="dxa"/>
              <w:left w:w="90" w:type="dxa"/>
              <w:right w:w="90" w:type="dxa"/>
            </w:tcMar>
            <w:shd w:fill="F4F4F4"/>
          </w:tcPr>
          <w:p>
            <w:pPr>
              <w:spacing w:after="0" w:line="240" w:lineRule="auto"/>
            </w:pPr>
            <w:r>
              <w:rPr>
                <w:b w:val="0"/>
                <w:sz w:val="20"/>
              </w:rPr>
              <w:t>Auth session, kubeconfig identity, auth can-i, assigned RBAC</w:t>
            </w:r>
          </w:p>
        </w:tc>
        <w:tc>
          <w:tcPr>
            <w:tcW w:type="dxa" w:w="4176"/>
            <w:vAlign w:val="center"/>
            <w:tcMar>
              <w:top w:w="90" w:type="dxa"/>
              <w:bottom w:w="90" w:type="dxa"/>
              <w:left w:w="90" w:type="dxa"/>
              <w:right w:w="90" w:type="dxa"/>
            </w:tcMar>
            <w:shd w:fill="F4F4F4"/>
          </w:tcPr>
          <w:p>
            <w:pPr>
              <w:spacing w:after="0" w:line="240" w:lineRule="auto"/>
            </w:pPr>
            <w:r>
              <w:rPr>
                <w:b w:val="0"/>
                <w:sz w:val="20"/>
              </w:rPr>
              <w:t>IAM/platform owner; do not share credentials or grant blanket admin</w:t>
            </w:r>
          </w:p>
        </w:tc>
      </w:tr>
      <w:tr>
        <w:trPr>
          <w:cantSplit/>
        </w:trPr>
        <w:tc>
          <w:tcPr>
            <w:tcW w:type="dxa" w:w="1800"/>
            <w:vAlign w:val="center"/>
            <w:tcMar>
              <w:top w:w="90" w:type="dxa"/>
              <w:bottom w:w="90" w:type="dxa"/>
              <w:left w:w="90" w:type="dxa"/>
              <w:right w:w="90" w:type="dxa"/>
            </w:tcMar>
            <w:shd w:fill="FFFFFF"/>
          </w:tcPr>
          <w:p>
            <w:pPr>
              <w:spacing w:after="0" w:line="240" w:lineRule="auto"/>
            </w:pPr>
            <w:r>
              <w:rPr>
                <w:b w:val="0"/>
                <w:sz w:val="20"/>
              </w:rPr>
              <w:t>Pods Pending</w:t>
            </w:r>
          </w:p>
        </w:tc>
        <w:tc>
          <w:tcPr>
            <w:tcW w:type="dxa" w:w="4104"/>
            <w:vAlign w:val="center"/>
            <w:tcMar>
              <w:top w:w="90" w:type="dxa"/>
              <w:bottom w:w="90" w:type="dxa"/>
              <w:left w:w="90" w:type="dxa"/>
              <w:right w:w="90" w:type="dxa"/>
            </w:tcMar>
            <w:shd w:fill="FFFFFF"/>
          </w:tcPr>
          <w:p>
            <w:pPr>
              <w:spacing w:after="0" w:line="240" w:lineRule="auto"/>
            </w:pPr>
            <w:r>
              <w:rPr>
                <w:b w:val="0"/>
                <w:sz w:val="20"/>
              </w:rPr>
              <w:t>Describe pod; events; requests, taints, affinity and PVC status</w:t>
            </w:r>
          </w:p>
        </w:tc>
        <w:tc>
          <w:tcPr>
            <w:tcW w:type="dxa" w:w="4176"/>
            <w:vAlign w:val="center"/>
            <w:tcMar>
              <w:top w:w="90" w:type="dxa"/>
              <w:bottom w:w="90" w:type="dxa"/>
              <w:left w:w="90" w:type="dxa"/>
              <w:right w:w="90" w:type="dxa"/>
            </w:tcMar>
            <w:shd w:fill="FFFFFF"/>
          </w:tcPr>
          <w:p>
            <w:pPr>
              <w:spacing w:after="0" w:line="240" w:lineRule="auto"/>
            </w:pPr>
            <w:r>
              <w:rPr>
                <w:b w:val="0"/>
                <w:sz w:val="20"/>
              </w:rPr>
              <w:t>Platform/vendor; stop if placement or capacity is unsupported</w:t>
            </w:r>
          </w:p>
        </w:tc>
      </w:tr>
      <w:tr>
        <w:trPr>
          <w:cantSplit/>
        </w:trPr>
        <w:tc>
          <w:tcPr>
            <w:tcW w:type="dxa" w:w="1800"/>
            <w:vAlign w:val="center"/>
            <w:tcMar>
              <w:top w:w="90" w:type="dxa"/>
              <w:bottom w:w="90" w:type="dxa"/>
              <w:left w:w="90" w:type="dxa"/>
              <w:right w:w="90" w:type="dxa"/>
            </w:tcMar>
            <w:shd w:fill="F4F4F4"/>
          </w:tcPr>
          <w:p>
            <w:pPr>
              <w:spacing w:after="0" w:line="240" w:lineRule="auto"/>
            </w:pPr>
            <w:r>
              <w:rPr>
                <w:b w:val="0"/>
                <w:sz w:val="20"/>
              </w:rPr>
              <w:t>Image pull failure</w:t>
            </w:r>
          </w:p>
        </w:tc>
        <w:tc>
          <w:tcPr>
            <w:tcW w:type="dxa" w:w="4104"/>
            <w:vAlign w:val="center"/>
            <w:tcMar>
              <w:top w:w="90" w:type="dxa"/>
              <w:bottom w:w="90" w:type="dxa"/>
              <w:left w:w="90" w:type="dxa"/>
              <w:right w:w="90" w:type="dxa"/>
            </w:tcMar>
            <w:shd w:fill="F4F4F4"/>
          </w:tcPr>
          <w:p>
            <w:pPr>
              <w:spacing w:after="0" w:line="240" w:lineRule="auto"/>
            </w:pPr>
            <w:r>
              <w:rPr>
                <w:b w:val="0"/>
                <w:sz w:val="20"/>
              </w:rPr>
              <w:t>Image digest, registry path, auth scope, DNS, egress and certificate trust</w:t>
            </w:r>
          </w:p>
        </w:tc>
        <w:tc>
          <w:tcPr>
            <w:tcW w:type="dxa" w:w="4176"/>
            <w:vAlign w:val="center"/>
            <w:tcMar>
              <w:top w:w="90" w:type="dxa"/>
              <w:bottom w:w="90" w:type="dxa"/>
              <w:left w:w="90" w:type="dxa"/>
              <w:right w:w="90" w:type="dxa"/>
            </w:tcMar>
            <w:shd w:fill="F4F4F4"/>
          </w:tcPr>
          <w:p>
            <w:pPr>
              <w:spacing w:after="0" w:line="240" w:lineRule="auto"/>
            </w:pPr>
            <w:r>
              <w:rPr>
                <w:b w:val="0"/>
                <w:sz w:val="20"/>
              </w:rPr>
              <w:t>Registry/vendor; do not switch to unverified public images</w:t>
            </w:r>
          </w:p>
        </w:tc>
      </w:tr>
      <w:tr>
        <w:trPr>
          <w:cantSplit/>
        </w:trPr>
        <w:tc>
          <w:tcPr>
            <w:tcW w:type="dxa" w:w="1800"/>
            <w:vAlign w:val="center"/>
            <w:tcMar>
              <w:top w:w="90" w:type="dxa"/>
              <w:bottom w:w="90" w:type="dxa"/>
              <w:left w:w="90" w:type="dxa"/>
              <w:right w:w="90" w:type="dxa"/>
            </w:tcMar>
            <w:shd w:fill="FFFFFF"/>
          </w:tcPr>
          <w:p>
            <w:pPr>
              <w:spacing w:after="0" w:line="240" w:lineRule="auto"/>
            </w:pPr>
            <w:r>
              <w:rPr>
                <w:b w:val="0"/>
                <w:sz w:val="20"/>
              </w:rPr>
              <w:t>CrashLoop or OOM</w:t>
            </w:r>
          </w:p>
        </w:tc>
        <w:tc>
          <w:tcPr>
            <w:tcW w:type="dxa" w:w="4104"/>
            <w:vAlign w:val="center"/>
            <w:tcMar>
              <w:top w:w="90" w:type="dxa"/>
              <w:bottom w:w="90" w:type="dxa"/>
              <w:left w:w="90" w:type="dxa"/>
              <w:right w:w="90" w:type="dxa"/>
            </w:tcMar>
            <w:shd w:fill="FFFFFF"/>
          </w:tcPr>
          <w:p>
            <w:pPr>
              <w:spacing w:after="0" w:line="240" w:lineRule="auto"/>
            </w:pPr>
            <w:r>
              <w:rPr>
                <w:b w:val="0"/>
                <w:sz w:val="20"/>
              </w:rPr>
              <w:t>Current/previous logs, exit reason, limits and dependency health</w:t>
            </w:r>
          </w:p>
        </w:tc>
        <w:tc>
          <w:tcPr>
            <w:tcW w:type="dxa" w:w="4176"/>
            <w:vAlign w:val="center"/>
            <w:tcMar>
              <w:top w:w="90" w:type="dxa"/>
              <w:bottom w:w="90" w:type="dxa"/>
              <w:left w:w="90" w:type="dxa"/>
              <w:right w:w="90" w:type="dxa"/>
            </w:tcMar>
            <w:shd w:fill="FFFFFF"/>
          </w:tcPr>
          <w:p>
            <w:pPr>
              <w:spacing w:after="0" w:line="240" w:lineRule="auto"/>
            </w:pPr>
            <w:r>
              <w:rPr>
                <w:b w:val="0"/>
                <w:sz w:val="20"/>
              </w:rPr>
              <w:t>Vendor; retain evidence before changing limits</w:t>
            </w:r>
          </w:p>
        </w:tc>
      </w:tr>
      <w:tr>
        <w:trPr>
          <w:cantSplit/>
        </w:trPr>
        <w:tc>
          <w:tcPr>
            <w:tcW w:type="dxa" w:w="1800"/>
            <w:vAlign w:val="center"/>
            <w:tcMar>
              <w:top w:w="90" w:type="dxa"/>
              <w:bottom w:w="90" w:type="dxa"/>
              <w:left w:w="90" w:type="dxa"/>
              <w:right w:w="90" w:type="dxa"/>
            </w:tcMar>
            <w:shd w:fill="F4F4F4"/>
          </w:tcPr>
          <w:p>
            <w:pPr>
              <w:spacing w:after="0" w:line="240" w:lineRule="auto"/>
            </w:pPr>
            <w:r>
              <w:rPr>
                <w:b w:val="0"/>
                <w:sz w:val="20"/>
              </w:rPr>
              <w:t>GPU absent or unused</w:t>
            </w:r>
          </w:p>
        </w:tc>
        <w:tc>
          <w:tcPr>
            <w:tcW w:type="dxa" w:w="4104"/>
            <w:vAlign w:val="center"/>
            <w:tcMar>
              <w:top w:w="90" w:type="dxa"/>
              <w:bottom w:w="90" w:type="dxa"/>
              <w:left w:w="90" w:type="dxa"/>
              <w:right w:w="90" w:type="dxa"/>
            </w:tcMar>
            <w:shd w:fill="F4F4F4"/>
          </w:tcPr>
          <w:p>
            <w:pPr>
              <w:spacing w:after="0" w:line="240" w:lineRule="auto"/>
            </w:pPr>
            <w:r>
              <w:rPr>
                <w:b w:val="0"/>
                <w:sz w:val="20"/>
              </w:rPr>
              <w:t>Node allocatable GPU, device plugin, workload request, labels and telemetry</w:t>
            </w:r>
          </w:p>
        </w:tc>
        <w:tc>
          <w:tcPr>
            <w:tcW w:type="dxa" w:w="4176"/>
            <w:vAlign w:val="center"/>
            <w:tcMar>
              <w:top w:w="90" w:type="dxa"/>
              <w:bottom w:w="90" w:type="dxa"/>
              <w:left w:w="90" w:type="dxa"/>
              <w:right w:w="90" w:type="dxa"/>
            </w:tcMar>
            <w:shd w:fill="F4F4F4"/>
          </w:tcPr>
          <w:p>
            <w:pPr>
              <w:spacing w:after="0" w:line="240" w:lineRule="auto"/>
            </w:pPr>
            <w:r>
              <w:rPr>
                <w:b w:val="0"/>
                <w:sz w:val="20"/>
              </w:rPr>
              <w:t>GPU SME/vendor; do not replace drivers ad hoc</w:t>
            </w:r>
          </w:p>
        </w:tc>
      </w:tr>
      <w:tr>
        <w:trPr>
          <w:cantSplit/>
        </w:trPr>
        <w:tc>
          <w:tcPr>
            <w:tcW w:type="dxa" w:w="1800"/>
            <w:vAlign w:val="center"/>
            <w:tcMar>
              <w:top w:w="90" w:type="dxa"/>
              <w:bottom w:w="90" w:type="dxa"/>
              <w:left w:w="90" w:type="dxa"/>
              <w:right w:w="90" w:type="dxa"/>
            </w:tcMar>
            <w:shd w:fill="FFFFFF"/>
          </w:tcPr>
          <w:p>
            <w:pPr>
              <w:spacing w:after="0" w:line="240" w:lineRule="auto"/>
            </w:pPr>
            <w:r>
              <w:rPr>
                <w:b w:val="0"/>
                <w:sz w:val="20"/>
              </w:rPr>
              <w:t>PVC Pending or slow I/O</w:t>
            </w:r>
          </w:p>
        </w:tc>
        <w:tc>
          <w:tcPr>
            <w:tcW w:type="dxa" w:w="4104"/>
            <w:vAlign w:val="center"/>
            <w:tcMar>
              <w:top w:w="90" w:type="dxa"/>
              <w:bottom w:w="90" w:type="dxa"/>
              <w:left w:w="90" w:type="dxa"/>
              <w:right w:w="90" w:type="dxa"/>
            </w:tcMar>
            <w:shd w:fill="FFFFFF"/>
          </w:tcPr>
          <w:p>
            <w:pPr>
              <w:spacing w:after="0" w:line="240" w:lineRule="auto"/>
            </w:pPr>
            <w:r>
              <w:rPr>
                <w:b w:val="0"/>
                <w:sz w:val="20"/>
              </w:rPr>
              <w:t>Storage class, topology, CSI events, quota, attachment, latency and tier</w:t>
            </w:r>
          </w:p>
        </w:tc>
        <w:tc>
          <w:tcPr>
            <w:tcW w:type="dxa" w:w="4176"/>
            <w:vAlign w:val="center"/>
            <w:tcMar>
              <w:top w:w="90" w:type="dxa"/>
              <w:bottom w:w="90" w:type="dxa"/>
              <w:left w:w="90" w:type="dxa"/>
              <w:right w:w="90" w:type="dxa"/>
            </w:tcMar>
            <w:shd w:fill="FFFFFF"/>
          </w:tcPr>
          <w:p>
            <w:pPr>
              <w:spacing w:after="0" w:line="240" w:lineRule="auto"/>
            </w:pPr>
            <w:r>
              <w:rPr>
                <w:b w:val="0"/>
                <w:sz w:val="20"/>
              </w:rPr>
              <w:t>Storage/platform; do not delete claims or benchmark live data</w:t>
            </w:r>
          </w:p>
        </w:tc>
      </w:tr>
      <w:tr>
        <w:trPr>
          <w:cantSplit/>
        </w:trPr>
        <w:tc>
          <w:tcPr>
            <w:tcW w:type="dxa" w:w="1800"/>
            <w:vAlign w:val="center"/>
            <w:tcMar>
              <w:top w:w="90" w:type="dxa"/>
              <w:bottom w:w="90" w:type="dxa"/>
              <w:left w:w="90" w:type="dxa"/>
              <w:right w:w="90" w:type="dxa"/>
            </w:tcMar>
            <w:shd w:fill="F4F4F4"/>
          </w:tcPr>
          <w:p>
            <w:pPr>
              <w:spacing w:after="0" w:line="240" w:lineRule="auto"/>
            </w:pPr>
            <w:r>
              <w:rPr>
                <w:b w:val="0"/>
                <w:sz w:val="20"/>
              </w:rPr>
              <w:t>Application 502 or TLS error</w:t>
            </w:r>
          </w:p>
        </w:tc>
        <w:tc>
          <w:tcPr>
            <w:tcW w:type="dxa" w:w="4104"/>
            <w:vAlign w:val="center"/>
            <w:tcMar>
              <w:top w:w="90" w:type="dxa"/>
              <w:bottom w:w="90" w:type="dxa"/>
              <w:left w:w="90" w:type="dxa"/>
              <w:right w:w="90" w:type="dxa"/>
            </w:tcMar>
            <w:shd w:fill="F4F4F4"/>
          </w:tcPr>
          <w:p>
            <w:pPr>
              <w:spacing w:after="0" w:line="240" w:lineRule="auto"/>
            </w:pPr>
            <w:r>
              <w:rPr>
                <w:b w:val="0"/>
                <w:sz w:val="20"/>
              </w:rPr>
              <w:t>LB backend health, service endpoints, readiness, DNS and certificate chain</w:t>
            </w:r>
          </w:p>
        </w:tc>
        <w:tc>
          <w:tcPr>
            <w:tcW w:type="dxa" w:w="4176"/>
            <w:vAlign w:val="center"/>
            <w:tcMar>
              <w:top w:w="90" w:type="dxa"/>
              <w:bottom w:w="90" w:type="dxa"/>
              <w:left w:w="90" w:type="dxa"/>
              <w:right w:w="90" w:type="dxa"/>
            </w:tcMar>
            <w:shd w:fill="F4F4F4"/>
          </w:tcPr>
          <w:p>
            <w:pPr>
              <w:spacing w:after="0" w:line="240" w:lineRule="auto"/>
            </w:pPr>
            <w:r>
              <w:rPr>
                <w:b w:val="0"/>
                <w:sz w:val="20"/>
              </w:rPr>
              <w:t>Ingress/vendor; do not disable TLS validation</w:t>
            </w:r>
          </w:p>
        </w:tc>
      </w:tr>
      <w:tr>
        <w:trPr>
          <w:cantSplit/>
        </w:trPr>
        <w:tc>
          <w:tcPr>
            <w:tcW w:type="dxa" w:w="1800"/>
            <w:vAlign w:val="center"/>
            <w:tcMar>
              <w:top w:w="90" w:type="dxa"/>
              <w:bottom w:w="90" w:type="dxa"/>
              <w:left w:w="90" w:type="dxa"/>
              <w:right w:w="90" w:type="dxa"/>
            </w:tcMar>
            <w:shd w:fill="FFFFFF"/>
          </w:tcPr>
          <w:p>
            <w:pPr>
              <w:spacing w:after="0" w:line="240" w:lineRule="auto"/>
            </w:pPr>
            <w:r>
              <w:rPr>
                <w:b w:val="0"/>
                <w:sz w:val="20"/>
              </w:rPr>
              <w:t>Missing or duplicate data</w:t>
            </w:r>
          </w:p>
        </w:tc>
        <w:tc>
          <w:tcPr>
            <w:tcW w:type="dxa" w:w="4104"/>
            <w:vAlign w:val="center"/>
            <w:tcMar>
              <w:top w:w="90" w:type="dxa"/>
              <w:bottom w:w="90" w:type="dxa"/>
              <w:left w:w="90" w:type="dxa"/>
              <w:right w:w="90" w:type="dxa"/>
            </w:tcMar>
            <w:shd w:fill="FFFFFF"/>
          </w:tcPr>
          <w:p>
            <w:pPr>
              <w:spacing w:after="0" w:line="240" w:lineRule="auto"/>
            </w:pPr>
            <w:r>
              <w:rPr>
                <w:b w:val="0"/>
                <w:sz w:val="20"/>
              </w:rPr>
              <w:t>Job IDs, source/output manifests, script version and retries</w:t>
            </w:r>
          </w:p>
        </w:tc>
        <w:tc>
          <w:tcPr>
            <w:tcW w:type="dxa" w:w="4176"/>
            <w:vAlign w:val="center"/>
            <w:tcMar>
              <w:top w:w="90" w:type="dxa"/>
              <w:bottom w:w="90" w:type="dxa"/>
              <w:left w:w="90" w:type="dxa"/>
              <w:right w:w="90" w:type="dxa"/>
            </w:tcMar>
            <w:shd w:fill="FFFFFF"/>
          </w:tcPr>
          <w:p>
            <w:pPr>
              <w:spacing w:after="0" w:line="240" w:lineRule="auto"/>
            </w:pPr>
            <w:r>
              <w:rPr>
                <w:b w:val="0"/>
                <w:sz w:val="20"/>
              </w:rPr>
              <w:t>Stop ingestion; app owners reconcile before restart</w:t>
            </w:r>
          </w:p>
        </w:tc>
      </w:tr>
    </w:tbl>
    <w:p/>
    <w:p>
      <w:pPr>
        <w:spacing w:after="40"/>
      </w:pPr>
      <w:r>
        <w:rPr>
          <w:rFonts w:ascii="Liberation Mono" w:hAnsi="Liberation Mono"/>
          <w:sz w:val="18"/>
        </w:rPr>
        <w:t>kubectl --context=DW_POC_CONTEXT describe pod POD -n DW_NAMESPACE</w:t>
      </w:r>
    </w:p>
    <w:p>
      <w:pPr>
        <w:spacing w:after="40"/>
      </w:pPr>
      <w:r>
        <w:rPr>
          <w:rFonts w:ascii="Liberation Mono" w:hAnsi="Liberation Mono"/>
          <w:sz w:val="18"/>
        </w:rPr>
        <w:t>kubectl --context=DW_POC_CONTEXT logs POD -n DW_NAMESPACE \</w:t>
      </w:r>
    </w:p>
    <w:p>
      <w:pPr>
        <w:spacing w:after="40"/>
      </w:pPr>
      <w:r>
        <w:rPr>
          <w:rFonts w:ascii="Liberation Mono" w:hAnsi="Liberation Mono"/>
          <w:sz w:val="18"/>
        </w:rPr>
        <w:t xml:space="preserve">  -c CONTAINER --since=30m --tail=200</w:t>
      </w:r>
    </w:p>
    <w:p>
      <w:pPr>
        <w:spacing w:after="40"/>
      </w:pPr>
      <w:r>
        <w:rPr>
          <w:rFonts w:ascii="Liberation Mono" w:hAnsi="Liberation Mono"/>
          <w:sz w:val="18"/>
        </w:rPr>
        <w:t>kubectl --context=DW_POC_CONTEXT logs POD -n DW_NAMESPACE \</w:t>
      </w:r>
    </w:p>
    <w:p>
      <w:pPr>
        <w:spacing w:after="40"/>
      </w:pPr>
      <w:r>
        <w:rPr>
          <w:rFonts w:ascii="Liberation Mono" w:hAnsi="Liberation Mono"/>
          <w:sz w:val="18"/>
        </w:rPr>
        <w:t xml:space="preserve">  -c CONTAINER --previous --tail=200</w:t>
      </w:r>
    </w:p>
    <w:p>
      <w:r>
        <w:t>The multiline examples use Bash continuation; in PowerShell put each command on one line. Review logs before exporting. For suspected exposure, corruption or destructive impact, stop testing, notify security and the POC lead, and follow the incident response process. For an ordinary blocker, record a ticket and owner before the next test window.</w:t>
      </w:r>
    </w:p>
    <w:p>
      <w:r>
        <w:t>Escalation package: impact, UTC timeline, sanitized logs/events, resource IDs, version matrix, recent change, attempted read only checks, and desired vendor assistance. Redact support bundles before authorized transfer.</w:t>
      </w:r>
    </w:p>
    <w:p>
      <w:pPr>
        <w:pStyle w:val="Heading1"/>
        <w:pageBreakBefore/>
      </w:pPr>
      <w:r>
        <w:t>10 Recover roll back and close the POC</w:t>
      </w:r>
    </w:p>
    <w:p>
      <w:r>
        <w:t>Owner: change owner with application, platform and security approval. Entry: recorded maintenance or recovery change, correct target IDs, current backup and agreed outage window. These steps alter state and must not be run as routine diagnostics.</w:t>
      </w:r>
    </w:p>
    <w:p>
      <w:pPr>
        <w:pStyle w:val="Heading2"/>
      </w:pPr>
      <w:r>
        <w:t>Controlled worker recovery test</w:t>
      </w:r>
    </w:p>
    <w:p>
      <w:r>
        <w:t>1. Select a POC worker and confirm all affected workloads. Quiesce jobs and confirm vendor supported recovery, spare capacity, PodDisruptionBudgets and local data handling. A single GPU worker test intentionally interrupts GPU service.</w:t>
      </w:r>
    </w:p>
    <w:p>
      <w:r>
        <w:t>2. For an approved CPU worker test, run the context scoped cordon and drain below. Drain respects eviction constraints; if blocked, stop and inspect. Do not add force, disable eviction, or delete local data flags to make the test pass. [R8]</w:t>
      </w:r>
    </w:p>
    <w:p>
      <w:r>
        <w:t>3. Observe rescheduling, application recovery, errors and alert delivery. Restore scheduling with uncordon when safe. If drain partially completed, do not assume uncordon restores evicted pods or lost jobs; reconcile workloads and data.</w:t>
      </w:r>
    </w:p>
    <w:p>
      <w:pPr>
        <w:spacing w:after="40"/>
      </w:pPr>
      <w:r>
        <w:rPr>
          <w:rFonts w:ascii="Liberation Mono" w:hAnsi="Liberation Mono"/>
          <w:sz w:val="18"/>
        </w:rPr>
        <w:t>kubectl --context=DW_POC_CONTEXT cordon APPROVED_CPU_NODE</w:t>
      </w:r>
    </w:p>
    <w:p>
      <w:pPr>
        <w:spacing w:after="40"/>
      </w:pPr>
      <w:r>
        <w:rPr>
          <w:rFonts w:ascii="Liberation Mono" w:hAnsi="Liberation Mono"/>
          <w:sz w:val="18"/>
        </w:rPr>
        <w:t>kubectl --context=DW_POC_CONTEXT drain APPROVED_CPU_NODE \</w:t>
      </w:r>
    </w:p>
    <w:p>
      <w:pPr>
        <w:spacing w:after="40"/>
      </w:pPr>
      <w:r>
        <w:rPr>
          <w:rFonts w:ascii="Liberation Mono" w:hAnsi="Liberation Mono"/>
          <w:sz w:val="18"/>
        </w:rPr>
        <w:t xml:space="preserve">  --ignore-daemonsets --timeout=10m</w:t>
      </w:r>
    </w:p>
    <w:p>
      <w:pPr>
        <w:spacing w:after="40"/>
      </w:pPr>
      <w:r>
        <w:rPr>
          <w:rFonts w:ascii="Liberation Mono" w:hAnsi="Liberation Mono"/>
          <w:sz w:val="18"/>
        </w:rPr>
        <w:t>kubectl --context=DW_POC_CONTEXT uncordon APPROVED_CPU_NODE</w:t>
      </w:r>
    </w:p>
    <w:p>
      <w:pPr>
        <w:pStyle w:val="Heading2"/>
      </w:pPr>
      <w:r>
        <w:t>Backup restore and application rollback</w:t>
      </w:r>
    </w:p>
    <w:p>
      <w:r>
        <w:t>1. Record an application consistent backup point using the vendor procedure. Include required database, file/object state, model/configuration and encryption key dependencies; a block snapshot alone may be insufficient.</w:t>
      </w:r>
    </w:p>
    <w:p>
      <w:r>
        <w:t>2. Restore into isolated POC recovery resources without overwriting the source. Validate integrity, application startup and representative results. Measure recovered data age and recovery time, then obtain application owner acceptance.</w:t>
      </w:r>
    </w:p>
    <w:p>
      <w:r>
        <w:t>3. For a failed upgrade, use the vendor approved rollback sequence and compatible database restore point. Helm rollback alone may not reverse schema, CRD or operator changes. Preserve the failed state and evidence until authorized disposition.</w:t>
      </w:r>
    </w:p>
    <w:p>
      <w:pPr>
        <w:pStyle w:val="Heading2"/>
      </w:pPr>
      <w:r>
        <w:t>Closure and controlled cleanup</w:t>
      </w:r>
    </w:p>
    <w:p>
      <w:r>
        <w:t>1. Submit test results, defects, security findings, support statements, runbooks and measured cost. Leadership records Go, Conditional Go, Extend or No Go with owners and dates. Production remains a separate approval.</w:t>
      </w:r>
    </w:p>
    <w:p>
      <w:r>
        <w:t>2. Obtain a resource specific cleanup authorization. Review the exact POC inventory and dependencies; exclude shared VCN/DRG/FastConnect, IAM, logging, keys and evidence retention resources.</w:t>
      </w:r>
    </w:p>
    <w:p>
      <w:r>
        <w:t>3. Quiesce processing, export approved evidence, verify backups and retention obligations, then remove POC resources through reviewed IaC or Console changes in dependency order. Inspect PVC reclaim policies before deleting workloads, claims or clusters.</w:t>
      </w:r>
    </w:p>
    <w:p>
      <w:r>
        <w:t>4. Revoke temporary access and credentials, verify the remaining inventory and later billing, and record what was deleted, what is recoverable, and retention/backup expiration dates. Do not attempt to bypass retention locks.</w:t>
      </w:r>
    </w:p>
    <w:p>
      <w:pPr>
        <w:pStyle w:val="Heading1"/>
        <w:pageBreakBefore/>
      </w:pPr>
      <w:r>
        <w:t>Appendix Framework mapping and references</w:t>
      </w:r>
    </w:p>
    <w:p>
      <w:r>
        <w:t>Use the companion POC plan for the charter and decision criteria. This runbook turns those criteria into operational procedures. The mapping below links the required evidence to Oracle CAF and OCI Well Architected review topics. [R1, R2]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cantSplit/>
          <w:tblHeader/>
        </w:trPr>
        <w:tc>
          <w:tcPr>
            <w:tcW w:type="dxa" w:w="3816"/>
            <w:vAlign w:val="center"/>
            <w:tcMar>
              <w:top w:w="90" w:type="dxa"/>
              <w:bottom w:w="90" w:type="dxa"/>
              <w:left w:w="90" w:type="dxa"/>
              <w:right w:w="90" w:type="dxa"/>
            </w:tcMar>
            <w:shd w:fill="333333"/>
          </w:tcPr>
          <w:p>
            <w:pPr>
              <w:spacing w:after="0" w:line="240" w:lineRule="auto"/>
            </w:pPr>
            <w:r>
              <w:rPr>
                <w:b/>
                <w:color w:val="FFFFFF"/>
                <w:sz w:val="20"/>
              </w:rPr>
              <w:t>Framework topic</w:t>
            </w:r>
          </w:p>
        </w:tc>
        <w:tc>
          <w:tcPr>
            <w:tcW w:type="dxa" w:w="6264"/>
            <w:vAlign w:val="center"/>
            <w:tcMar>
              <w:top w:w="90" w:type="dxa"/>
              <w:bottom w:w="90" w:type="dxa"/>
              <w:left w:w="90" w:type="dxa"/>
              <w:right w:w="90" w:type="dxa"/>
            </w:tcMar>
            <w:shd w:fill="333333"/>
          </w:tcPr>
          <w:p>
            <w:pPr>
              <w:spacing w:after="0" w:line="240" w:lineRule="auto"/>
            </w:pPr>
            <w:r>
              <w:rPr>
                <w:b/>
                <w:color w:val="FFFFFF"/>
                <w:sz w:val="20"/>
              </w:rPr>
              <w:t>Runbook evidence</w:t>
            </w:r>
          </w:p>
        </w:tc>
      </w:tr>
      <w:tr>
        <w:trPr>
          <w:cantSplit/>
        </w:trPr>
        <w:tc>
          <w:tcPr>
            <w:tcW w:type="dxa" w:w="3816"/>
            <w:vAlign w:val="center"/>
            <w:tcMar>
              <w:top w:w="90" w:type="dxa"/>
              <w:bottom w:w="90" w:type="dxa"/>
              <w:left w:w="90" w:type="dxa"/>
              <w:right w:w="90" w:type="dxa"/>
            </w:tcMar>
            <w:shd w:fill="FFFFFF"/>
          </w:tcPr>
          <w:p>
            <w:pPr>
              <w:spacing w:after="0" w:line="240" w:lineRule="auto"/>
            </w:pPr>
            <w:r>
              <w:rPr>
                <w:b w:val="0"/>
                <w:sz w:val="20"/>
              </w:rPr>
              <w:t>CAF business and people strategy</w:t>
            </w:r>
          </w:p>
        </w:tc>
        <w:tc>
          <w:tcPr>
            <w:tcW w:type="dxa" w:w="6264"/>
            <w:vAlign w:val="center"/>
            <w:tcMar>
              <w:top w:w="90" w:type="dxa"/>
              <w:bottom w:w="90" w:type="dxa"/>
              <w:left w:w="90" w:type="dxa"/>
              <w:right w:w="90" w:type="dxa"/>
            </w:tcMar>
            <w:shd w:fill="FFFFFF"/>
          </w:tcPr>
          <w:p>
            <w:pPr>
              <w:spacing w:after="0" w:line="240" w:lineRule="auto"/>
            </w:pPr>
            <w:r>
              <w:rPr>
                <w:b w:val="0"/>
                <w:sz w:val="20"/>
              </w:rPr>
              <w:t>Readiness approvals, funding cap, named owners and vendor handoffs</w:t>
            </w:r>
          </w:p>
        </w:tc>
      </w:tr>
      <w:tr>
        <w:trPr>
          <w:cantSplit/>
        </w:trPr>
        <w:tc>
          <w:tcPr>
            <w:tcW w:type="dxa" w:w="3816"/>
            <w:vAlign w:val="center"/>
            <w:tcMar>
              <w:top w:w="90" w:type="dxa"/>
              <w:bottom w:w="90" w:type="dxa"/>
              <w:left w:w="90" w:type="dxa"/>
              <w:right w:w="90" w:type="dxa"/>
            </w:tcMar>
            <w:shd w:fill="F4F4F4"/>
          </w:tcPr>
          <w:p>
            <w:pPr>
              <w:spacing w:after="0" w:line="240" w:lineRule="auto"/>
            </w:pPr>
            <w:r>
              <w:rPr>
                <w:b w:val="0"/>
                <w:sz w:val="20"/>
              </w:rPr>
              <w:t>CAF security and process design</w:t>
            </w:r>
          </w:p>
        </w:tc>
        <w:tc>
          <w:tcPr>
            <w:tcW w:type="dxa" w:w="6264"/>
            <w:vAlign w:val="center"/>
            <w:tcMar>
              <w:top w:w="90" w:type="dxa"/>
              <w:bottom w:w="90" w:type="dxa"/>
              <w:left w:w="90" w:type="dxa"/>
              <w:right w:w="90" w:type="dxa"/>
            </w:tcMar>
            <w:shd w:fill="F4F4F4"/>
          </w:tcPr>
          <w:p>
            <w:pPr>
              <w:spacing w:after="0" w:line="240" w:lineRule="auto"/>
            </w:pPr>
            <w:r>
              <w:rPr>
                <w:b w:val="0"/>
                <w:sz w:val="20"/>
              </w:rPr>
              <w:t>Access validation, change controls, incident handling and evidence retention</w:t>
            </w:r>
          </w:p>
        </w:tc>
      </w:tr>
      <w:tr>
        <w:trPr>
          <w:cantSplit/>
        </w:trPr>
        <w:tc>
          <w:tcPr>
            <w:tcW w:type="dxa" w:w="3816"/>
            <w:vAlign w:val="center"/>
            <w:tcMar>
              <w:top w:w="90" w:type="dxa"/>
              <w:bottom w:w="90" w:type="dxa"/>
              <w:left w:w="90" w:type="dxa"/>
              <w:right w:w="90" w:type="dxa"/>
            </w:tcMar>
            <w:shd w:fill="FFFFFF"/>
          </w:tcPr>
          <w:p>
            <w:pPr>
              <w:spacing w:after="0" w:line="240" w:lineRule="auto"/>
            </w:pPr>
            <w:r>
              <w:rPr>
                <w:b w:val="0"/>
                <w:sz w:val="20"/>
              </w:rPr>
              <w:t>CAF technology and operations</w:t>
            </w:r>
          </w:p>
        </w:tc>
        <w:tc>
          <w:tcPr>
            <w:tcW w:type="dxa" w:w="6264"/>
            <w:vAlign w:val="center"/>
            <w:tcMar>
              <w:top w:w="90" w:type="dxa"/>
              <w:bottom w:w="90" w:type="dxa"/>
              <w:left w:w="90" w:type="dxa"/>
              <w:right w:w="90" w:type="dxa"/>
            </w:tcMar>
            <w:shd w:fill="FFFFFF"/>
          </w:tcPr>
          <w:p>
            <w:pPr>
              <w:spacing w:after="0" w:line="240" w:lineRule="auto"/>
            </w:pPr>
            <w:r>
              <w:rPr>
                <w:b w:val="0"/>
                <w:sz w:val="20"/>
              </w:rPr>
              <w:t>Build records, health checks, tested recovery and handoff</w:t>
            </w:r>
          </w:p>
        </w:tc>
      </w:tr>
      <w:tr>
        <w:trPr>
          <w:cantSplit/>
        </w:trPr>
        <w:tc>
          <w:tcPr>
            <w:tcW w:type="dxa" w:w="3816"/>
            <w:vAlign w:val="center"/>
            <w:tcMar>
              <w:top w:w="90" w:type="dxa"/>
              <w:bottom w:w="90" w:type="dxa"/>
              <w:left w:w="90" w:type="dxa"/>
              <w:right w:w="90" w:type="dxa"/>
            </w:tcMar>
            <w:shd w:fill="F4F4F4"/>
          </w:tcPr>
          <w:p>
            <w:pPr>
              <w:spacing w:after="0" w:line="240" w:lineRule="auto"/>
            </w:pPr>
            <w:r>
              <w:rPr>
                <w:b w:val="0"/>
                <w:sz w:val="20"/>
              </w:rPr>
              <w:t>WAF security and compliance</w:t>
            </w:r>
          </w:p>
        </w:tc>
        <w:tc>
          <w:tcPr>
            <w:tcW w:type="dxa" w:w="6264"/>
            <w:vAlign w:val="center"/>
            <w:tcMar>
              <w:top w:w="90" w:type="dxa"/>
              <w:bottom w:w="90" w:type="dxa"/>
              <w:left w:w="90" w:type="dxa"/>
              <w:right w:w="90" w:type="dxa"/>
            </w:tcMar>
            <w:shd w:fill="F4F4F4"/>
          </w:tcPr>
          <w:p>
            <w:pPr>
              <w:spacing w:after="0" w:line="240" w:lineRule="auto"/>
            </w:pPr>
            <w:r>
              <w:rPr>
                <w:b w:val="0"/>
                <w:sz w:val="20"/>
              </w:rPr>
              <w:t>Least privilege, private paths, scans, audit and approved exceptions</w:t>
            </w:r>
          </w:p>
        </w:tc>
      </w:tr>
      <w:tr>
        <w:trPr>
          <w:cantSplit/>
        </w:trPr>
        <w:tc>
          <w:tcPr>
            <w:tcW w:type="dxa" w:w="3816"/>
            <w:vAlign w:val="center"/>
            <w:tcMar>
              <w:top w:w="90" w:type="dxa"/>
              <w:bottom w:w="90" w:type="dxa"/>
              <w:left w:w="90" w:type="dxa"/>
              <w:right w:w="90" w:type="dxa"/>
            </w:tcMar>
            <w:shd w:fill="FFFFFF"/>
          </w:tcPr>
          <w:p>
            <w:pPr>
              <w:spacing w:after="0" w:line="240" w:lineRule="auto"/>
            </w:pPr>
            <w:r>
              <w:rPr>
                <w:b w:val="0"/>
                <w:sz w:val="20"/>
              </w:rPr>
              <w:t>WAF reliability and resilience</w:t>
            </w:r>
          </w:p>
        </w:tc>
        <w:tc>
          <w:tcPr>
            <w:tcW w:type="dxa" w:w="6264"/>
            <w:vAlign w:val="center"/>
            <w:tcMar>
              <w:top w:w="90" w:type="dxa"/>
              <w:bottom w:w="90" w:type="dxa"/>
              <w:left w:w="90" w:type="dxa"/>
              <w:right w:w="90" w:type="dxa"/>
            </w:tcMar>
            <w:shd w:fill="FFFFFF"/>
          </w:tcPr>
          <w:p>
            <w:pPr>
              <w:spacing w:after="0" w:line="240" w:lineRule="auto"/>
            </w:pPr>
            <w:r>
              <w:rPr>
                <w:b w:val="0"/>
                <w:sz w:val="20"/>
              </w:rPr>
              <w:t>Restart/drain observations, consistent backup and restore proof</w:t>
            </w:r>
          </w:p>
        </w:tc>
      </w:tr>
      <w:tr>
        <w:trPr>
          <w:cantSplit/>
        </w:trPr>
        <w:tc>
          <w:tcPr>
            <w:tcW w:type="dxa" w:w="3816"/>
            <w:vAlign w:val="center"/>
            <w:tcMar>
              <w:top w:w="90" w:type="dxa"/>
              <w:bottom w:w="90" w:type="dxa"/>
              <w:left w:w="90" w:type="dxa"/>
              <w:right w:w="90" w:type="dxa"/>
            </w:tcMar>
            <w:shd w:fill="F4F4F4"/>
          </w:tcPr>
          <w:p>
            <w:pPr>
              <w:spacing w:after="0" w:line="240" w:lineRule="auto"/>
            </w:pPr>
            <w:r>
              <w:rPr>
                <w:b w:val="0"/>
                <w:sz w:val="20"/>
              </w:rPr>
              <w:t>WAF performance and cost optimization</w:t>
            </w:r>
          </w:p>
        </w:tc>
        <w:tc>
          <w:tcPr>
            <w:tcW w:type="dxa" w:w="6264"/>
            <w:vAlign w:val="center"/>
            <w:tcMar>
              <w:top w:w="90" w:type="dxa"/>
              <w:bottom w:w="90" w:type="dxa"/>
              <w:left w:w="90" w:type="dxa"/>
              <w:right w:w="90" w:type="dxa"/>
            </w:tcMar>
            <w:shd w:fill="F4F4F4"/>
          </w:tcPr>
          <w:p>
            <w:pPr>
              <w:spacing w:after="0" w:line="240" w:lineRule="auto"/>
            </w:pPr>
            <w:r>
              <w:rPr>
                <w:b w:val="0"/>
                <w:sz w:val="20"/>
              </w:rPr>
              <w:t>Repeated workload tests, utilization, measured consumption and sizing</w:t>
            </w:r>
          </w:p>
        </w:tc>
      </w:tr>
      <w:tr>
        <w:trPr>
          <w:cantSplit/>
        </w:trPr>
        <w:tc>
          <w:tcPr>
            <w:tcW w:type="dxa" w:w="3816"/>
            <w:vAlign w:val="center"/>
            <w:tcMar>
              <w:top w:w="90" w:type="dxa"/>
              <w:bottom w:w="90" w:type="dxa"/>
              <w:left w:w="90" w:type="dxa"/>
              <w:right w:w="90" w:type="dxa"/>
            </w:tcMar>
            <w:shd w:fill="FFFFFF"/>
          </w:tcPr>
          <w:p>
            <w:pPr>
              <w:spacing w:after="0" w:line="240" w:lineRule="auto"/>
            </w:pPr>
            <w:r>
              <w:rPr>
                <w:b w:val="0"/>
                <w:sz w:val="20"/>
              </w:rPr>
              <w:t>WAF operational efficiency</w:t>
            </w:r>
          </w:p>
        </w:tc>
        <w:tc>
          <w:tcPr>
            <w:tcW w:type="dxa" w:w="6264"/>
            <w:vAlign w:val="center"/>
            <w:tcMar>
              <w:top w:w="90" w:type="dxa"/>
              <w:bottom w:w="90" w:type="dxa"/>
              <w:left w:w="90" w:type="dxa"/>
              <w:right w:w="90" w:type="dxa"/>
            </w:tcMar>
            <w:shd w:fill="FFFFFF"/>
          </w:tcPr>
          <w:p>
            <w:pPr>
              <w:spacing w:after="0" w:line="240" w:lineRule="auto"/>
            </w:pPr>
            <w:r>
              <w:rPr>
                <w:b w:val="0"/>
                <w:sz w:val="20"/>
              </w:rPr>
              <w:t>Repeatable procedures, alerts, troubleshooting and second operator execution</w:t>
            </w:r>
          </w:p>
        </w:tc>
      </w:tr>
      <w:tr>
        <w:trPr>
          <w:cantSplit/>
        </w:trPr>
        <w:tc>
          <w:tcPr>
            <w:tcW w:type="dxa" w:w="3816"/>
            <w:vAlign w:val="center"/>
            <w:tcMar>
              <w:top w:w="90" w:type="dxa"/>
              <w:bottom w:w="90" w:type="dxa"/>
              <w:left w:w="90" w:type="dxa"/>
              <w:right w:w="90" w:type="dxa"/>
            </w:tcMar>
            <w:shd w:fill="F4F4F4"/>
          </w:tcPr>
          <w:p>
            <w:pPr>
              <w:spacing w:after="0" w:line="240" w:lineRule="auto"/>
            </w:pPr>
            <w:r>
              <w:rPr>
                <w:b w:val="0"/>
                <w:sz w:val="20"/>
              </w:rPr>
              <w:t>WAF distributed cloud</w:t>
            </w:r>
          </w:p>
        </w:tc>
        <w:tc>
          <w:tcPr>
            <w:tcW w:type="dxa" w:w="6264"/>
            <w:vAlign w:val="center"/>
            <w:tcMar>
              <w:top w:w="90" w:type="dxa"/>
              <w:bottom w:w="90" w:type="dxa"/>
              <w:left w:w="90" w:type="dxa"/>
              <w:right w:w="90" w:type="dxa"/>
            </w:tcMar>
            <w:shd w:fill="F4F4F4"/>
          </w:tcPr>
          <w:p>
            <w:pPr>
              <w:spacing w:after="0" w:line="240" w:lineRule="auto"/>
            </w:pPr>
            <w:r>
              <w:rPr>
                <w:b w:val="0"/>
                <w:sz w:val="20"/>
              </w:rPr>
              <w:t>Tested enterprise connectivity and controlled data exchange</w:t>
            </w:r>
          </w:p>
        </w:tc>
      </w:tr>
    </w:tbl>
    <w:p/>
    <w:p>
      <w:pPr>
        <w:pStyle w:val="Heading2"/>
      </w:pPr>
      <w:r>
        <w:t>Official reference procedures</w:t>
      </w:r>
    </w:p>
    <w:p>
      <w:r>
        <w:t>Reviewed September 11 2026. Check the selected release and OCI Government region before execution. Where a vendor support matrix differs from public guidance, obtain a written resolution before proceeding.</w:t>
      </w:r>
    </w:p>
    <w:p>
      <w:hyperlink r:id="rId10">
        <w:r>
          <w:t>R1 Oracle Cloud Adoption Framework</w:t>
        </w:r>
      </w:hyperlink>
    </w:p>
    <w:p>
      <w:hyperlink r:id="rId11">
        <w:r>
          <w:t>R2 OCI Well Architected Framework</w:t>
        </w:r>
      </w:hyperlink>
    </w:p>
    <w:p>
      <w:hyperlink r:id="rId12">
        <w:r>
          <w:t>R3 Accessing an OKE cluster using kubectl</w:t>
        </w:r>
      </w:hyperlink>
    </w:p>
    <w:p>
      <w:hyperlink r:id="rId13">
        <w:r>
          <w:t>R4 Creating Kubernetes clusters using Console workflows</w:t>
        </w:r>
      </w:hyperlink>
    </w:p>
    <w:p>
      <w:hyperlink r:id="rId14">
        <w:r>
          <w:t>R5 Running applications on GPU based OKE nodes</w:t>
        </w:r>
      </w:hyperlink>
    </w:p>
    <w:p>
      <w:hyperlink r:id="rId15">
        <w:r>
          <w:t>R6 Hyperscience Kubernetes installation overview</w:t>
        </w:r>
      </w:hyperlink>
    </w:p>
    <w:p>
      <w:hyperlink r:id="rId16">
        <w:r>
          <w:t>R7 DataWalk preparation for containers</w:t>
        </w:r>
      </w:hyperlink>
    </w:p>
    <w:p>
      <w:hyperlink r:id="rId17">
        <w:r>
          <w:t>R8 Kubernetes drain command reference</w:t>
        </w:r>
      </w:hyperlink>
    </w:p>
    <w:p>
      <w:r>
        <w:t>Release approval record: Runbook owner __________  Platform reviewer __________  Application reviewers __________  Security reviewer __________  Change ID __________  Approval date __________</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POC Runbook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oracle.com/en-us/iaas/Content/cloud-adoption-framework/home.htm" TargetMode="External"/><Relationship Id="rId11" Type="http://schemas.openxmlformats.org/officeDocument/2006/relationships/hyperlink" Target="https://docs.oracle.com/en/solutions/oci-best-practices/index.html" TargetMode="External"/><Relationship Id="rId12" Type="http://schemas.openxmlformats.org/officeDocument/2006/relationships/hyperlink" Target="https://docs.oracle.com/en-us/iaas/Content/ContEng/Tasks/contengaccessingclusterkubectl.htm" TargetMode="External"/><Relationship Id="rId13" Type="http://schemas.openxmlformats.org/officeDocument/2006/relationships/hyperlink" Target="https://docs.oracle.com/en-us/iaas/Content/ContEng/Tasks/contengcreatingclusterusingoke.htm" TargetMode="External"/><Relationship Id="rId14" Type="http://schemas.openxmlformats.org/officeDocument/2006/relationships/hyperlink" Target="https://docs.oracle.com/en-us/iaas/Content/ContEng/Tasks/contengrunninggpunodes.htm" TargetMode="External"/><Relationship Id="rId15" Type="http://schemas.openxmlformats.org/officeDocument/2006/relationships/hyperlink" Target="https://help.hyperscience.ai/deployment/docs/kubernetes-installation-overview" TargetMode="External"/><Relationship Id="rId16" Type="http://schemas.openxmlformats.org/officeDocument/2006/relationships/hyperlink" Target="https://datawalk.com/preparing-for-datawalk-on-containers/" TargetMode="External"/><Relationship Id="rId17" Type="http://schemas.openxmlformats.org/officeDocument/2006/relationships/hyperlink" Target="https://kubernetes.io/docs/reference/kubectl/generated/kubectl_dr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DataWalk and Hyperscience OCI POC Runbook</dc:title>
  <dc:subject>Operational procedures for the nonproduction OCI proof of concept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