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</w:pPr>
    </w:p>
    <w:p>
      <w:pPr>
        <w:spacing w:after="400"/>
      </w:pPr>
    </w:p>
    <w:p>
      <w:pPr>
        <w:spacing w:after="400"/>
      </w:pPr>
    </w:p>
    <w:p>
      <w:pPr>
        <w:spacing w:after="320"/>
        <w:jc w:val="center"/>
      </w:pPr>
      <w:r>
        <w:rPr>
          <w:rFonts w:ascii="Calibri" w:hAnsi="Calibri"/>
          <w:b/>
          <w:color w:val="2E74B5"/>
          <w:sz w:val="21"/>
        </w:rPr>
        <w:t>OCI GOVERNMENT CLOUD OPERATIONS RUNBOOK</w:t>
      </w:r>
    </w:p>
    <w:p>
      <w:pPr>
        <w:pStyle w:val="Title"/>
        <w:jc w:val="center"/>
      </w:pPr>
      <w:r>
        <w:rPr>
          <w:rFonts w:ascii="Calibri" w:hAnsi="Calibri"/>
          <w:b/>
          <w:color w:val="17365D"/>
          <w:sz w:val="58"/>
        </w:rPr>
        <w:t>EBLZ Logging Compartment and</w:t>
        <w:br/>
        <w:t>Object Storage Retention</w:t>
      </w:r>
    </w:p>
    <w:p>
      <w:pPr>
        <w:pStyle w:val="Subtitle"/>
        <w:jc w:val="center"/>
      </w:pPr>
      <w:r>
        <w:rPr>
          <w:rFonts w:ascii="Calibri" w:hAnsi="Calibri"/>
          <w:color w:val="5F6B7A"/>
          <w:sz w:val="28"/>
        </w:rPr>
        <w:t>Implementation, validation, locking, rollback and cost guide</w:t>
      </w:r>
    </w:p>
    <w:p>
      <w:pPr>
        <w:spacing w:after="3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060"/>
        <w:gridCol w:w="1600"/>
        <w:gridCol w:w="240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Document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Environment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Version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Date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Operations runbook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OCI Gov / us-langley-1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1.0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August 24, 2026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B1C1C"/>
              </w:rPr>
              <w:t xml:space="preserve">Permanent-control warning: </w:t>
            </w:r>
            <w:r>
              <w:rPr>
                <w:rFonts w:ascii="Calibri" w:hAnsi="Calibri"/>
                <w:color w:val="1F2937"/>
              </w:rPr>
              <w:t>Locking an Object Storage retention rule is irreversible. Use the unlocked test and 14-day approval process in this runbook before the lock becomes effective.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Purpose and approved design</w:t>
      </w:r>
    </w:p>
    <w:p>
      <w:r>
        <w:rPr>
          <w:b/>
        </w:rPr>
        <w:t xml:space="preserve">Purpose. </w:t>
      </w:r>
      <w:r>
        <w:t>Provide a deployable procedure for collecting OCI logs, delivering immutable evidence to Object Storage, applying a time-bound retention rule, controlling the permanent lock and estimating storage cost.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 xml:space="preserve">Scope decision: </w:t>
            </w:r>
            <w:r>
              <w:rPr>
                <w:rFonts w:ascii="Calibri" w:hAnsi="Calibri"/>
                <w:color w:val="1F2937"/>
              </w:rPr>
              <w:t>The compartment organizes logging resources. The retention rule is attached to the evidence bucket. The compartment itself cannot be retention-locked.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Decision area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Approved baseline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Identity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Keep the existing Default identity domain with ADFS and YubiKey integration. No separate domain is required for this control.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Compartment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Use EBLZ::VDMS::Logging as the administrative boundary.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Policy limit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Do not create policy object 101. Append statements to existing consolidated root policies and scope them to the Logging compartment.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Evidence storage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Use a private Object Storage bucket named eblz-security-evidence-worm.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Retention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Use a seven-year time-bound rule as the working baseline, subject to records-management approval.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Cost control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Keep recent objects in Standard and transition older objects to Archive after 90 days.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Locking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Create unlocked, test, obtain approvals, then schedule the permanent lock at least 14 days in advance.</w:t>
            </w:r>
          </w:p>
        </w:tc>
      </w:tr>
    </w:tbl>
    <w:p>
      <w:pPr>
        <w:spacing w:after="0"/>
      </w:pPr>
    </w:p>
    <w:p>
      <w:pPr>
        <w:pStyle w:val="Heading1"/>
      </w:pPr>
      <w:r>
        <w:t>2. Component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5220"/>
        <w:gridCol w:w="1620"/>
      </w:tblGrid>
      <w:tr>
        <w:trPr>
          <w:tblHeader w:val="true"/>
        </w:trPr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Component</w:t>
            </w:r>
          </w:p>
        </w:tc>
        <w:tc>
          <w:tcPr>
            <w:tcW w:type="dxa" w:w="52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Function</w:t>
            </w:r>
          </w:p>
        </w:tc>
        <w:tc>
          <w:tcPr>
            <w:tcW w:type="dxa" w:w="16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Retention locked?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EBLZ::VDMS::Logging</w:t>
            </w:r>
          </w:p>
        </w:tc>
        <w:tc>
          <w:tcPr>
            <w:tcW w:type="dxa" w:w="5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Compartment boundary for logs, connectors, buckets and alarms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No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OCI Logging</w:t>
            </w:r>
          </w:p>
        </w:tc>
        <w:tc>
          <w:tcPr>
            <w:tcW w:type="dxa" w:w="5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Searchable Audit, service, VCN, firewall and application logs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Not by Object Storage rules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Connector Hub</w:t>
            </w:r>
          </w:p>
        </w:tc>
        <w:tc>
          <w:tcPr>
            <w:tcW w:type="dxa" w:w="5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Transfers Logging data to Object Storage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No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Evidence bucket</w:t>
            </w:r>
          </w:p>
        </w:tc>
        <w:tc>
          <w:tcPr>
            <w:tcW w:type="dxa" w:w="5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Long-term evidence repository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Yes, through a bucket rule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Retention rule</w:t>
            </w:r>
          </w:p>
        </w:tc>
        <w:tc>
          <w:tcPr>
            <w:tcW w:type="dxa" w:w="5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Prevents object overwrite, metadata change and deletion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Yes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Lifecycle rule</w:t>
            </w:r>
          </w:p>
        </w:tc>
        <w:tc>
          <w:tcPr>
            <w:tcW w:type="dxa" w:w="5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Moves eligible objects to Archive and removes expired objects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No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IAM policy</w:t>
            </w:r>
          </w:p>
        </w:tc>
        <w:tc>
          <w:tcPr>
            <w:tcW w:type="dxa" w:w="5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Controls administrators, auditors and service principals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No</w:t>
            </w:r>
          </w:p>
        </w:tc>
      </w:tr>
    </w:tbl>
    <w:p>
      <w:pPr>
        <w:spacing w:after="0"/>
      </w:pPr>
    </w:p>
    <w:p>
      <w:r>
        <w:drawing>
          <wp:inline xmlns:a="http://schemas.openxmlformats.org/drawingml/2006/main" xmlns:pic="http://schemas.openxmlformats.org/drawingml/2006/picture">
            <wp:extent cx="5897880" cy="1793767"/>
            <wp:docPr id="1" name="Picture 1" descr="Flow from OCI Logging through Connector Hub to a retained evidence bucket and Archive tier inside the EBLZ VDMS Logging compart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ging-retention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93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F6B7A"/>
          <w:sz w:val="18"/>
        </w:rPr>
        <w:t>Figure 1. Recommended immutable logging evidence flow</w:t>
      </w:r>
    </w:p>
    <w:p>
      <w:pPr>
        <w:pStyle w:val="Heading1"/>
      </w:pPr>
      <w:r>
        <w:t>3. Pre-deployment inputs and approvals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Input</w:t>
            </w:r>
          </w:p>
        </w:tc>
        <w:tc>
          <w:tcPr>
            <w:tcW w:type="dxa" w:w="6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Value or owner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Region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us-langley-1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Logging compartment path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EBLZ::VDMS::Logging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Logging compartment OCID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&lt;LOGGING_COMPARTMENT_OCID&gt;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Connector compartment OCID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&lt;CONNECTOR_COMPARTMENT_OCID&gt;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Object Storage namespace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&lt;OBJECT_STORAGE_NAMESPACE&gt;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Evidence bucket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eblz-security-evidence-worm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Retention duration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7 years - confirm with records management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Lock approver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VDSS Security / Authorizing Official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Cost owner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FinOps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Evidence owner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Security Operations / Records Management</w:t>
            </w:r>
          </w:p>
        </w:tc>
      </w:tr>
    </w:tbl>
    <w:p>
      <w:pPr>
        <w:spacing w:after="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Confirm that the selected log sources are enabled and producing data.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Confirm expected daily ingestion in GB/day and the seven-year cost envelope.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Confirm the legal retention period, Archive restore objective and deletion rule after expiry.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Confirm break-glass administration through the existing Default identity domain.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Confirm that no application depends on object overwrite or versioning in the evidence bucket.</w:t>
      </w:r>
    </w:p>
    <w:p>
      <w:pPr>
        <w:pStyle w:val="Heading1"/>
      </w:pPr>
      <w:r>
        <w:t>4. IAM changes without creating policy object 101</w:t>
      </w:r>
    </w:p>
    <w:p>
      <w:r>
        <w:rPr>
          <w:b/>
        </w:rPr>
        <w:t xml:space="preserve">Implementation rule. </w:t>
      </w:r>
      <w:r>
        <w:t>Add these statements to existing consolidated root policy objects. Do not create a new policy object. Root attachment is acceptable because each statement is restricted to the nested Logging compartment or exact compartment OCID.</w:t>
      </w:r>
    </w:p>
    <w:p>
      <w:pPr>
        <w:pStyle w:val="Heading2"/>
      </w:pPr>
      <w:r>
        <w:t>4.1 Platform administration</w:t>
      </w:r>
    </w:p>
    <w:p>
      <w:pPr>
        <w:pStyle w:val="CodeBlock"/>
        <w:spacing w:before="80" w:after="0"/>
      </w:pPr>
      <w:r>
        <w:rPr>
          <w:rFonts w:ascii="Consolas" w:hAnsi="Consolas"/>
          <w:color w:val="1F2937"/>
          <w:sz w:val="16"/>
        </w:rPr>
        <w:t>Allow group 'Default'/'VDMS-Platform-Admins' to manage buckets in compartment EBLZ:VDMS:Logging where request.permission != 'RETENTION_RULE_LOCK'</w:t>
      </w:r>
    </w:p>
    <w:p>
      <w:pPr>
        <w:pStyle w:val="CodeBlock"/>
        <w:spacing w:before="0" w:after="0"/>
      </w:pPr>
      <w:r>
        <w:rPr>
          <w:rFonts w:ascii="Consolas" w:hAnsi="Consolas"/>
          <w:color w:val="1F2937"/>
          <w:sz w:val="16"/>
        </w:rPr>
      </w:r>
    </w:p>
    <w:p>
      <w:pPr>
        <w:pStyle w:val="CodeBlock"/>
        <w:spacing w:before="0" w:after="120"/>
      </w:pPr>
      <w:r>
        <w:rPr>
          <w:rFonts w:ascii="Consolas" w:hAnsi="Consolas"/>
          <w:color w:val="1F2937"/>
          <w:sz w:val="16"/>
        </w:rPr>
        <w:t>Allow group 'Default'/'VDMS-Platform-Admins' to manage objects in compartment EBLZ:VDMS:Logging</w:t>
      </w:r>
    </w:p>
    <w:p>
      <w:pPr>
        <w:pStyle w:val="Heading2"/>
      </w:pPr>
      <w:r>
        <w:t>4.2 Security approval and permanent locking</w:t>
      </w:r>
    </w:p>
    <w:p>
      <w:pPr>
        <w:pStyle w:val="CodeBlock"/>
        <w:spacing w:before="80" w:after="120"/>
      </w:pPr>
      <w:r>
        <w:rPr>
          <w:rFonts w:ascii="Consolas" w:hAnsi="Consolas"/>
          <w:color w:val="1F2937"/>
          <w:sz w:val="16"/>
        </w:rPr>
        <w:t>Allow group 'Default'/'VDSS-Security-Admins' to manage buckets in compartment EBLZ:VDMS:Logging where any {request.permission='BUCKET_UPDATE', request.permission='RETENTION_RULE_MANAGE', request.permission='RETENTION_RULE_LOCK'}</w:t>
      </w:r>
    </w:p>
    <w:p>
      <w:pPr>
        <w:pStyle w:val="Heading2"/>
      </w:pPr>
      <w:r>
        <w:t>4.3 Auditor read access</w:t>
      </w:r>
    </w:p>
    <w:p>
      <w:pPr>
        <w:pStyle w:val="CodeBlock"/>
        <w:spacing w:before="80" w:after="0"/>
      </w:pPr>
      <w:r>
        <w:rPr>
          <w:rFonts w:ascii="Consolas" w:hAnsi="Consolas"/>
          <w:color w:val="1F2937"/>
          <w:sz w:val="16"/>
        </w:rPr>
        <w:t>Allow group 'Default'/'Security-Auditors' to read buckets in compartment EBLZ:VDMS:Logging</w:t>
      </w:r>
    </w:p>
    <w:p>
      <w:pPr>
        <w:pStyle w:val="CodeBlock"/>
        <w:spacing w:before="0" w:after="0"/>
      </w:pPr>
      <w:r>
        <w:rPr>
          <w:rFonts w:ascii="Consolas" w:hAnsi="Consolas"/>
          <w:color w:val="1F2937"/>
          <w:sz w:val="16"/>
        </w:rPr>
      </w:r>
    </w:p>
    <w:p>
      <w:pPr>
        <w:pStyle w:val="CodeBlock"/>
        <w:spacing w:before="0" w:after="120"/>
      </w:pPr>
      <w:r>
        <w:rPr>
          <w:rFonts w:ascii="Consolas" w:hAnsi="Consolas"/>
          <w:color w:val="1F2937"/>
          <w:sz w:val="16"/>
        </w:rPr>
        <w:t>Allow group 'Default'/'Security-Auditors' to read objects in compartment EBLZ:VDMS:Logging</w:t>
      </w:r>
    </w:p>
    <w:p>
      <w:pPr>
        <w:pStyle w:val="Heading2"/>
      </w:pPr>
      <w:r>
        <w:t>4.4 Connector Hub write-only access</w:t>
      </w:r>
    </w:p>
    <w:p>
      <w:pPr>
        <w:pStyle w:val="CodeBlock"/>
        <w:spacing w:before="80" w:after="0"/>
      </w:pPr>
      <w:r>
        <w:rPr>
          <w:rFonts w:ascii="Consolas" w:hAnsi="Consolas"/>
          <w:color w:val="1F2937"/>
          <w:sz w:val="16"/>
        </w:rPr>
        <w:t>Allow any-user to manage objects in compartment id &lt;LOGGING_COMPARTMENT_OCID&gt;</w:t>
      </w:r>
    </w:p>
    <w:p>
      <w:pPr>
        <w:pStyle w:val="CodeBlock"/>
        <w:spacing w:before="0" w:after="0"/>
      </w:pPr>
      <w:r>
        <w:rPr>
          <w:rFonts w:ascii="Consolas" w:hAnsi="Consolas"/>
          <w:color w:val="1F2937"/>
          <w:sz w:val="16"/>
        </w:rPr>
        <w:t>where all {</w:t>
      </w:r>
    </w:p>
    <w:p>
      <w:pPr>
        <w:pStyle w:val="CodeBlock"/>
        <w:spacing w:before="0" w:after="0"/>
      </w:pPr>
      <w:r>
        <w:rPr>
          <w:rFonts w:ascii="Consolas" w:hAnsi="Consolas"/>
          <w:color w:val="1F2937"/>
          <w:sz w:val="16"/>
        </w:rPr>
        <w:t xml:space="preserve">  request.principal.type='serviceconnector',</w:t>
      </w:r>
    </w:p>
    <w:p>
      <w:pPr>
        <w:pStyle w:val="CodeBlock"/>
        <w:spacing w:before="0" w:after="0"/>
      </w:pPr>
      <w:r>
        <w:rPr>
          <w:rFonts w:ascii="Consolas" w:hAnsi="Consolas"/>
          <w:color w:val="1F2937"/>
          <w:sz w:val="16"/>
        </w:rPr>
        <w:t xml:space="preserve">  request.principal.compartment.id='&lt;CONNECTOR_COMPARTMENT_OCID&gt;',</w:t>
      </w:r>
    </w:p>
    <w:p>
      <w:pPr>
        <w:pStyle w:val="CodeBlock"/>
        <w:spacing w:before="0" w:after="0"/>
      </w:pPr>
      <w:r>
        <w:rPr>
          <w:rFonts w:ascii="Consolas" w:hAnsi="Consolas"/>
          <w:color w:val="1F2937"/>
          <w:sz w:val="16"/>
        </w:rPr>
        <w:t xml:space="preserve">  target.bucket.name='eblz-security-evidence-worm',</w:t>
      </w:r>
    </w:p>
    <w:p>
      <w:pPr>
        <w:pStyle w:val="CodeBlock"/>
        <w:spacing w:before="0" w:after="0"/>
      </w:pPr>
      <w:r>
        <w:rPr>
          <w:rFonts w:ascii="Consolas" w:hAnsi="Consolas"/>
          <w:color w:val="1F2937"/>
          <w:sz w:val="16"/>
        </w:rPr>
        <w:t xml:space="preserve">  any {</w:t>
      </w:r>
    </w:p>
    <w:p>
      <w:pPr>
        <w:pStyle w:val="CodeBlock"/>
        <w:spacing w:before="0" w:after="0"/>
      </w:pPr>
      <w:r>
        <w:rPr>
          <w:rFonts w:ascii="Consolas" w:hAnsi="Consolas"/>
          <w:color w:val="1F2937"/>
          <w:sz w:val="16"/>
        </w:rPr>
        <w:t xml:space="preserve">    request.permission='OBJECT_CREATE',</w:t>
      </w:r>
    </w:p>
    <w:p>
      <w:pPr>
        <w:pStyle w:val="CodeBlock"/>
        <w:spacing w:before="0" w:after="0"/>
      </w:pPr>
      <w:r>
        <w:rPr>
          <w:rFonts w:ascii="Consolas" w:hAnsi="Consolas"/>
          <w:color w:val="1F2937"/>
          <w:sz w:val="16"/>
        </w:rPr>
        <w:t xml:space="preserve">    request.permission='OBJECT_INSPECT'</w:t>
      </w:r>
    </w:p>
    <w:p>
      <w:pPr>
        <w:pStyle w:val="CodeBlock"/>
        <w:spacing w:before="0" w:after="0"/>
      </w:pPr>
      <w:r>
        <w:rPr>
          <w:rFonts w:ascii="Consolas" w:hAnsi="Consolas"/>
          <w:color w:val="1F2937"/>
          <w:sz w:val="16"/>
        </w:rPr>
        <w:t xml:space="preserve">  }</w:t>
      </w:r>
    </w:p>
    <w:p>
      <w:pPr>
        <w:pStyle w:val="CodeBlock"/>
        <w:spacing w:before="0" w:after="120"/>
      </w:pPr>
      <w:r>
        <w:rPr>
          <w:rFonts w:ascii="Consolas" w:hAnsi="Consolas"/>
          <w:color w:val="1F2937"/>
          <w:sz w:val="16"/>
        </w:rPr>
        <w:t>}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</w:rPr>
              <w:t xml:space="preserve">Policy validation: </w:t>
            </w:r>
            <w:r>
              <w:rPr>
                <w:rFonts w:ascii="Calibri" w:hAnsi="Calibri"/>
                <w:color w:val="1F2937"/>
              </w:rPr>
              <w:t>Replace every placeholder and validate the statements in a non-production compartment before deployment. The retention-lock operation requires BUCKET_UPDATE, RETENTION_RULE_MANAGE and RETENTION_RULE_LOCK.</w:t>
            </w:r>
          </w:p>
        </w:tc>
      </w:tr>
    </w:tbl>
    <w:p>
      <w:pPr>
        <w:spacing w:after="0"/>
      </w:pPr>
    </w:p>
    <w:p>
      <w:pPr>
        <w:pStyle w:val="Heading1"/>
      </w:pPr>
      <w:r>
        <w:t>5. Implementation procedure</w:t>
      </w:r>
    </w:p>
    <w:p>
      <w:pPr>
        <w:pStyle w:val="Heading2"/>
      </w:pPr>
      <w:r>
        <w:t>Phase 1 - Create the dedicated Logging compartment</w:t>
      </w:r>
    </w:p>
    <w:p>
      <w:pPr>
        <w:numPr>
          <w:ilvl w:val="0"/>
          <w:numId w:val="11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Open Identity and Security &gt; Compartments.</w:t>
      </w:r>
    </w:p>
    <w:p>
      <w:pPr>
        <w:numPr>
          <w:ilvl w:val="0"/>
          <w:numId w:val="11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Select the VDMS compartment</w:t>
      </w:r>
      <w:r>
        <w:rPr>
          <w:rFonts w:ascii="Calibri" w:hAnsi="Calibri"/>
        </w:rPr>
        <w:t xml:space="preserve"> - The full parent path is EBLZ::VDMS.</w:t>
      </w:r>
    </w:p>
    <w:p>
      <w:pPr>
        <w:numPr>
          <w:ilvl w:val="0"/>
          <w:numId w:val="11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Create the child compartment</w:t>
      </w:r>
      <w:r>
        <w:rPr>
          <w:rFonts w:ascii="Calibri" w:hAnsi="Calibri"/>
        </w:rPr>
        <w:t xml:space="preserve"> - Name it Logging and provide the approved description and tags.</w:t>
      </w:r>
    </w:p>
    <w:p>
      <w:pPr>
        <w:numPr>
          <w:ilvl w:val="0"/>
          <w:numId w:val="11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Record the compartment OCID</w:t>
      </w:r>
      <w:r>
        <w:rPr>
          <w:rFonts w:ascii="Calibri" w:hAnsi="Calibri"/>
        </w:rPr>
        <w:t xml:space="preserve"> - Use it in Connector Hub and IAM statements.</w:t>
      </w:r>
    </w:p>
    <w:p>
      <w:pPr>
        <w:numPr>
          <w:ilvl w:val="0"/>
          <w:numId w:val="11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Verify tenancy guardrails</w:t>
      </w:r>
      <w:r>
        <w:rPr>
          <w:rFonts w:ascii="Calibri" w:hAnsi="Calibri"/>
        </w:rPr>
        <w:t xml:space="preserve"> - Confirm quotas, budget, tag defaults and administrator access.</w:t>
      </w:r>
    </w:p>
    <w:p>
      <w:r>
        <w:rPr>
          <w:b/>
        </w:rPr>
        <w:t xml:space="preserve">CD3 entry: </w:t>
      </w:r>
      <w:r>
        <w:t>In the Compartments sheet, use Name = Logging and Parent = EBLZ::VDMS. Do not place a full path in the Name column.</w:t>
      </w:r>
    </w:p>
    <w:p>
      <w:pPr>
        <w:pStyle w:val="Heading2"/>
      </w:pPr>
      <w:r>
        <w:t>Phase 2 - Create the evidence bucket</w:t>
      </w:r>
    </w:p>
    <w:p>
      <w:pPr>
        <w:numPr>
          <w:ilvl w:val="0"/>
          <w:numId w:val="12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Open Storage &gt; Object Storage &amp; Archive Storage &gt; Buckets.</w:t>
      </w:r>
    </w:p>
    <w:p>
      <w:pPr>
        <w:numPr>
          <w:ilvl w:val="0"/>
          <w:numId w:val="12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Select EBLZ::VDMS::Logging.</w:t>
      </w:r>
    </w:p>
    <w:p>
      <w:pPr>
        <w:numPr>
          <w:ilvl w:val="0"/>
          <w:numId w:val="12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Create eblz-security-evidence-worm.</w:t>
      </w:r>
    </w:p>
    <w:p>
      <w:pPr>
        <w:numPr>
          <w:ilvl w:val="0"/>
          <w:numId w:val="12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Set visibility to Private and disable public access.</w:t>
      </w:r>
    </w:p>
    <w:p>
      <w:pPr>
        <w:numPr>
          <w:ilvl w:val="0"/>
          <w:numId w:val="12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Keep versioning Disabled</w:t>
      </w:r>
      <w:r>
        <w:rPr>
          <w:rFonts w:ascii="Calibri" w:hAnsi="Calibri"/>
        </w:rPr>
        <w:t xml:space="preserve"> - If reusing a bucket, suspend versioning before retention is added.</w:t>
      </w:r>
    </w:p>
    <w:p>
      <w:pPr>
        <w:numPr>
          <w:ilvl w:val="0"/>
          <w:numId w:val="12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Select Standard storage</w:t>
      </w:r>
      <w:r>
        <w:rPr>
          <w:rFonts w:ascii="Calibri" w:hAnsi="Calibri"/>
        </w:rPr>
        <w:t xml:space="preserve"> - Use the approved Oracle-managed or standard Vault encryption key.</w:t>
      </w:r>
    </w:p>
    <w:p>
      <w:pPr>
        <w:numPr>
          <w:ilvl w:val="0"/>
          <w:numId w:val="12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Do not create PAR URLs</w:t>
      </w:r>
      <w:r>
        <w:rPr>
          <w:rFonts w:ascii="Calibri" w:hAnsi="Calibri"/>
        </w:rPr>
        <w:t xml:space="preserve"> - The evidence path must use authenticated access.</w:t>
      </w:r>
    </w:p>
    <w:p>
      <w:pPr>
        <w:numPr>
          <w:ilvl w:val="0"/>
          <w:numId w:val="12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Record the namespace and bucket details.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Bucket setting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Required baseline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Name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eblz-security-evidence-worm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Compartment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EBLZ::VDMS::Logging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Visibility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Private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Versioning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Disabled or Suspended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Default tier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Standard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Public access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Disabled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Pre-authenticated requests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None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Retention lock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Not during initial creation</w:t>
            </w:r>
          </w:p>
        </w:tc>
      </w:tr>
    </w:tbl>
    <w:p>
      <w:pPr>
        <w:spacing w:after="0"/>
      </w:pPr>
    </w:p>
    <w:p>
      <w:pPr>
        <w:pStyle w:val="Heading2"/>
      </w:pPr>
      <w:r>
        <w:t>Phase 3 - Configure Logging delivery</w:t>
      </w:r>
    </w:p>
    <w:p>
      <w:pPr>
        <w:numPr>
          <w:ilvl w:val="0"/>
          <w:numId w:val="13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Enable approved logs</w:t>
      </w:r>
      <w:r>
        <w:rPr>
          <w:rFonts w:ascii="Calibri" w:hAnsi="Calibri"/>
        </w:rPr>
        <w:t xml:space="preserve"> - Include Audit, VCN flow, Network Firewall, WAF, Vault, IAM and application logs as applicable.</w:t>
      </w:r>
    </w:p>
    <w:p>
      <w:pPr>
        <w:numPr>
          <w:ilvl w:val="0"/>
          <w:numId w:val="13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Open Observability and Management &gt; Connector Hub.</w:t>
      </w:r>
    </w:p>
    <w:p>
      <w:pPr>
        <w:numPr>
          <w:ilvl w:val="0"/>
          <w:numId w:val="13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Create a connector in EBLZ::VDMS::Logging.</w:t>
      </w:r>
    </w:p>
    <w:p>
      <w:pPr>
        <w:numPr>
          <w:ilvl w:val="0"/>
          <w:numId w:val="13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Choose Logging as the source.</w:t>
      </w:r>
    </w:p>
    <w:p>
      <w:pPr>
        <w:numPr>
          <w:ilvl w:val="0"/>
          <w:numId w:val="13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Select the approved log groups and logs.</w:t>
      </w:r>
    </w:p>
    <w:p>
      <w:pPr>
        <w:numPr>
          <w:ilvl w:val="0"/>
          <w:numId w:val="13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Choose Object Storage as the target.</w:t>
      </w:r>
    </w:p>
    <w:p>
      <w:pPr>
        <w:numPr>
          <w:ilvl w:val="0"/>
          <w:numId w:val="13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Select eblz-security-evidence-worm.</w:t>
      </w:r>
    </w:p>
    <w:p>
      <w:pPr>
        <w:numPr>
          <w:ilvl w:val="0"/>
          <w:numId w:val="13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Activate the connector and enable connector logs.</w:t>
      </w:r>
    </w:p>
    <w:p>
      <w:pPr>
        <w:numPr>
          <w:ilvl w:val="0"/>
          <w:numId w:val="13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Verify new uniquely named objects arrive before adding retention.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</w:rPr>
              <w:t xml:space="preserve">Delivery gap risk: </w:t>
            </w:r>
            <w:r>
              <w:rPr>
                <w:rFonts w:ascii="Calibri" w:hAnsi="Calibri"/>
                <w:color w:val="1F2937"/>
              </w:rPr>
              <w:t>Connector Hub retains Logging source data for a limited delivery window. Configure alarms for repeated failures and investigate immediately.</w:t>
            </w:r>
          </w:p>
        </w:tc>
      </w:tr>
    </w:tbl>
    <w:p>
      <w:pPr>
        <w:spacing w:after="0"/>
      </w:pPr>
    </w:p>
    <w:p>
      <w:pPr>
        <w:pStyle w:val="Heading2"/>
      </w:pPr>
      <w:r>
        <w:t>Phase 4 - Test the pipeline before retention</w:t>
      </w:r>
    </w:p>
    <w:p>
      <w:pPr>
        <w:numPr>
          <w:ilvl w:val="0"/>
          <w:numId w:val="14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Generate a known test event.</w:t>
      </w:r>
    </w:p>
    <w:p>
      <w:pPr>
        <w:numPr>
          <w:ilvl w:val="0"/>
          <w:numId w:val="14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Confirm the event appears in OCI Logging.</w:t>
      </w:r>
    </w:p>
    <w:p>
      <w:pPr>
        <w:numPr>
          <w:ilvl w:val="0"/>
          <w:numId w:val="14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Confirm Connector Hub writes a corresponding object.</w:t>
      </w:r>
    </w:p>
    <w:p>
      <w:pPr>
        <w:numPr>
          <w:ilvl w:val="0"/>
          <w:numId w:val="14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Download and validate the object as Security-Auditors.</w:t>
      </w:r>
    </w:p>
    <w:p>
      <w:pPr>
        <w:numPr>
          <w:ilvl w:val="0"/>
          <w:numId w:val="14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Confirm VDMS-Platform-Admins can administer the bucket.</w:t>
      </w:r>
    </w:p>
    <w:p>
      <w:pPr>
        <w:numPr>
          <w:ilvl w:val="0"/>
          <w:numId w:val="14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Confirm unauthorised users cannot list or read evidence.</w:t>
      </w:r>
    </w:p>
    <w:p>
      <w:pPr>
        <w:numPr>
          <w:ilvl w:val="0"/>
          <w:numId w:val="14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Save screenshots, object name, timestamps and connector status as evidence.</w:t>
      </w:r>
    </w:p>
    <w:p>
      <w:pPr>
        <w:pStyle w:val="Heading2"/>
      </w:pPr>
      <w:r>
        <w:t>Phase 5 - Create the retention rule unlocked</w:t>
      </w:r>
    </w:p>
    <w:p>
      <w:pPr>
        <w:numPr>
          <w:ilvl w:val="0"/>
          <w:numId w:val="15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Open the bucket and select Policies.</w:t>
      </w:r>
    </w:p>
    <w:p>
      <w:pPr>
        <w:numPr>
          <w:ilvl w:val="0"/>
          <w:numId w:val="15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Locate Retention rules and select Create rule.</w:t>
      </w:r>
    </w:p>
    <w:p>
      <w:pPr>
        <w:numPr>
          <w:ilvl w:val="0"/>
          <w:numId w:val="15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Choose Time-bound.</w:t>
      </w:r>
    </w:p>
    <w:p>
      <w:pPr>
        <w:numPr>
          <w:ilvl w:val="0"/>
          <w:numId w:val="15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Enter 7 Years</w:t>
      </w:r>
      <w:r>
        <w:rPr>
          <w:rFonts w:ascii="Calibri" w:hAnsi="Calibri"/>
        </w:rPr>
        <w:t xml:space="preserve"> - Replace this value if records management approves a different duration.</w:t>
      </w:r>
    </w:p>
    <w:p>
      <w:pPr>
        <w:numPr>
          <w:ilvl w:val="0"/>
          <w:numId w:val="15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Leave Enable retention rule lock unchecked.</w:t>
      </w:r>
    </w:p>
    <w:p>
      <w:pPr>
        <w:numPr>
          <w:ilvl w:val="0"/>
          <w:numId w:val="15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Create the rule</w:t>
      </w:r>
      <w:r>
        <w:rPr>
          <w:rFonts w:ascii="Calibri" w:hAnsi="Calibri"/>
        </w:rPr>
        <w:t xml:space="preserve"> - It becomes active immediately even though it is still editable.</w:t>
      </w:r>
    </w:p>
    <w:p>
      <w:pPr>
        <w:pStyle w:val="CodeBlock"/>
        <w:spacing w:before="80" w:after="0"/>
      </w:pPr>
      <w:r>
        <w:rPr>
          <w:rFonts w:ascii="Consolas" w:hAnsi="Consolas"/>
          <w:color w:val="1F2937"/>
          <w:sz w:val="16"/>
        </w:rPr>
        <w:t>oci os retention-rule create \</w:t>
      </w:r>
    </w:p>
    <w:p>
      <w:pPr>
        <w:pStyle w:val="CodeBlock"/>
        <w:spacing w:before="0" w:after="0"/>
      </w:pPr>
      <w:r>
        <w:rPr>
          <w:rFonts w:ascii="Consolas" w:hAnsi="Consolas"/>
          <w:color w:val="1F2937"/>
          <w:sz w:val="16"/>
        </w:rPr>
        <w:t xml:space="preserve">  --namespace-name &lt;OBJECT_STORAGE_NAMESPACE&gt; \</w:t>
      </w:r>
    </w:p>
    <w:p>
      <w:pPr>
        <w:pStyle w:val="CodeBlock"/>
        <w:spacing w:before="0" w:after="0"/>
      </w:pPr>
      <w:r>
        <w:rPr>
          <w:rFonts w:ascii="Consolas" w:hAnsi="Consolas"/>
          <w:color w:val="1F2937"/>
          <w:sz w:val="16"/>
        </w:rPr>
        <w:t xml:space="preserve">  --bucket-name eblz-security-evidence-worm \</w:t>
      </w:r>
    </w:p>
    <w:p>
      <w:pPr>
        <w:pStyle w:val="CodeBlock"/>
        <w:spacing w:before="0" w:after="0"/>
      </w:pPr>
      <w:r>
        <w:rPr>
          <w:rFonts w:ascii="Consolas" w:hAnsi="Consolas"/>
          <w:color w:val="1F2937"/>
          <w:sz w:val="16"/>
        </w:rPr>
        <w:t xml:space="preserve">  --display-name seven-year-security-evidence \</w:t>
      </w:r>
    </w:p>
    <w:p>
      <w:pPr>
        <w:pStyle w:val="CodeBlock"/>
        <w:spacing w:before="0" w:after="0"/>
      </w:pPr>
      <w:r>
        <w:rPr>
          <w:rFonts w:ascii="Consolas" w:hAnsi="Consolas"/>
          <w:color w:val="1F2937"/>
          <w:sz w:val="16"/>
        </w:rPr>
        <w:t xml:space="preserve">  --time-amount 7 \</w:t>
      </w:r>
    </w:p>
    <w:p>
      <w:pPr>
        <w:pStyle w:val="CodeBlock"/>
        <w:spacing w:before="0" w:after="0"/>
      </w:pPr>
      <w:r>
        <w:rPr>
          <w:rFonts w:ascii="Consolas" w:hAnsi="Consolas"/>
          <w:color w:val="1F2937"/>
          <w:sz w:val="16"/>
        </w:rPr>
        <w:t xml:space="preserve">  --time-unit YEARS \</w:t>
      </w:r>
    </w:p>
    <w:p>
      <w:pPr>
        <w:pStyle w:val="CodeBlock"/>
        <w:spacing w:before="0" w:after="120"/>
      </w:pPr>
      <w:r>
        <w:rPr>
          <w:rFonts w:ascii="Consolas" w:hAnsi="Consolas"/>
          <w:color w:val="1F2937"/>
          <w:sz w:val="16"/>
        </w:rPr>
        <w:t xml:space="preserve">  --region us-langley-1</w:t>
      </w:r>
    </w:p>
    <w:p>
      <w:pPr>
        <w:pStyle w:val="Heading2"/>
      </w:pPr>
      <w:r>
        <w:t>Phase 6 - Validate the active unlocked rule</w:t>
      </w:r>
    </w:p>
    <w:p>
      <w:pPr>
        <w:numPr>
          <w:ilvl w:val="0"/>
          <w:numId w:val="16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Upload a new test object.</w:t>
      </w:r>
    </w:p>
    <w:p>
      <w:pPr>
        <w:numPr>
          <w:ilvl w:val="0"/>
          <w:numId w:val="16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Confirm read and download succeed.</w:t>
      </w:r>
    </w:p>
    <w:p>
      <w:pPr>
        <w:numPr>
          <w:ilvl w:val="0"/>
          <w:numId w:val="16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Attempt to overwrite the object</w:t>
      </w:r>
      <w:r>
        <w:rPr>
          <w:rFonts w:ascii="Calibri" w:hAnsi="Calibri"/>
        </w:rPr>
        <w:t xml:space="preserve"> - The operation must fail.</w:t>
      </w:r>
    </w:p>
    <w:p>
      <w:pPr>
        <w:numPr>
          <w:ilvl w:val="0"/>
          <w:numId w:val="16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Attempt to modify object metadata</w:t>
      </w:r>
      <w:r>
        <w:rPr>
          <w:rFonts w:ascii="Calibri" w:hAnsi="Calibri"/>
        </w:rPr>
        <w:t xml:space="preserve"> - The operation must fail.</w:t>
      </w:r>
    </w:p>
    <w:p>
      <w:pPr>
        <w:numPr>
          <w:ilvl w:val="0"/>
          <w:numId w:val="16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Attempt to delete the object</w:t>
      </w:r>
      <w:r>
        <w:rPr>
          <w:rFonts w:ascii="Calibri" w:hAnsi="Calibri"/>
        </w:rPr>
        <w:t xml:space="preserve"> - The operation must fail.</w:t>
      </w:r>
    </w:p>
    <w:p>
      <w:pPr>
        <w:numPr>
          <w:ilvl w:val="0"/>
          <w:numId w:val="16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Confirm Connector Hub can continue writing new objects.</w:t>
      </w:r>
    </w:p>
    <w:p>
      <w:pPr>
        <w:numPr>
          <w:ilvl w:val="0"/>
          <w:numId w:val="16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Confirm the unlocked rule can still be corrected or deleted by an approved administrator.</w:t>
      </w:r>
    </w:p>
    <w:p>
      <w:pPr>
        <w:numPr>
          <w:ilvl w:val="0"/>
          <w:numId w:val="16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Record the retention rule ID and validation evidence.</w:t>
      </w:r>
    </w:p>
    <w:p>
      <w:pPr>
        <w:pStyle w:val="CodeBlock"/>
        <w:spacing w:before="80" w:after="0"/>
      </w:pPr>
      <w:r>
        <w:rPr>
          <w:rFonts w:ascii="Consolas" w:hAnsi="Consolas"/>
          <w:color w:val="1F2937"/>
          <w:sz w:val="16"/>
        </w:rPr>
        <w:t>oci os retention-rule list \</w:t>
      </w:r>
    </w:p>
    <w:p>
      <w:pPr>
        <w:pStyle w:val="CodeBlock"/>
        <w:spacing w:before="0" w:after="0"/>
      </w:pPr>
      <w:r>
        <w:rPr>
          <w:rFonts w:ascii="Consolas" w:hAnsi="Consolas"/>
          <w:color w:val="1F2937"/>
          <w:sz w:val="16"/>
        </w:rPr>
        <w:t xml:space="preserve">  --namespace-name &lt;OBJECT_STORAGE_NAMESPACE&gt; \</w:t>
      </w:r>
    </w:p>
    <w:p>
      <w:pPr>
        <w:pStyle w:val="CodeBlock"/>
        <w:spacing w:before="0" w:after="0"/>
      </w:pPr>
      <w:r>
        <w:rPr>
          <w:rFonts w:ascii="Consolas" w:hAnsi="Consolas"/>
          <w:color w:val="1F2937"/>
          <w:sz w:val="16"/>
        </w:rPr>
        <w:t xml:space="preserve">  --bucket-name eblz-security-evidence-worm \</w:t>
      </w:r>
    </w:p>
    <w:p>
      <w:pPr>
        <w:pStyle w:val="CodeBlock"/>
        <w:spacing w:before="0" w:after="120"/>
      </w:pPr>
      <w:r>
        <w:rPr>
          <w:rFonts w:ascii="Consolas" w:hAnsi="Consolas"/>
          <w:color w:val="1F2937"/>
          <w:sz w:val="16"/>
        </w:rPr>
        <w:t xml:space="preserve">  --region us-langley-1</w:t>
      </w:r>
    </w:p>
    <w:p>
      <w:pPr>
        <w:pStyle w:val="Heading2"/>
      </w:pPr>
      <w:r>
        <w:t>Phase 7 - Configure lifecycle cost control</w:t>
      </w:r>
    </w:p>
    <w:p>
      <w:pPr>
        <w:numPr>
          <w:ilvl w:val="0"/>
          <w:numId w:val="17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Open the bucket's Lifecycle policy rules.</w:t>
      </w:r>
    </w:p>
    <w:p>
      <w:pPr>
        <w:numPr>
          <w:ilvl w:val="0"/>
          <w:numId w:val="17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Create a transition rule for objects older than 90 days.</w:t>
      </w:r>
    </w:p>
    <w:p>
      <w:pPr>
        <w:numPr>
          <w:ilvl w:val="0"/>
          <w:numId w:val="17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Select Move to Archive as the action.</w:t>
      </w:r>
    </w:p>
    <w:p>
      <w:pPr>
        <w:numPr>
          <w:ilvl w:val="0"/>
          <w:numId w:val="17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Apply the rule to the approved object scope.</w:t>
      </w:r>
    </w:p>
    <w:p>
      <w:pPr>
        <w:numPr>
          <w:ilvl w:val="0"/>
          <w:numId w:val="17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Optionally configure deletion after retention expiry plus a compliance buffer.</w:t>
      </w:r>
    </w:p>
    <w:p>
      <w:pPr>
        <w:numPr>
          <w:ilvl w:val="0"/>
          <w:numId w:val="17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Test Archive restore and record recovery time.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 xml:space="preserve">Lifecycle interaction: </w:t>
            </w:r>
            <w:r>
              <w:rPr>
                <w:rFonts w:ascii="Calibri" w:hAnsi="Calibri"/>
                <w:color w:val="1F2937"/>
              </w:rPr>
              <w:t>Lifecycle can change the storage tier of retained objects. It cannot delete an object while the retention period is active.</w:t>
            </w:r>
          </w:p>
        </w:tc>
      </w:tr>
    </w:tbl>
    <w:p>
      <w:pPr>
        <w:spacing w:after="0"/>
      </w:pPr>
    </w:p>
    <w:p>
      <w:pPr>
        <w:pStyle w:val="Heading2"/>
      </w:pPr>
      <w:r>
        <w:t>Phase 8 - Approve and schedule the permanent lock</w:t>
      </w:r>
    </w:p>
    <w:p>
      <w:pPr>
        <w:numPr>
          <w:ilvl w:val="0"/>
          <w:numId w:val="18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Obtain written approval from Security, Records Management, Legal and the service owner.</w:t>
      </w:r>
    </w:p>
    <w:p>
      <w:pPr>
        <w:numPr>
          <w:ilvl w:val="0"/>
          <w:numId w:val="18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Confirm the retention duration and cost estimate.</w:t>
      </w:r>
    </w:p>
    <w:p>
      <w:pPr>
        <w:numPr>
          <w:ilvl w:val="0"/>
          <w:numId w:val="18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Schedule the lock at least 14 days in the future.</w:t>
      </w:r>
    </w:p>
    <w:p>
      <w:pPr>
        <w:numPr>
          <w:ilvl w:val="0"/>
          <w:numId w:val="18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Create notifications for seven and three days before the lock date.</w:t>
      </w:r>
    </w:p>
    <w:p>
      <w:pPr>
        <w:numPr>
          <w:ilvl w:val="0"/>
          <w:numId w:val="18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Run a final rollback and restore test during the delay.</w:t>
      </w:r>
    </w:p>
    <w:p>
      <w:pPr>
        <w:numPr>
          <w:ilvl w:val="0"/>
          <w:numId w:val="18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Cancel or correct the rule before the deadline if any acceptance test fails.</w:t>
      </w:r>
    </w:p>
    <w:p>
      <w:pPr>
        <w:numPr>
          <w:ilvl w:val="0"/>
          <w:numId w:val="18"/>
        </w:numPr>
        <w:spacing w:before="80" w:after="80" w:line="300" w:lineRule="auto"/>
      </w:pPr>
      <w:r>
        <w:rPr>
          <w:rFonts w:ascii="Calibri" w:hAnsi="Calibri"/>
          <w:b/>
          <w:color w:val="1F4D78"/>
        </w:rPr>
        <w:t>After the lock becomes effective, capture the final rule status and approval evidence.</w:t>
      </w:r>
    </w:p>
    <w:p>
      <w:pPr>
        <w:pStyle w:val="CodeBlock"/>
        <w:spacing w:before="80" w:after="0"/>
      </w:pPr>
      <w:r>
        <w:rPr>
          <w:rFonts w:ascii="Consolas" w:hAnsi="Consolas"/>
          <w:color w:val="1F2937"/>
          <w:sz w:val="16"/>
        </w:rPr>
        <w:t>oci os retention-rule update \</w:t>
      </w:r>
    </w:p>
    <w:p>
      <w:pPr>
        <w:pStyle w:val="CodeBlock"/>
        <w:spacing w:before="0" w:after="0"/>
      </w:pPr>
      <w:r>
        <w:rPr>
          <w:rFonts w:ascii="Consolas" w:hAnsi="Consolas"/>
          <w:color w:val="1F2937"/>
          <w:sz w:val="16"/>
        </w:rPr>
        <w:t xml:space="preserve">  --namespace-name &lt;OBJECT_STORAGE_NAMESPACE&gt; \</w:t>
      </w:r>
    </w:p>
    <w:p>
      <w:pPr>
        <w:pStyle w:val="CodeBlock"/>
        <w:spacing w:before="0" w:after="0"/>
      </w:pPr>
      <w:r>
        <w:rPr>
          <w:rFonts w:ascii="Consolas" w:hAnsi="Consolas"/>
          <w:color w:val="1F2937"/>
          <w:sz w:val="16"/>
        </w:rPr>
        <w:t xml:space="preserve">  --bucket-name eblz-security-evidence-worm \</w:t>
      </w:r>
    </w:p>
    <w:p>
      <w:pPr>
        <w:pStyle w:val="CodeBlock"/>
        <w:spacing w:before="0" w:after="0"/>
      </w:pPr>
      <w:r>
        <w:rPr>
          <w:rFonts w:ascii="Consolas" w:hAnsi="Consolas"/>
          <w:color w:val="1F2937"/>
          <w:sz w:val="16"/>
        </w:rPr>
        <w:t xml:space="preserve">  --retention-rule-id &lt;RETENTION_RULE_ID&gt; \</w:t>
      </w:r>
    </w:p>
    <w:p>
      <w:pPr>
        <w:pStyle w:val="CodeBlock"/>
        <w:spacing w:before="0" w:after="0"/>
      </w:pPr>
      <w:r>
        <w:rPr>
          <w:rFonts w:ascii="Consolas" w:hAnsi="Consolas"/>
          <w:color w:val="1F2937"/>
          <w:sz w:val="16"/>
        </w:rPr>
        <w:t xml:space="preserve">  --time-rule-locked "&lt;APPROVED_UTC_TIMESTAMP&gt;" \</w:t>
      </w:r>
    </w:p>
    <w:p>
      <w:pPr>
        <w:pStyle w:val="CodeBlock"/>
        <w:spacing w:before="0" w:after="120"/>
      </w:pPr>
      <w:r>
        <w:rPr>
          <w:rFonts w:ascii="Consolas" w:hAnsi="Consolas"/>
          <w:color w:val="1F2937"/>
          <w:sz w:val="16"/>
        </w:rPr>
        <w:t xml:space="preserve">  --region us-langley-1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B1C1C"/>
              </w:rPr>
              <w:t xml:space="preserve">Stop condition: </w:t>
            </w:r>
            <w:r>
              <w:rPr>
                <w:rFonts w:ascii="Calibri" w:hAnsi="Calibri"/>
                <w:color w:val="1F2937"/>
              </w:rPr>
              <w:t>Do not run the lock command if the duration, cost, records schedule, restore test, IAM separation or auditor access remains unresolved.</w:t>
            </w:r>
          </w:p>
        </w:tc>
      </w:tr>
    </w:tbl>
    <w:p>
      <w:pPr>
        <w:spacing w:after="0"/>
      </w:pPr>
    </w:p>
    <w:p>
      <w:pPr>
        <w:pStyle w:val="Heading2"/>
      </w:pPr>
      <w:r>
        <w:t>Phase 9 - Operational monitoring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Alarm on Connector Hub failures or automatic deactivation.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Monitor daily object count, bytes written and missing delivery windows.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Review Archive transition and restoration quarterly.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Review auditor read access and security administrator membership quarterly.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Track retained-storage cost against the Logging compartment budget.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Preserve lock approvals, CLI output, policy versions and validation evidence.</w:t>
      </w:r>
    </w:p>
    <w:p>
      <w:pPr>
        <w:pStyle w:val="Heading1"/>
      </w:pPr>
      <w:r>
        <w:t>6. Rollback and irreversible-control handling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60"/>
        <w:gridCol w:w="6500"/>
      </w:tblGrid>
      <w:tr>
        <w:trPr>
          <w:tblHeader w:val="true"/>
        </w:trPr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State</w:t>
            </w:r>
          </w:p>
        </w:tc>
        <w:tc>
          <w:tcPr>
            <w:tcW w:type="dxa" w:w="6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Available response</w:t>
            </w:r>
          </w:p>
        </w:tc>
      </w:tr>
      <w:tr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Before rule creation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Delete the test bucket or adjust the delivery design normally.</w:t>
            </w:r>
          </w:p>
        </w:tc>
      </w:tr>
      <w:tr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Unlocked rule active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Update or delete the rule, then retest. Objects remain protected while the rule exists.</w:t>
            </w:r>
          </w:p>
        </w:tc>
      </w:tr>
      <w:tr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Lock scheduled, delay active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Correct or remove the lock schedule before the effective timestamp.</w:t>
            </w:r>
          </w:p>
        </w:tc>
      </w:tr>
      <w:tr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Rule permanently locked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No rollback. The duration cannot be shortened and the rule cannot be unlocked.</w:t>
            </w:r>
          </w:p>
        </w:tc>
      </w:tr>
      <w:tr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Objects reach retention expiry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Approved lifecycle deletion can remove expired objects. New objects continue to receive the full retention period.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B1C1C"/>
              </w:rPr>
              <w:t xml:space="preserve">Irreversible result: </w:t>
            </w:r>
            <w:r>
              <w:rPr>
                <w:rFonts w:ascii="Calibri" w:hAnsi="Calibri"/>
                <w:color w:val="1F2937"/>
              </w:rPr>
              <w:t>After the rule is permanently locked, neither a tenancy administrator nor Oracle Support can unlock it. Only retention-duration increases are allowed.</w:t>
            </w:r>
          </w:p>
        </w:tc>
      </w:tr>
    </w:tbl>
    <w:p>
      <w:pPr>
        <w:spacing w:after="0"/>
      </w:pPr>
    </w:p>
    <w:p>
      <w:pPr>
        <w:pStyle w:val="Heading1"/>
      </w:pPr>
      <w:r>
        <w:t>7. Cost model</w:t>
      </w:r>
    </w:p>
    <w:p>
      <w:r>
        <w:rPr>
          <w:b/>
        </w:rPr>
        <w:t xml:space="preserve">Retention feature charge. </w:t>
      </w:r>
      <w:r>
        <w:t>Oracle's public price list does not show a separate SKU for creating or locking a retention rule. Charges come from stored capacity, requests, retrieval and transfer. Your us-langley-1 Government Cloud contract is authoritative.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0"/>
        <w:gridCol w:w="4160"/>
      </w:tblGrid>
      <w:tr>
        <w:trPr>
          <w:tblHeader w:val="true"/>
        </w:trPr>
        <w:tc>
          <w:tcPr>
            <w:tcW w:type="dxa" w:w="5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Public price component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Approximate rate</w:t>
            </w:r>
          </w:p>
        </w:tc>
      </w:tr>
      <w:tr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Standard Object Storage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$0.0255 per GB-month</w:t>
            </w:r>
          </w:p>
        </w:tc>
      </w:tr>
      <w:tr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Archive Storage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$0.0026 per GB-month</w:t>
            </w:r>
          </w:p>
        </w:tc>
      </w:tr>
      <w:tr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Object Storage requests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$0.0034 per 10,000 requests</w:t>
            </w:r>
          </w:p>
        </w:tc>
      </w:tr>
      <w:tr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Archive minimum storage duration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90 days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Retained amount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All Standard / month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All Archive / month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 TB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1F2937"/>
                <w:sz w:val="18"/>
              </w:rPr>
              <w:t>$26.11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1F2937"/>
                <w:sz w:val="18"/>
              </w:rPr>
              <w:t>$2.66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10 TB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1F2937"/>
                <w:sz w:val="18"/>
              </w:rPr>
              <w:t>$261.12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1F2937"/>
                <w:sz w:val="18"/>
              </w:rPr>
              <w:t>$26.62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100 TB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1F2937"/>
                <w:sz w:val="18"/>
              </w:rPr>
              <w:t>$2,611.20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1F2937"/>
                <w:sz w:val="18"/>
              </w:rPr>
              <w:t>$266.24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/>
          <w:b/>
          <w:color w:val="1F4D78"/>
          <w:sz w:val="19"/>
        </w:rPr>
        <w:t>Seven-year logging examples at year-seven steady state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1950"/>
        <w:gridCol w:w="2500"/>
        <w:gridCol w:w="3060"/>
      </w:tblGrid>
      <w:tr>
        <w:trPr>
          <w:tblHeader w:val="true"/>
        </w:trPr>
        <w:tc>
          <w:tcPr>
            <w:tcW w:type="dxa" w:w="1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Daily ingestion</w:t>
            </w:r>
          </w:p>
        </w:tc>
        <w:tc>
          <w:tcPr>
            <w:tcW w:type="dxa" w:w="1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Data retained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All Standard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90-day Standard + Archive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 GB/day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1F2937"/>
                <w:sz w:val="18"/>
              </w:rPr>
              <w:t>2.56 TB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1F2937"/>
                <w:sz w:val="18"/>
              </w:rPr>
              <w:t>$65/month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1F2937"/>
                <w:sz w:val="18"/>
              </w:rPr>
              <w:t>$9/month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10 GB/day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1F2937"/>
                <w:sz w:val="18"/>
              </w:rPr>
              <w:t>25.55 TB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1F2937"/>
                <w:sz w:val="18"/>
              </w:rPr>
              <w:t>$652/month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1F2937"/>
                <w:sz w:val="18"/>
              </w:rPr>
              <w:t>$87/month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100 GB/day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1F2937"/>
                <w:sz w:val="18"/>
              </w:rPr>
              <w:t>255.50 TB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1F2937"/>
                <w:sz w:val="18"/>
              </w:rPr>
              <w:t>$6,515/month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1F2937"/>
                <w:sz w:val="18"/>
              </w:rPr>
              <w:t>$870/month</w:t>
            </w:r>
          </w:p>
        </w:tc>
      </w:tr>
    </w:tbl>
    <w:p>
      <w:pPr>
        <w:spacing w:after="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Formula: monthly storage cost = retained GB x applicable GB-month rate.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The blended examples assume the newest 90 days remain Standard and older retained data is Archive.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Estimates exclude OCI Logging charges, restore operations, API requests, network transfer and Government contract adjustments.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If expired objects are not deleted, retained capacity and cost continue growing beyond year seven.</w:t>
      </w:r>
    </w:p>
    <w:p>
      <w:pPr>
        <w:pStyle w:val="Heading1"/>
      </w:pPr>
      <w:r>
        <w:t>8. Auditor-tenancy variation</w:t>
      </w:r>
    </w:p>
    <w:p>
      <w:r>
        <w:rPr>
          <w:b/>
        </w:rPr>
        <w:t xml:space="preserve">Preferred evidence boundary. </w:t>
      </w:r>
      <w:r>
        <w:t>If the dedicated Auditor tenancy is available, place the final immutable bucket there and send logs directly through Connector Hub using matching cross-tenancy Define, Endorse and Admit statements.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Do not rely on native Object Storage replication for a retained destination bucket.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OCI does not allow retention rules on replication destination buckets.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Restrict the remote Connector Hub principal to OBJECT_CREATE and OBJECT_INSPECT.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Keep auditors read-only and exclude object update and delete permissions.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Retain the source and destination policy changes in separate deployment records.</w:t>
      </w:r>
    </w:p>
    <w:p>
      <w:pPr>
        <w:pStyle w:val="Heading1"/>
      </w:pPr>
      <w:r>
        <w:t>9. Acceptance checklist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[ ] Logging compartment exists at EBLZ::VDMS::Logging.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[ ] No new identity domain was created; Default ADFS/YubiKey administration remains functional.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[ ] No policy object 101 was created; required statements were added to consolidated policies.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[ ] Evidence bucket is private and has no PAR URLs.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[ ] Versioning is disabled or suspended.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[ ] Connector Hub is delivering the approved log sources.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[ ] Auditors can read evidence but cannot change or delete it.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[ ] Overwrite, metadata-update and delete tests fail while retention is active.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[ ] Archive transition and restoration have been tested.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[ ] Seven-year cost was approved against the Government Cloud rate card.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[ ] Security and records-management approvals are attached.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[ ] Lock notices were scheduled for seven and three days before the effective date.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[ ] Final lock status and retention rule ID are recorded.</w:t>
      </w:r>
    </w:p>
    <w:p>
      <w:pPr>
        <w:pStyle w:val="Heading1"/>
      </w:pPr>
      <w:r>
        <w:t>10. Evidence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Evidence item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Recorded value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Change ticket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Logging compartment OCID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Bucket and namespace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Connector OCID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Retention rule ID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Retention duration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Scheduled lock timestamp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Security approval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Records-management approval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Cost approval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Validation evidence location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Operator and completion date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11. Authoritative references</w:t>
      </w:r>
    </w:p>
    <w:p>
      <w:pPr>
        <w:numPr>
          <w:ilvl w:val="0"/>
          <w:numId w:val="10"/>
        </w:numPr>
        <w:spacing w:after="80"/>
      </w:pPr>
      <w:hyperlink r:id="rId12">
        <w:r>
          <w:rPr>
            <w:color w:val="2E74B5"/>
            <w:u w:val="single"/>
            <w:rFonts w:ascii="Calibri" w:hAnsi="Calibri"/>
          </w:rPr>
          <w:t>Oracle Object Storage Data Retention Rules</w:t>
        </w:r>
      </w:hyperlink>
      <w:r>
        <w:rPr>
          <w:rFonts w:ascii="Calibri" w:hAnsi="Calibri"/>
          <w:color w:val="1F2937"/>
          <w:sz w:val="19"/>
        </w:rPr>
        <w:t xml:space="preserve"> - behavior, IAM permissions, lock restrictions, lifecycle, replication and versioning interactions</w:t>
      </w:r>
    </w:p>
    <w:p>
      <w:pPr>
        <w:numPr>
          <w:ilvl w:val="0"/>
          <w:numId w:val="10"/>
        </w:numPr>
        <w:spacing w:after="80"/>
      </w:pPr>
      <w:hyperlink r:id="rId13">
        <w:r>
          <w:rPr>
            <w:color w:val="2E74B5"/>
            <w:u w:val="single"/>
            <w:rFonts w:ascii="Calibri" w:hAnsi="Calibri"/>
          </w:rPr>
          <w:t>Creating an Object Storage Retention Rule</w:t>
        </w:r>
      </w:hyperlink>
      <w:r>
        <w:rPr>
          <w:rFonts w:ascii="Calibri" w:hAnsi="Calibri"/>
          <w:color w:val="1F2937"/>
          <w:sz w:val="19"/>
        </w:rPr>
        <w:t xml:space="preserve"> - Console and CLI creation procedure</w:t>
      </w:r>
    </w:p>
    <w:p>
      <w:pPr>
        <w:numPr>
          <w:ilvl w:val="0"/>
          <w:numId w:val="10"/>
        </w:numPr>
        <w:spacing w:after="80"/>
      </w:pPr>
      <w:hyperlink r:id="rId14">
        <w:r>
          <w:rPr>
            <w:color w:val="2E74B5"/>
            <w:u w:val="single"/>
            <w:rFonts w:ascii="Calibri" w:hAnsi="Calibri"/>
          </w:rPr>
          <w:t>Oracle Connector Hub Overview</w:t>
        </w:r>
      </w:hyperlink>
      <w:r>
        <w:rPr>
          <w:rFonts w:ascii="Calibri" w:hAnsi="Calibri"/>
          <w:color w:val="1F2937"/>
          <w:sz w:val="19"/>
        </w:rPr>
        <w:t xml:space="preserve"> - Logging source and Object Storage target behavior</w:t>
      </w:r>
    </w:p>
    <w:p>
      <w:pPr>
        <w:numPr>
          <w:ilvl w:val="0"/>
          <w:numId w:val="10"/>
        </w:numPr>
        <w:spacing w:after="80"/>
      </w:pPr>
      <w:hyperlink r:id="rId15">
        <w:r>
          <w:rPr>
            <w:color w:val="2E74B5"/>
            <w:u w:val="single"/>
            <w:rFonts w:ascii="Calibri" w:hAnsi="Calibri"/>
          </w:rPr>
          <w:t>Centralize Logs Across OCI Tenancies</w:t>
        </w:r>
      </w:hyperlink>
      <w:r>
        <w:rPr>
          <w:rFonts w:ascii="Calibri" w:hAnsi="Calibri"/>
          <w:color w:val="1F2937"/>
          <w:sz w:val="19"/>
        </w:rPr>
        <w:t xml:space="preserve"> - cross-tenancy Connector Hub and create-only object access example</w:t>
      </w:r>
    </w:p>
    <w:p>
      <w:pPr>
        <w:numPr>
          <w:ilvl w:val="0"/>
          <w:numId w:val="10"/>
        </w:numPr>
        <w:spacing w:after="80"/>
      </w:pPr>
      <w:hyperlink r:id="rId16">
        <w:r>
          <w:rPr>
            <w:color w:val="2E74B5"/>
            <w:u w:val="single"/>
            <w:rFonts w:ascii="Calibri" w:hAnsi="Calibri"/>
          </w:rPr>
          <w:t>Oracle Archive Storage FAQ and Pricing</w:t>
        </w:r>
      </w:hyperlink>
      <w:r>
        <w:rPr>
          <w:rFonts w:ascii="Calibri" w:hAnsi="Calibri"/>
          <w:color w:val="1F2937"/>
          <w:sz w:val="19"/>
        </w:rPr>
        <w:t xml:space="preserve"> - public Standard, Archive, request and minimum-duration rates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</w:rPr>
              <w:t xml:space="preserve">Government Cloud pricing note: </w:t>
            </w:r>
            <w:r>
              <w:rPr>
                <w:rFonts w:ascii="Calibri" w:hAnsi="Calibri"/>
                <w:color w:val="1F2937"/>
              </w:rPr>
              <w:t>Public prices are planning estimates only. Validate every rate and free-tier assumption against the current us-langley-1 Government Cloud contract before approval.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B7A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color w:val="5F6B7A"/>
        <w:sz w:val="17"/>
      </w:rPr>
      <w:t>EBLZ OCI Logging and Retention Runbook  |  us-langley-1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5F6B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/>
      <w:ind w:left="173" w:right="173"/>
      <w:shd w:fill="F2F4F7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docs.oracle.com/en-us/iaas/Content/Object/Tasks/usingretentionrules.htm" TargetMode="External"/><Relationship Id="rId13" Type="http://schemas.openxmlformats.org/officeDocument/2006/relationships/hyperlink" Target="https://docs.oracle.com/en-us/iaas/Content/Object/Tasks/usingretentionrules_topic-To_create_a_retention_rule.htm" TargetMode="External"/><Relationship Id="rId14" Type="http://schemas.openxmlformats.org/officeDocument/2006/relationships/hyperlink" Target="https://docs.oracle.com/en-us/iaas/Content/connector-hub/overview.htm" TargetMode="External"/><Relationship Id="rId15" Type="http://schemas.openxmlformats.org/officeDocument/2006/relationships/hyperlink" Target="https://docs.oracle.com/en/learn/centralize-oci-tenancies-logs/index.html" TargetMode="External"/><Relationship Id="rId16" Type="http://schemas.openxmlformats.org/officeDocument/2006/relationships/hyperlink" Target="https://www.oracle.com/cloud/storage/archive-storage/faq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EBLZ OCI Logging Compartment and Object Storage Retention Runbook</dc:title>
  <dc:subject>OCI Government Cloud logging evidence retention implementation</dc:subject>
  <dc:creator>EBLZ Cloud Platform and Security Teams</dc:creator>
  <cp:keywords>OCI, EBLZ, VDMS, logging, Object Storage, retention, WORM, Connector Hub</cp:keywords>
  <dc:description>Operational runbook version 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