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EAE63" w14:textId="77777777" w:rsidR="0003309E" w:rsidRDefault="0003309E" w:rsidP="0003309E"/>
    <w:p w14:paraId="1074EEA6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958573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22D57B5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408A86CE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2B958573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22D57B5" w14:textId="77777777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408A86CE" w14:textId="77777777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0F4123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E6CE0B6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1F5A0A1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71FF34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FC53D91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CD7BBC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434B4A08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4B4C2599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</w:tbl>
    <w:p w14:paraId="02CB555D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D968695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7393FD14" w14:textId="77777777" w:rsidTr="000A1331">
        <w:tc>
          <w:tcPr>
            <w:tcW w:w="2528" w:type="dxa"/>
            <w:vAlign w:val="center"/>
          </w:tcPr>
          <w:p w14:paraId="22B5EC0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382BC618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Proyecto: Automatización de la planificación y revisión de informes PID R2 mediante n8n y SQL Server.</w:t>
            </w:r>
          </w:p>
          <w:p w14:paraId="025B577F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 xml:space="preserve">Ociel Escobar y </w:t>
            </w:r>
            <w:proofErr w:type="spellStart"/>
            <w:r>
              <w:rPr>
                <w:rFonts w:ascii="Calibri" w:hAnsi="Calibri"/>
                <w:color w:val="000000"/>
              </w:rPr>
              <w:t>Sebastian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Torres | Ingeniería en Informática | Sección 007V | Docente Ernesto Velasquez | 21 de octubre de 2026.</w:t>
            </w:r>
          </w:p>
          <w:p w14:paraId="05384F46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El avance comprende un prototipo n8n de 39 nodos que consulta proyectos R2, separa creación y corrección, calcula propuestas de fechas y prepara alertas y resúmenes. Se organizaron siete documentos de soporte y 44 archivos de sistema, con el JSON original, código extraído y pruebas reproducibles.</w:t>
            </w:r>
          </w:p>
          <w:p w14:paraId="5C45E362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Se comprobaron localmente 45 conexiones sin referencias estructurales a nodos inexistentes y se ejecutaron doce casos de JavaScript: siete cumplieron el criterio y cinco mostraron diferencias. No se ejecutaron pruebas integradas de n8n, SQL Server ni correo.</w:t>
            </w:r>
          </w:p>
          <w:p w14:paraId="003104DB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La inserción y actualización de informes están comentadas. El resultado alcanzado es un prototipo y evidencia local verificable; la persistencia, el envío y la programación efectiva siguen pendientes de validación.</w:t>
            </w:r>
          </w:p>
        </w:tc>
      </w:tr>
      <w:tr w:rsidR="0003309E" w14:paraId="54286237" w14:textId="77777777" w:rsidTr="000A1331">
        <w:tc>
          <w:tcPr>
            <w:tcW w:w="2528" w:type="dxa"/>
            <w:vAlign w:val="center"/>
          </w:tcPr>
          <w:p w14:paraId="0F60D8F6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11701E6D" w14:textId="77777777" w:rsidR="00D5593A" w:rsidRDefault="00000000">
            <w:pPr>
              <w:spacing w:after="90" w:line="240" w:lineRule="auto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Objetivo general: desarrollar y validar un prototipo de automatización para planificar y revisar informes PID R2, con propuestas trazables y controles de datos.</w:t>
            </w:r>
          </w:p>
          <w:p w14:paraId="154BF2E6" w14:textId="77777777" w:rsidR="00D5593A" w:rsidRDefault="00000000">
            <w:pPr>
              <w:spacing w:after="90" w:line="240" w:lineRule="auto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Objetivos específicos: identificar proyectos elegibles; proponer periodos y entregas; preparar correcciones solo para pendientes; validar colisiones y simulación; generar resultados y alertas; documentar y probar el comportamiento.</w:t>
            </w:r>
          </w:p>
          <w:p w14:paraId="1DB216FB" w14:textId="77777777" w:rsidR="00D5593A" w:rsidRDefault="00000000">
            <w:pPr>
              <w:spacing w:after="90" w:line="240" w:lineRule="auto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Ajuste de alcance: distinguir demostración local de operación integrada. No se declara completada la persistencia ni una mejora de tiempos sin medición.</w:t>
            </w:r>
          </w:p>
        </w:tc>
      </w:tr>
      <w:tr w:rsidR="0003309E" w14:paraId="10911A0C" w14:textId="77777777" w:rsidTr="000A1331">
        <w:tc>
          <w:tcPr>
            <w:tcW w:w="2528" w:type="dxa"/>
            <w:vAlign w:val="center"/>
          </w:tcPr>
          <w:p w14:paraId="2C4CB950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166E0A08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Se utiliza un desarrollo incremental apoyado en historias de usuario, criterios de aceptación y pruebas. El flujo existente se revisó por rutas, consultas y funciones; los hallazgos se relacionaron con HU, RNF y CP.</w:t>
            </w:r>
          </w:p>
          <w:p w14:paraId="168391D3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lastRenderedPageBreak/>
              <w:t xml:space="preserve">Se preparó un </w:t>
            </w:r>
            <w:proofErr w:type="spellStart"/>
            <w:r>
              <w:rPr>
                <w:rFonts w:ascii="Calibri" w:hAnsi="Calibri"/>
                <w:color w:val="000000"/>
              </w:rPr>
              <w:t>Product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Backlog de 18 historias y un Sprint Backlog de 22 tareas, distribuidas en tres </w:t>
            </w:r>
            <w:proofErr w:type="spellStart"/>
            <w:r>
              <w:rPr>
                <w:rFonts w:ascii="Calibri" w:hAnsi="Calibri"/>
                <w:color w:val="000000"/>
              </w:rPr>
              <w:t>sprints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propuestos con 80 horas estimadas. No representan fechas ni esfuerzo real ya ejecutado.</w:t>
            </w:r>
          </w:p>
          <w:p w14:paraId="507E18FA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Los doce casos locales reproducibles aíslan funciones del JSON. Otros dieciocho casos quedan pendientes de integración. No se dispone de actas que acrediten ceremonias Scrum, retroalimentación docente o aceptación institucional.</w:t>
            </w:r>
          </w:p>
        </w:tc>
      </w:tr>
      <w:tr w:rsidR="0003309E" w14:paraId="57A15495" w14:textId="77777777" w:rsidTr="000A1331">
        <w:tc>
          <w:tcPr>
            <w:tcW w:w="2528" w:type="dxa"/>
            <w:vAlign w:val="center"/>
          </w:tcPr>
          <w:p w14:paraId="29A0EF11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1E001534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 xml:space="preserve">Evidencias de documentación: Diagramas UML.pdf; Modelo de datos.pdf; </w:t>
            </w:r>
            <w:proofErr w:type="spellStart"/>
            <w:r>
              <w:rPr>
                <w:rFonts w:ascii="Calibri" w:hAnsi="Calibri"/>
                <w:color w:val="000000"/>
              </w:rPr>
              <w:t>Product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Backlog.xlsx; Sprint Backlog.xlsx; Pruebas.xlsx; Requisitos no funcionales.docx; Retrospectivas.docx. Permiten revisar arquitectura, datos, criterios y planificación.</w:t>
            </w:r>
          </w:p>
          <w:p w14:paraId="043A1DF2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Evidencias de sistema/Aplicación: 01_Flujo_actual_PID_R</w:t>
            </w:r>
            <w:proofErr w:type="gramStart"/>
            <w:r>
              <w:rPr>
                <w:rFonts w:ascii="Calibri" w:hAnsi="Calibri"/>
                <w:color w:val="000000"/>
              </w:rPr>
              <w:t>2.json</w:t>
            </w:r>
            <w:proofErr w:type="gramEnd"/>
            <w:r>
              <w:rPr>
                <w:rFonts w:ascii="Calibri" w:hAnsi="Calibri"/>
                <w:color w:val="000000"/>
              </w:rPr>
              <w:t>, 03_Inventario_nodos.csv, 04_Revision_</w:t>
            </w:r>
            <w:proofErr w:type="gramStart"/>
            <w:r>
              <w:rPr>
                <w:rFonts w:ascii="Calibri" w:hAnsi="Calibri"/>
                <w:color w:val="000000"/>
              </w:rPr>
              <w:t>estructura.json</w:t>
            </w:r>
            <w:proofErr w:type="gramEnd"/>
            <w:r>
              <w:rPr>
                <w:rFonts w:ascii="Calibri" w:hAnsi="Calibri"/>
                <w:color w:val="000000"/>
              </w:rPr>
              <w:t xml:space="preserve"> y Pruebas locales/Resultados/</w:t>
            </w:r>
            <w:proofErr w:type="spellStart"/>
            <w:r>
              <w:rPr>
                <w:rFonts w:ascii="Calibri" w:hAnsi="Calibri"/>
                <w:color w:val="000000"/>
              </w:rPr>
              <w:t>Resultados_pruebas.json</w:t>
            </w:r>
            <w:proofErr w:type="spellEnd"/>
            <w:r>
              <w:rPr>
                <w:rFonts w:ascii="Calibri" w:hAnsi="Calibri"/>
                <w:color w:val="000000"/>
              </w:rPr>
              <w:t>. Conservan fuente, conexiones y salidas reales de las funciones aisladas.</w:t>
            </w:r>
          </w:p>
          <w:p w14:paraId="449B8D47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Evidencias de sistema/Base de datos: nueve consultas extraídas, scripts de solo lectura y registros pendientes. Documentan dependencias; no acreditan esquema físico ni ejecución SQL.</w:t>
            </w:r>
          </w:p>
          <w:p w14:paraId="1E87B7C2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Los manifiestos SHA256 identifican los archivos entregados. El repositorio contiene historial previo, incluido d210505 del 05-10-2026; al revisar el 21-10-2026, Fase 2 aparece sin seguimiento. Falta registrar estas evidencias en Git y demostrar aportes individuales verificables.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1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16"/>
      </w:tblGrid>
      <w:tr w:rsidR="00586C9C" w14:paraId="46810FCE" w14:textId="77777777" w:rsidTr="00462929">
        <w:trPr>
          <w:trHeight w:val="138"/>
        </w:trPr>
        <w:tc>
          <w:tcPr>
            <w:tcW w:w="9616" w:type="dxa"/>
            <w:vAlign w:val="center"/>
          </w:tcPr>
          <w:p w14:paraId="6336C06D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462929" w14:paraId="7E16D914" w14:textId="77777777" w:rsidTr="00462929">
        <w:trPr>
          <w:trHeight w:val="138"/>
        </w:trPr>
        <w:tc>
          <w:tcPr>
            <w:tcW w:w="9616" w:type="dxa"/>
            <w:vAlign w:val="center"/>
          </w:tcPr>
          <w:p w14:paraId="5289733D" w14:textId="77777777" w:rsidR="00462929" w:rsidRDefault="00462929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</w:p>
        </w:tc>
      </w:tr>
    </w:tbl>
    <w:p w14:paraId="1BD8C063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2D40C747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655948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4B368020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29ACE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3EDB306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79DBA2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79F6CBB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0BF3029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04B6B76B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70A73A91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5A7EBD71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6FB66B92" w14:textId="77777777" w:rsidTr="00EA0C09">
        <w:tc>
          <w:tcPr>
            <w:tcW w:w="1328" w:type="dxa"/>
          </w:tcPr>
          <w:p w14:paraId="04DE30EF" w14:textId="77777777" w:rsidR="00D5593A" w:rsidRDefault="00000000">
            <w:pPr>
              <w:spacing w:after="90" w:line="240" w:lineRule="auto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Análisis</w:t>
            </w:r>
          </w:p>
        </w:tc>
        <w:tc>
          <w:tcPr>
            <w:tcW w:w="1077" w:type="dxa"/>
          </w:tcPr>
          <w:p w14:paraId="5B07E41D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Revisar reglas R2</w:t>
            </w:r>
          </w:p>
        </w:tc>
        <w:tc>
          <w:tcPr>
            <w:tcW w:w="1276" w:type="dxa"/>
          </w:tcPr>
          <w:p w14:paraId="58C71B94" w14:textId="77777777" w:rsidR="00D5593A" w:rsidRDefault="00000000">
            <w:pPr>
              <w:spacing w:after="90" w:line="240" w:lineRule="auto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JSON y SQL</w:t>
            </w:r>
          </w:p>
        </w:tc>
        <w:tc>
          <w:tcPr>
            <w:tcW w:w="1276" w:type="dxa"/>
          </w:tcPr>
          <w:p w14:paraId="6979DDF2" w14:textId="77777777" w:rsidR="00D5593A" w:rsidRDefault="00000000">
            <w:pPr>
              <w:spacing w:after="90" w:line="240" w:lineRule="auto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26 h (S1) estimadas</w:t>
            </w:r>
          </w:p>
        </w:tc>
        <w:tc>
          <w:tcPr>
            <w:tcW w:w="1275" w:type="dxa"/>
          </w:tcPr>
          <w:p w14:paraId="03447D4F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Ociel Escobar</w:t>
            </w:r>
          </w:p>
        </w:tc>
        <w:tc>
          <w:tcPr>
            <w:tcW w:w="1276" w:type="dxa"/>
          </w:tcPr>
          <w:p w14:paraId="758804DB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Revisar fechas</w:t>
            </w:r>
          </w:p>
        </w:tc>
        <w:tc>
          <w:tcPr>
            <w:tcW w:w="1418" w:type="dxa"/>
          </w:tcPr>
          <w:p w14:paraId="7E2F387F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En curso</w:t>
            </w:r>
          </w:p>
        </w:tc>
        <w:tc>
          <w:tcPr>
            <w:tcW w:w="850" w:type="dxa"/>
          </w:tcPr>
          <w:p w14:paraId="7497697A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CP-03 y CP-11</w:t>
            </w:r>
          </w:p>
        </w:tc>
      </w:tr>
      <w:tr w:rsidR="00FD5149" w:rsidRPr="006E3B0D" w14:paraId="380629E6" w14:textId="77777777" w:rsidTr="00EA0C09">
        <w:tc>
          <w:tcPr>
            <w:tcW w:w="1328" w:type="dxa"/>
          </w:tcPr>
          <w:p w14:paraId="4449C2CA" w14:textId="77777777" w:rsidR="00D5593A" w:rsidRDefault="00000000">
            <w:pPr>
              <w:spacing w:after="90" w:line="240" w:lineRule="auto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Desarrollo</w:t>
            </w:r>
          </w:p>
        </w:tc>
        <w:tc>
          <w:tcPr>
            <w:tcW w:w="1077" w:type="dxa"/>
          </w:tcPr>
          <w:p w14:paraId="5CC297DF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Revisar modo y bucle</w:t>
            </w:r>
          </w:p>
        </w:tc>
        <w:tc>
          <w:tcPr>
            <w:tcW w:w="1276" w:type="dxa"/>
          </w:tcPr>
          <w:p w14:paraId="304933B5" w14:textId="77777777" w:rsidR="00D5593A" w:rsidRDefault="00000000">
            <w:pPr>
              <w:spacing w:after="90" w:line="240" w:lineRule="auto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n8n y JS</w:t>
            </w:r>
          </w:p>
        </w:tc>
        <w:tc>
          <w:tcPr>
            <w:tcW w:w="1276" w:type="dxa"/>
          </w:tcPr>
          <w:p w14:paraId="03517D9A" w14:textId="77777777" w:rsidR="00D5593A" w:rsidRDefault="00000000">
            <w:pPr>
              <w:spacing w:after="90" w:line="240" w:lineRule="auto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32 h (S2) estimadas</w:t>
            </w:r>
          </w:p>
        </w:tc>
        <w:tc>
          <w:tcPr>
            <w:tcW w:w="1275" w:type="dxa"/>
          </w:tcPr>
          <w:p w14:paraId="684C1E10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Equipo</w:t>
            </w:r>
          </w:p>
        </w:tc>
        <w:tc>
          <w:tcPr>
            <w:tcW w:w="1276" w:type="dxa"/>
          </w:tcPr>
          <w:p w14:paraId="4B2A3098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INS/UPD sin activar</w:t>
            </w:r>
          </w:p>
        </w:tc>
        <w:tc>
          <w:tcPr>
            <w:tcW w:w="1418" w:type="dxa"/>
          </w:tcPr>
          <w:p w14:paraId="2C970D76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Ajustada</w:t>
            </w:r>
          </w:p>
        </w:tc>
        <w:tc>
          <w:tcPr>
            <w:tcW w:w="850" w:type="dxa"/>
          </w:tcPr>
          <w:p w14:paraId="39EC4454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Modo único</w:t>
            </w:r>
          </w:p>
        </w:tc>
      </w:tr>
      <w:tr w:rsidR="00FD5149" w:rsidRPr="006E3B0D" w14:paraId="68085557" w14:textId="77777777" w:rsidTr="00EA0C09">
        <w:tc>
          <w:tcPr>
            <w:tcW w:w="1328" w:type="dxa"/>
          </w:tcPr>
          <w:p w14:paraId="5F823F29" w14:textId="77777777" w:rsidR="00D5593A" w:rsidRDefault="00000000">
            <w:pPr>
              <w:spacing w:after="90" w:line="240" w:lineRule="auto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Calidad</w:t>
            </w:r>
          </w:p>
        </w:tc>
        <w:tc>
          <w:tcPr>
            <w:tcW w:w="1077" w:type="dxa"/>
          </w:tcPr>
          <w:p w14:paraId="22BDE33C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Probar correo y total</w:t>
            </w:r>
          </w:p>
        </w:tc>
        <w:tc>
          <w:tcPr>
            <w:tcW w:w="1276" w:type="dxa"/>
          </w:tcPr>
          <w:p w14:paraId="69C33861" w14:textId="77777777" w:rsidR="00D5593A" w:rsidRDefault="00000000">
            <w:pPr>
              <w:spacing w:after="90" w:line="240" w:lineRule="auto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Casos CP</w:t>
            </w:r>
          </w:p>
        </w:tc>
        <w:tc>
          <w:tcPr>
            <w:tcW w:w="1276" w:type="dxa"/>
          </w:tcPr>
          <w:p w14:paraId="0156DB4D" w14:textId="77777777" w:rsidR="00D5593A" w:rsidRDefault="00000000">
            <w:pPr>
              <w:spacing w:after="90" w:line="240" w:lineRule="auto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22 h (S3) estimadas</w:t>
            </w:r>
          </w:p>
        </w:tc>
        <w:tc>
          <w:tcPr>
            <w:tcW w:w="1275" w:type="dxa"/>
          </w:tcPr>
          <w:p w14:paraId="7C27C853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Calibri" w:hAnsi="Calibri"/>
                <w:color w:val="000000"/>
                <w:sz w:val="18"/>
              </w:rPr>
              <w:t>Sebastian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Torres</w:t>
            </w:r>
          </w:p>
        </w:tc>
        <w:tc>
          <w:tcPr>
            <w:tcW w:w="1276" w:type="dxa"/>
          </w:tcPr>
          <w:p w14:paraId="1D3D1091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Validar con SQL</w:t>
            </w:r>
          </w:p>
        </w:tc>
        <w:tc>
          <w:tcPr>
            <w:tcW w:w="1418" w:type="dxa"/>
          </w:tcPr>
          <w:p w14:paraId="4AB145CB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En curso</w:t>
            </w:r>
          </w:p>
        </w:tc>
        <w:tc>
          <w:tcPr>
            <w:tcW w:w="850" w:type="dxa"/>
          </w:tcPr>
          <w:p w14:paraId="0DCF62A7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Probar cierre</w:t>
            </w:r>
          </w:p>
        </w:tc>
      </w:tr>
      <w:tr w:rsidR="00FD5149" w:rsidRPr="006E3B0D" w14:paraId="20392A5A" w14:textId="77777777" w:rsidTr="00EA0C09">
        <w:tc>
          <w:tcPr>
            <w:tcW w:w="1328" w:type="dxa"/>
          </w:tcPr>
          <w:p w14:paraId="22BEDF0C" w14:textId="77777777" w:rsidR="00D5593A" w:rsidRDefault="00000000">
            <w:pPr>
              <w:spacing w:after="90" w:line="240" w:lineRule="auto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Documentar</w:t>
            </w:r>
          </w:p>
        </w:tc>
        <w:tc>
          <w:tcPr>
            <w:tcW w:w="1077" w:type="dxa"/>
          </w:tcPr>
          <w:p w14:paraId="0F7F8D2E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Preparar archivos</w:t>
            </w:r>
          </w:p>
        </w:tc>
        <w:tc>
          <w:tcPr>
            <w:tcW w:w="1276" w:type="dxa"/>
          </w:tcPr>
          <w:p w14:paraId="2B57CB92" w14:textId="77777777" w:rsidR="00D5593A" w:rsidRDefault="00000000">
            <w:pPr>
              <w:spacing w:after="90" w:line="240" w:lineRule="auto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Fuentes y guías</w:t>
            </w:r>
          </w:p>
        </w:tc>
        <w:tc>
          <w:tcPr>
            <w:tcW w:w="1276" w:type="dxa"/>
          </w:tcPr>
          <w:p w14:paraId="622959CF" w14:textId="77777777" w:rsidR="00D5593A" w:rsidRDefault="00000000">
            <w:pPr>
              <w:spacing w:after="90" w:line="240" w:lineRule="auto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Preparado al 21-10</w:t>
            </w:r>
          </w:p>
        </w:tc>
        <w:tc>
          <w:tcPr>
            <w:tcW w:w="1275" w:type="dxa"/>
          </w:tcPr>
          <w:p w14:paraId="676735C2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Equipo</w:t>
            </w:r>
          </w:p>
        </w:tc>
        <w:tc>
          <w:tcPr>
            <w:tcW w:w="1276" w:type="dxa"/>
          </w:tcPr>
          <w:p w14:paraId="7D865254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Falta revisión conjunta</w:t>
            </w:r>
          </w:p>
        </w:tc>
        <w:tc>
          <w:tcPr>
            <w:tcW w:w="1418" w:type="dxa"/>
          </w:tcPr>
          <w:p w14:paraId="25114E36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Completado</w:t>
            </w:r>
          </w:p>
        </w:tc>
        <w:tc>
          <w:tcPr>
            <w:tcW w:w="850" w:type="dxa"/>
          </w:tcPr>
          <w:p w14:paraId="23F24476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Cotejar perfil</w:t>
            </w:r>
          </w:p>
        </w:tc>
      </w:tr>
      <w:tr w:rsidR="00FD5149" w:rsidRPr="006E3B0D" w14:paraId="0548C095" w14:textId="77777777" w:rsidTr="00EA0C09">
        <w:tc>
          <w:tcPr>
            <w:tcW w:w="1328" w:type="dxa"/>
          </w:tcPr>
          <w:p w14:paraId="4C1A7D1C" w14:textId="77777777" w:rsidR="00D5593A" w:rsidRDefault="00000000">
            <w:pPr>
              <w:spacing w:after="90" w:line="240" w:lineRule="auto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Versionar</w:t>
            </w:r>
          </w:p>
        </w:tc>
        <w:tc>
          <w:tcPr>
            <w:tcW w:w="1077" w:type="dxa"/>
          </w:tcPr>
          <w:p w14:paraId="2F3E80C7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Registrar cambios</w:t>
            </w:r>
          </w:p>
        </w:tc>
        <w:tc>
          <w:tcPr>
            <w:tcW w:w="1276" w:type="dxa"/>
          </w:tcPr>
          <w:p w14:paraId="0BDF1176" w14:textId="77777777" w:rsidR="00D5593A" w:rsidRDefault="00000000">
            <w:pPr>
              <w:spacing w:after="90" w:line="240" w:lineRule="auto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Git</w:t>
            </w:r>
          </w:p>
        </w:tc>
        <w:tc>
          <w:tcPr>
            <w:tcW w:w="1276" w:type="dxa"/>
          </w:tcPr>
          <w:p w14:paraId="07AD9411" w14:textId="77777777" w:rsidR="00D5593A" w:rsidRDefault="00000000">
            <w:pPr>
              <w:spacing w:after="90" w:line="240" w:lineRule="auto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8"/>
              </w:rPr>
              <w:t>Por acordar</w:t>
            </w:r>
          </w:p>
        </w:tc>
        <w:tc>
          <w:tcPr>
            <w:tcW w:w="1275" w:type="dxa"/>
          </w:tcPr>
          <w:p w14:paraId="29160C7F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Equipo</w:t>
            </w:r>
          </w:p>
        </w:tc>
        <w:tc>
          <w:tcPr>
            <w:tcW w:w="1276" w:type="dxa"/>
          </w:tcPr>
          <w:p w14:paraId="4DEA2014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Fase 2 sin registrar</w:t>
            </w:r>
          </w:p>
        </w:tc>
        <w:tc>
          <w:tcPr>
            <w:tcW w:w="1418" w:type="dxa"/>
          </w:tcPr>
          <w:p w14:paraId="29DD8518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No iniciado</w:t>
            </w:r>
          </w:p>
        </w:tc>
        <w:tc>
          <w:tcPr>
            <w:tcW w:w="850" w:type="dxa"/>
          </w:tcPr>
          <w:p w14:paraId="3247BDCA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Publicar</w:t>
            </w:r>
          </w:p>
        </w:tc>
      </w:tr>
    </w:tbl>
    <w:p w14:paraId="5310D19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2F98B808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4744A5C8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</w:tbl>
    <w:p w14:paraId="39F5560F" w14:textId="77777777" w:rsidR="0003309E" w:rsidRPr="00462929" w:rsidRDefault="0003309E" w:rsidP="0003309E">
      <w:pPr>
        <w:rPr>
          <w:rFonts w:cs="Calibri Light"/>
          <w:color w:val="595959" w:themeColor="text1" w:themeTint="A6"/>
          <w:sz w:val="24"/>
          <w:szCs w:val="24"/>
          <w:u w:val="single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233A5EDE" w14:textId="77777777" w:rsidTr="00C5122E">
        <w:tc>
          <w:tcPr>
            <w:tcW w:w="5000" w:type="pct"/>
            <w:vAlign w:val="center"/>
          </w:tcPr>
          <w:p w14:paraId="13F34B01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Facilitadores: disponer del JSON con consultas y funciones permite examinar reglas concretas; la separación por nodos ayuda a trazar responsabilidades técnicas y casos de prueba. Los criterios HU, RNF y CP vinculan los entregables.</w:t>
            </w:r>
          </w:p>
          <w:p w14:paraId="779118C3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 xml:space="preserve">Dificultades: cinco casos locales detectaron aceptación de fecha imposible, finalización sin término, salto de mes, procedencia incorrecta de plazo final y reasignación de simulación. También falta verificar el esquema SQL, las credenciales, el </w:t>
            </w:r>
            <w:proofErr w:type="spellStart"/>
            <w:r>
              <w:rPr>
                <w:rFonts w:ascii="Calibri" w:hAnsi="Calibri"/>
                <w:color w:val="000000"/>
              </w:rPr>
              <w:t>subflujo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de correo y el cierre de proyectos sin correcciones.</w:t>
            </w:r>
          </w:p>
          <w:p w14:paraId="146FE1E9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Acciones propuestas: corregir las reglas afectadas, repetir los casos fallidos y ejecutar la matriz integrada en un entorno de prueba autorizado. Las competencias se describen técnicamente; su denominación debe cotejarse con el perfil de egreso vigente de Ingeniería en Informática.</w:t>
            </w:r>
          </w:p>
        </w:tc>
      </w:tr>
    </w:tbl>
    <w:p w14:paraId="11563F78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47582607" w14:textId="77777777" w:rsidTr="00C5122E">
        <w:tc>
          <w:tcPr>
            <w:tcW w:w="5000" w:type="pct"/>
            <w:vAlign w:val="center"/>
          </w:tcPr>
          <w:p w14:paraId="34CDA9BF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Se ajustó la presentación del avance para separar código disponible, pruebas locales y pruebas integradas. La evidencia no considera un contador como prueba de inserción ni una consulta preparada como resultado ejecutado.</w:t>
            </w:r>
          </w:p>
          <w:p w14:paraId="50F5E558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 xml:space="preserve">Se priorizaron centralización de simulación, validación de fechas reales, avance correcto al mes siguiente, regla de entrega final y continuidad del bucle. Los </w:t>
            </w:r>
            <w:proofErr w:type="spellStart"/>
            <w:r>
              <w:rPr>
                <w:rFonts w:ascii="Calibri" w:hAnsi="Calibri"/>
                <w:color w:val="000000"/>
              </w:rPr>
              <w:t>sprints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y responsables del backlog son propuestas pendientes de acuerdo; no se eliminan objetivos sin una decisión conjunta.</w:t>
            </w:r>
          </w:p>
          <w:p w14:paraId="046C3C76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lastRenderedPageBreak/>
              <w:t>Los archivos conservan resultados fallidos y registros pendientes para que la revisión permita comprobar el estado real. Se mantienen las llamadas de escritura comentadas en la copia documentada.</w:t>
            </w:r>
          </w:p>
        </w:tc>
      </w:tr>
    </w:tbl>
    <w:p w14:paraId="1BB7A600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6F67FE1A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0D162797" w14:textId="77777777" w:rsidTr="00C5122E">
        <w:tc>
          <w:tcPr>
            <w:tcW w:w="5000" w:type="pct"/>
            <w:vAlign w:val="center"/>
          </w:tcPr>
          <w:p w14:paraId="038C1CD1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 xml:space="preserve">No se ha documentado una ejecución integrada de n8n, una escritura SQL validada, entrega real de correo ni activación programada. No se conocen fechas de </w:t>
            </w:r>
            <w:proofErr w:type="spellStart"/>
            <w:r>
              <w:rPr>
                <w:rFonts w:ascii="Calibri" w:hAnsi="Calibri"/>
                <w:color w:val="000000"/>
              </w:rPr>
              <w:t>sprints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acordadas; por ello no se atribuye retraso frente a un calendario no confirmado.</w:t>
            </w:r>
          </w:p>
          <w:p w14:paraId="313A2AA9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La estrategia de cierre es corregir primero los cinco casos locales, verificar contratos y permisos de la base, probar una copia de demostración con datos ficticios y completar los registros de capturas y resultados.</w:t>
            </w:r>
          </w:p>
          <w:p w14:paraId="1F8359BB" w14:textId="77777777" w:rsidR="00D5593A" w:rsidRDefault="00000000">
            <w:pPr>
              <w:spacing w:after="90" w:line="240" w:lineRule="auto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 xml:space="preserve">Falta incorporar Fase 2 al historial Git, revisar los aportes con ambos integrantes y cotejar competencias con el perfil oficial. No se realizaron </w:t>
            </w:r>
            <w:proofErr w:type="spellStart"/>
            <w:r>
              <w:rPr>
                <w:rFonts w:ascii="Calibri" w:hAnsi="Calibri"/>
                <w:color w:val="000000"/>
              </w:rPr>
              <w:t>commits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ni se modificaron identidades de autor para elaborar este informe.</w:t>
            </w:r>
          </w:p>
        </w:tc>
      </w:tr>
    </w:tbl>
    <w:p w14:paraId="25F9785D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FBFB7" w14:textId="77777777" w:rsidR="00BF3FBF" w:rsidRDefault="00BF3FBF" w:rsidP="0003309E">
      <w:pPr>
        <w:spacing w:after="0" w:line="240" w:lineRule="auto"/>
      </w:pPr>
      <w:r>
        <w:separator/>
      </w:r>
    </w:p>
  </w:endnote>
  <w:endnote w:type="continuationSeparator" w:id="0">
    <w:p w14:paraId="08F4D177" w14:textId="77777777" w:rsidR="00BF3FBF" w:rsidRDefault="00BF3FBF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384D2" w14:textId="77777777" w:rsidR="00BF3FBF" w:rsidRDefault="00BF3FBF" w:rsidP="0003309E">
      <w:pPr>
        <w:spacing w:after="0" w:line="240" w:lineRule="auto"/>
      </w:pPr>
      <w:r>
        <w:separator/>
      </w:r>
    </w:p>
  </w:footnote>
  <w:footnote w:type="continuationSeparator" w:id="0">
    <w:p w14:paraId="309717BD" w14:textId="77777777" w:rsidR="00BF3FBF" w:rsidRDefault="00BF3FBF" w:rsidP="0003309E">
      <w:pPr>
        <w:spacing w:after="0" w:line="240" w:lineRule="auto"/>
      </w:pPr>
      <w:r>
        <w:continuationSeparator/>
      </w:r>
    </w:p>
  </w:footnote>
  <w:footnote w:id="1">
    <w:p w14:paraId="0FEADD0B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63BD301B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EBE7E27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4CFA85F1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1F15E58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BEB695A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60266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62929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97111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BF3FBF"/>
    <w:rsid w:val="00C20F3D"/>
    <w:rsid w:val="00C44557"/>
    <w:rsid w:val="00C5122E"/>
    <w:rsid w:val="00CE0AA8"/>
    <w:rsid w:val="00D5593A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5FAE5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962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Ociel Escobar Ferrada - Externo Valio</cp:lastModifiedBy>
  <cp:revision>5</cp:revision>
  <dcterms:created xsi:type="dcterms:W3CDTF">2022-08-24T18:14:00Z</dcterms:created>
  <dcterms:modified xsi:type="dcterms:W3CDTF">2026-10-21T17:27:00Z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SIP_Label_97cc034c-e21a-48d0-b3e6-33ae8550fdc6_Enabled">
    <vt:lpwstr>true</vt:lpwstr>
  </property>
  <property fmtid="{D5CDD505-2E9C-101B-9397-08002B2CF9AE}" pid="4" name="MSIP_Label_97cc034c-e21a-48d0-b3e6-33ae8550fdc6_SetDate">
    <vt:lpwstr>2026-10-21T17:27:42Z</vt:lpwstr>
  </property>
  <property fmtid="{D5CDD505-2E9C-101B-9397-08002B2CF9AE}" pid="5" name="MSIP_Label_97cc034c-e21a-48d0-b3e6-33ae8550fdc6_Method">
    <vt:lpwstr>Standard</vt:lpwstr>
  </property>
  <property fmtid="{D5CDD505-2E9C-101B-9397-08002B2CF9AE}" pid="6" name="MSIP_Label_97cc034c-e21a-48d0-b3e6-33ae8550fdc6_Name">
    <vt:lpwstr>defa4170-0d19-0005-0004-bc88714345d2</vt:lpwstr>
  </property>
  <property fmtid="{D5CDD505-2E9C-101B-9397-08002B2CF9AE}" pid="7" name="MSIP_Label_97cc034c-e21a-48d0-b3e6-33ae8550fdc6_SiteId">
    <vt:lpwstr>61a36e24-4cf0-4e08-9b81-44bfd2977a5e</vt:lpwstr>
  </property>
  <property fmtid="{D5CDD505-2E9C-101B-9397-08002B2CF9AE}" pid="8" name="MSIP_Label_97cc034c-e21a-48d0-b3e6-33ae8550fdc6_ActionId">
    <vt:lpwstr>a189ca78-c862-4454-8cf2-153926dccd14</vt:lpwstr>
  </property>
  <property fmtid="{D5CDD505-2E9C-101B-9397-08002B2CF9AE}" pid="9" name="MSIP_Label_97cc034c-e21a-48d0-b3e6-33ae8550fdc6_ContentBits">
    <vt:lpwstr>0</vt:lpwstr>
  </property>
  <property fmtid="{D5CDD505-2E9C-101B-9397-08002B2CF9AE}" pid="10" name="MSIP_Label_97cc034c-e21a-48d0-b3e6-33ae8550fdc6_Tag">
    <vt:lpwstr>10, 3, 0, 1</vt:lpwstr>
  </property>
</Properties>
</file>