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5C538" w14:textId="77777777" w:rsidR="0003309E" w:rsidRDefault="0003309E" w:rsidP="0003309E"/>
    <w:p w14:paraId="245BD807"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7C2AC74" w14:textId="77777777" w:rsidR="0003309E" w:rsidRDefault="0003309E" w:rsidP="0003309E">
                              <w:pPr>
                                <w:spacing w:after="0" w:line="240" w:lineRule="auto"/>
                                <w:rPr>
                                  <w:b/>
                                  <w:color w:val="FF0000"/>
                                  <w:sz w:val="48"/>
                                  <w:szCs w:val="48"/>
                                </w:rPr>
                              </w:pPr>
                            </w:p>
                            <w:p w14:paraId="225E98BD"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 xml:space="preserve">Guide 2. APT Project Development </w:t>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xml:space="preserve"/>
                              </w:r>
                            </w:p>
                            <w:p w14:paraId="22163FC9"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roofErr w:type="spellStart"/>
                              <w:r w:rsidR="009552E5">
                                <w:rPr>
                                  <w:b/>
                                  <w:color w:val="1F3864" w:themeColor="accent1" w:themeShade="80"/>
                                  <w:sz w:val="48"/>
                                  <w:szCs w:val="48"/>
                                </w:rPr>
                                <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7C2AC74" w14:textId="77777777" w:rsidR="0003309E" w:rsidRDefault="0003309E" w:rsidP="0003309E">
                        <w:pPr>
                          <w:spacing w:after="0" w:line="240" w:lineRule="auto"/>
                          <w:rPr>
                            <w:b/>
                            <w:color w:val="FF0000"/>
                            <w:sz w:val="48"/>
                            <w:szCs w:val="48"/>
                          </w:rPr>
                        </w:pPr>
                      </w:p>
                      <w:p w14:paraId="225E98BD"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 xml:space="preserve">Guide 2. APT Project Development </w:t>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w:r>
                        <w:r w:rsidRPr="00231F2A">
                          <w:rPr>
                            <w:b/>
                            <w:color w:val="1F3864" w:themeColor="accent1" w:themeShade="80"/>
                            <w:sz w:val="48"/>
                            <w:szCs w:val="48"/>
                          </w:rPr>
                          <w:t xml:space="preserve"/>
                        </w:r>
                        <w:r>
                          <w:rPr>
                            <w:b/>
                            <w:color w:val="1F3864" w:themeColor="accent1" w:themeShade="80"/>
                            <w:sz w:val="48"/>
                            <w:szCs w:val="48"/>
                          </w:rPr>
                          <w:t xml:space="preserve"/>
                        </w:r>
                      </w:p>
                      <w:p w14:paraId="22163FC9"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Capstone Course</w:t>
                        </w:r>
                        <w:proofErr w:type="spellStart"/>
                        <w:r w:rsidR="009552E5">
                          <w:rPr>
                            <w:b/>
                            <w:color w:val="1F3864" w:themeColor="accent1" w:themeShade="80"/>
                            <w:sz w:val="48"/>
                            <w:szCs w:val="48"/>
                          </w:rPr>
                          <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27B407C" w14:textId="77777777" w:rsidR="0003309E" w:rsidRDefault="0003309E" w:rsidP="0003309E">
      <w:pPr>
        <w:rPr>
          <w:rFonts w:cs="Calibri Light"/>
          <w:color w:val="595959" w:themeColor="text1" w:themeTint="A6"/>
          <w:sz w:val="24"/>
          <w:szCs w:val="24"/>
          <w:lang w:val="es-ES"/>
        </w:rPr>
      </w:pPr>
    </w:p>
    <w:p w14:paraId="7D65BADF" w14:textId="77777777" w:rsidR="0003309E" w:rsidRDefault="0003309E" w:rsidP="0003309E">
      <w:pPr>
        <w:rPr>
          <w:rFonts w:cs="Calibri Light"/>
          <w:color w:val="595959" w:themeColor="text1" w:themeTint="A6"/>
          <w:sz w:val="24"/>
          <w:szCs w:val="24"/>
          <w:lang w:val="es-ES"/>
        </w:rPr>
      </w:pPr>
    </w:p>
    <w:p w14:paraId="42BEF785" w14:textId="77777777" w:rsidR="0003309E" w:rsidRDefault="0003309E" w:rsidP="0003309E">
      <w:pPr>
        <w:rPr>
          <w:rFonts w:cs="Calibri Light"/>
          <w:color w:val="595959" w:themeColor="text1" w:themeTint="A6"/>
          <w:sz w:val="24"/>
          <w:szCs w:val="24"/>
          <w:lang w:val="es-ES"/>
        </w:rPr>
      </w:pPr>
    </w:p>
    <w:p w14:paraId="332A828F" w14:textId="77777777" w:rsidR="0003309E" w:rsidRDefault="0003309E" w:rsidP="0003309E">
      <w:pPr>
        <w:rPr>
          <w:rFonts w:cs="Calibri Light"/>
          <w:color w:val="595959" w:themeColor="text1" w:themeTint="A6"/>
          <w:sz w:val="24"/>
          <w:szCs w:val="24"/>
          <w:lang w:val="es-ES"/>
        </w:rPr>
      </w:pPr>
    </w:p>
    <w:p w14:paraId="00DF683E" w14:textId="77777777" w:rsidR="0003309E" w:rsidRDefault="0003309E" w:rsidP="0003309E">
      <w:pPr>
        <w:rPr>
          <w:rFonts w:cs="Calibri Light"/>
          <w:color w:val="595959" w:themeColor="text1" w:themeTint="A6"/>
          <w:sz w:val="24"/>
          <w:szCs w:val="24"/>
          <w:lang w:val="es-ES"/>
        </w:rPr>
      </w:pPr>
    </w:p>
    <w:p w14:paraId="15AEC028"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04C7CAE8" w14:textId="77777777" w:rsidTr="00C5122E">
        <w:trPr>
          <w:trHeight w:val="440"/>
        </w:trPr>
        <w:tc>
          <w:tcPr>
            <w:tcW w:w="9639" w:type="dxa"/>
            <w:vAlign w:val="center"/>
          </w:tcPr>
          <w:p w14:paraId="6C0E89C2" w14:textId="77777777" w:rsidR="0003309E" w:rsidRPr="00BF2EA6" w:rsidRDefault="0003309E" w:rsidP="00C5122E">
            <w:pPr>
              <w:rPr>
                <w:b/>
                <w:color w:val="1F3864" w:themeColor="accent1" w:themeShade="80"/>
                <w:sz w:val="28"/>
                <w:szCs w:val="28"/>
              </w:rPr>
            </w:pPr>
            <w:r>
              <w:rPr>
                <w:b/>
                <w:color w:val="1F3864" w:themeColor="accent1" w:themeShade="80"/>
                <w:sz w:val="28"/>
                <w:szCs w:val="28"/>
              </w:rPr>
              <w:t xml:space="preserve">1. APT Project Progress Summary</w:t>
            </w:r>
            <w:r w:rsidRPr="00874D16">
              <w:rPr>
                <w:b/>
                <w:color w:val="1F3864" w:themeColor="accent1" w:themeShade="80"/>
                <w:sz w:val="28"/>
                <w:szCs w:val="28"/>
              </w:rPr>
              <w:t xml:space="preserve"/>
            </w:r>
            <w:r w:rsidR="00FD5149">
              <w:rPr>
                <w:b/>
                <w:color w:val="1F3864" w:themeColor="accent1" w:themeShade="80"/>
                <w:sz w:val="28"/>
                <w:szCs w:val="28"/>
              </w:rPr>
              <w:t xml:space="preserve"/>
            </w:r>
            <w:r w:rsidR="006B242E">
              <w:rPr>
                <w:b/>
                <w:color w:val="1F3864" w:themeColor="accent1" w:themeShade="80"/>
                <w:sz w:val="28"/>
                <w:szCs w:val="28"/>
              </w:rPr>
              <w:t xml:space="preserve"/>
            </w:r>
            <w:r>
              <w:rPr>
                <w:b/>
                <w:color w:val="1F3864" w:themeColor="accent1" w:themeShade="80"/>
                <w:sz w:val="28"/>
                <w:szCs w:val="28"/>
              </w:rPr>
              <w:t/>
            </w:r>
          </w:p>
        </w:tc>
      </w:tr>
    </w:tbl>
    <w:p w14:paraId="2E14966A" w14:textId="77777777" w:rsidR="0003309E" w:rsidRDefault="0003309E" w:rsidP="0003309E">
      <w:pPr>
        <w:spacing w:after="0" w:line="240" w:lineRule="auto"/>
        <w:rPr>
          <w:rFonts w:cs="Calibri Light"/>
          <w:color w:val="595959" w:themeColor="text1" w:themeTint="A6"/>
          <w:sz w:val="24"/>
          <w:szCs w:val="24"/>
          <w:lang w:val="es-ES"/>
        </w:rPr>
      </w:pPr>
    </w:p>
    <w:p w14:paraId="66DB2D75"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2A27560F" w14:textId="77777777" w:rsidTr="000A1331">
        <w:tc>
          <w:tcPr>
            <w:tcW w:w="2528" w:type="dxa"/>
            <w:vAlign w:val="center"/>
          </w:tcPr>
          <w:p w14:paraId="016BD041"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APT project progress summary</w:t>
            </w:r>
            <w:r w:rsidRPr="006608A6">
              <w:rPr>
                <w:rFonts w:ascii="Calibri" w:hAnsi="Calibri"/>
                <w:color w:val="1F3864" w:themeColor="accent1" w:themeShade="80"/>
              </w:rPr>
              <w:t xml:space="preserve"/>
            </w:r>
            <w:r>
              <w:rPr>
                <w:rFonts w:ascii="Calibri" w:hAnsi="Calibri"/>
                <w:color w:val="1F3864" w:themeColor="accent1" w:themeShade="80"/>
              </w:rPr>
              <w:t xml:space="preserve"/>
            </w:r>
          </w:p>
        </w:tc>
        <w:tc>
          <w:tcPr>
            <w:tcW w:w="7111" w:type="dxa"/>
          </w:tcPr>
          <w:p w14:paraId="2020EC90"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Project: Automation of PID R2 report planning and review using n8n and SQL Server.</w:t>
            </w:r>
          </w:p>
          <w:p w14:paraId="2A200477"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Ociel Escobar and Sebastian Torres | Computer Engineering | Section 007V | Instructor Ernesto Velasquez | October 21, 2026.</w:t>
            </w:r>
            <w:proofErr w:type="spellStart"/>
            <w:r>
              <w:rPr>
                <w:rFonts w:ascii="Calibri" w:hAnsi="Calibri"/>
                <w:color w:val="000000"/>
              </w:rPr>
              <w:t/>
            </w:r>
            <w:proofErr w:type="spellEnd"/>
            <w:r>
              <w:rPr>
                <w:rFonts w:ascii="Calibri" w:hAnsi="Calibri"/>
                <w:color w:val="000000"/>
              </w:rPr>
              <w:t xml:space="preserve"/>
            </w:r>
          </w:p>
          <w:p w14:paraId="29581865"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Progress includes a 39-node n8n prototype that queries R2 projects, separates creation and correction, calculates proposed dates, and prepares alerts and summaries. Seven supporting documents and 44 system files were organized, including the original JSON, extracted code, and reproducible tests.</w:t>
            </w:r>
          </w:p>
          <w:p w14:paraId="33AC9DA4"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A local check verified 45 connections with no structural references to nonexistent nodes, and twelve JavaScript test cases were executed: seven met the criterion and five showed differences. No integrated n8n, SQL Server, or email tests were executed.</w:t>
            </w:r>
          </w:p>
          <w:p w14:paraId="00286E97"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Report insertion and update calls are commented out. The outcome is a prototype and verifiable local evidence; persistence, delivery, and effective scheduling still require validation.</w:t>
            </w:r>
          </w:p>
        </w:tc>
      </w:tr>
      <w:tr w:rsidR="0003309E" w14:paraId="5DBACA48" w14:textId="77777777" w:rsidTr="000A1331">
        <w:tc>
          <w:tcPr>
            <w:tcW w:w="2528" w:type="dxa"/>
            <w:vAlign w:val="center"/>
          </w:tcPr>
          <w:p w14:paraId="421D4C50"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Objectives</w:t>
            </w:r>
          </w:p>
        </w:tc>
        <w:tc>
          <w:tcPr>
            <w:tcW w:w="7111" w:type="dxa"/>
            <w:vAlign w:val="center"/>
          </w:tcPr>
          <w:p w14:paraId="790574E2" w14:textId="77777777" w:rsidR="00D67BBC" w:rsidRDefault="00000000">
            <w:pPr>
              <w:spacing w:after="90" w:line="240" w:lineRule="auto"/>
              <w:rPr>
                <w:rFonts w:ascii="Calibri" w:hAnsi="Calibri" w:cs="Arial"/>
                <w:b/>
                <w:i/>
                <w:color w:val="548DD4"/>
                <w:sz w:val="20"/>
                <w:szCs w:val="20"/>
                <w:lang w:eastAsia="es-CL"/>
              </w:rPr>
            </w:pPr>
            <w:r>
              <w:rPr>
                <w:rFonts w:ascii="Calibri" w:hAnsi="Calibri"/>
                <w:color w:val="000000"/>
              </w:rPr>
              <w:t xml:space="preserve">General objective: develop and validate an automation prototype for planning and reviewing PID R2 reports, with traceable proposals and data controls.</w:t>
            </w:r>
          </w:p>
          <w:p w14:paraId="61620620" w14:textId="77777777" w:rsidR="00D67BBC" w:rsidRDefault="00000000">
            <w:pPr>
              <w:spacing w:after="90" w:line="240" w:lineRule="auto"/>
              <w:rPr>
                <w:rFonts w:ascii="Calibri" w:hAnsi="Calibri" w:cs="Arial"/>
                <w:b/>
                <w:i/>
                <w:color w:val="548DD4"/>
                <w:sz w:val="20"/>
                <w:szCs w:val="20"/>
                <w:lang w:eastAsia="es-CL"/>
              </w:rPr>
            </w:pPr>
            <w:r>
              <w:rPr>
                <w:rFonts w:ascii="Calibri" w:hAnsi="Calibri"/>
                <w:color w:val="000000"/>
              </w:rPr>
              <w:t xml:space="preserve">Specific objectives: identify eligible projects; propose periods and delivery dates; prepare corrections only for pending reports; validate collisions and simulation; generate results and alerts; document and test behavior.</w:t>
            </w:r>
          </w:p>
          <w:p w14:paraId="0891D591" w14:textId="77777777" w:rsidR="00D67BBC" w:rsidRDefault="00000000">
            <w:pPr>
              <w:spacing w:after="90" w:line="240" w:lineRule="auto"/>
              <w:rPr>
                <w:rFonts w:ascii="Calibri" w:hAnsi="Calibri" w:cs="Arial"/>
                <w:b/>
                <w:i/>
                <w:color w:val="548DD4"/>
                <w:sz w:val="20"/>
                <w:szCs w:val="20"/>
                <w:lang w:eastAsia="es-CL"/>
              </w:rPr>
            </w:pPr>
            <w:r>
              <w:rPr>
                <w:rFonts w:ascii="Calibri" w:hAnsi="Calibri"/>
                <w:color w:val="000000"/>
              </w:rPr>
              <w:t xml:space="preserve">Scope adjustment: distinguish a local demonstration from integrated operation. Persistence is not declared complete, and no processing-time improvement is claimed without measurement.</w:t>
            </w:r>
          </w:p>
        </w:tc>
      </w:tr>
      <w:tr w:rsidR="0003309E" w14:paraId="24F96332" w14:textId="77777777" w:rsidTr="000A1331">
        <w:tc>
          <w:tcPr>
            <w:tcW w:w="2528" w:type="dxa"/>
            <w:vAlign w:val="center"/>
          </w:tcPr>
          <w:p w14:paraId="61EF053F"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 xml:space="preserve">Methodology</w:t>
            </w:r>
          </w:p>
        </w:tc>
        <w:tc>
          <w:tcPr>
            <w:tcW w:w="7111" w:type="dxa"/>
            <w:vAlign w:val="center"/>
          </w:tcPr>
          <w:p w14:paraId="29A91A9A"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Incremental development is used, supported by user stories, acceptance criteria, and tests. The existing workflow was reviewed by route, query, and function; findings were linked to HU, RNF, and CP identifiers.</w:t>
            </w:r>
          </w:p>
          <w:p w14:paraId="576E622E"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lastRenderedPageBreak/>
              <w:t xml:space="preserve">A Product Backlog of 18 stories and a Sprint Backlog of 22 tasks were prepared, distributed across three proposed sprints with 80 estimated hours. These do not represent confirmed dates or actual effort already completed.</w:t>
            </w:r>
            <w:proofErr w:type="spellStart"/>
            <w:r>
              <w:rPr>
                <w:rFonts w:ascii="Calibri" w:hAnsi="Calibri"/>
                <w:color w:val="000000"/>
              </w:rPr>
              <w:t/>
            </w:r>
            <w:proofErr w:type="spellEnd"/>
            <w:r>
              <w:rPr>
                <w:rFonts w:ascii="Calibri" w:hAnsi="Calibri"/>
                <w:color w:val="000000"/>
              </w:rPr>
              <w:t xml:space="preserve"/>
            </w:r>
            <w:proofErr w:type="spellStart"/>
            <w:r>
              <w:rPr>
                <w:rFonts w:ascii="Calibri" w:hAnsi="Calibri"/>
                <w:color w:val="000000"/>
              </w:rPr>
              <w:t/>
            </w:r>
            <w:proofErr w:type="spellEnd"/>
            <w:r>
              <w:rPr>
                <w:rFonts w:ascii="Calibri" w:hAnsi="Calibri"/>
                <w:color w:val="000000"/>
              </w:rPr>
              <w:t xml:space="preserve"/>
            </w:r>
          </w:p>
          <w:p w14:paraId="40B96F8E"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The twelve reproducible local cases isolate functions from the JSON. Eighteen additional cases await integration testing. No minutes are available to substantiate Scrum ceremonies, instructor feedback, or institutional acceptance.</w:t>
            </w:r>
          </w:p>
        </w:tc>
      </w:tr>
      <w:tr w:rsidR="0003309E" w14:paraId="17512726" w14:textId="77777777" w:rsidTr="000A1331">
        <w:tc>
          <w:tcPr>
            <w:tcW w:w="2528" w:type="dxa"/>
            <w:vAlign w:val="center"/>
          </w:tcPr>
          <w:p w14:paraId="0E5F2905"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 xml:space="preserve">Progress evidence</w:t>
            </w:r>
          </w:p>
        </w:tc>
        <w:tc>
          <w:tcPr>
            <w:tcW w:w="7111" w:type="dxa"/>
            <w:vAlign w:val="center"/>
          </w:tcPr>
          <w:p w14:paraId="73B54C9A"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Documentation evidence: Diagramas UML.pdf; Modelo de datos.pdf; Product Backlog.xlsx; Sprint Backlog.xlsx; Pruebas.xlsx; Requisitos no funcionales.docx; Retrospectivas.docx. These support review of architecture, data, criteria, and planning.</w:t>
            </w:r>
            <w:proofErr w:type="spellStart"/>
            <w:r>
              <w:rPr>
                <w:rFonts w:ascii="Calibri" w:hAnsi="Calibri"/>
                <w:color w:val="000000"/>
              </w:rPr>
              <w:t/>
            </w:r>
            <w:proofErr w:type="spellEnd"/>
            <w:r>
              <w:rPr>
                <w:rFonts w:ascii="Calibri" w:hAnsi="Calibri"/>
                <w:color w:val="000000"/>
              </w:rPr>
              <w:t xml:space="preserve"/>
            </w:r>
          </w:p>
          <w:p w14:paraId="0D489B19"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Evidencias de sistema/Aplicación: 01_Flujo_actual_PID_R2.json, 03_Inventario_nodos.csv, 04_Revision_estructura.json, and Pruebas locales/Resultados/Resultados_pruebas.json. These preserve the source, connections, and actual outputs of the isolated functions.</w:t>
            </w:r>
            <w:proofErr w:type="gramStart"/>
            <w:r>
              <w:rPr>
                <w:rFonts w:ascii="Calibri" w:hAnsi="Calibri"/>
                <w:color w:val="000000"/>
              </w:rPr>
              <w:t/>
            </w:r>
            <w:proofErr w:type="gramEnd"/>
            <w:r>
              <w:rPr>
                <w:rFonts w:ascii="Calibri" w:hAnsi="Calibri"/>
                <w:color w:val="000000"/>
              </w:rPr>
              <w:t/>
            </w:r>
            <w:proofErr w:type="gramStart"/>
            <w:r>
              <w:rPr>
                <w:rFonts w:ascii="Calibri" w:hAnsi="Calibri"/>
                <w:color w:val="000000"/>
              </w:rPr>
              <w:t/>
            </w:r>
            <w:proofErr w:type="gramEnd"/>
            <w:r>
              <w:rPr>
                <w:rFonts w:ascii="Calibri" w:hAnsi="Calibri"/>
                <w:color w:val="000000"/>
              </w:rPr>
              <w:t xml:space="preserve"/>
            </w:r>
            <w:proofErr w:type="spellStart"/>
            <w:r>
              <w:rPr>
                <w:rFonts w:ascii="Calibri" w:hAnsi="Calibri"/>
                <w:color w:val="000000"/>
              </w:rPr>
              <w:t/>
            </w:r>
            <w:proofErr w:type="spellEnd"/>
            <w:r>
              <w:rPr>
                <w:rFonts w:ascii="Calibri" w:hAnsi="Calibri"/>
                <w:color w:val="000000"/>
              </w:rPr>
              <w:t/>
            </w:r>
          </w:p>
          <w:p w14:paraId="3572B7F8"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Evidencias de sistema/Base de datos: nine extracted queries, read-only scripts, and pending verification records. These document dependencies; they do not substantiate the physical schema or SQL execution.</w:t>
            </w:r>
          </w:p>
          <w:p w14:paraId="0D086D2E"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The SHA256 manifests identify the delivered files. The repository contains prior history, including d210505 dated October 5, 2026; when reviewed on October 21, 2026, Phase 2 was untracked. These files still need to be tracked in Git, and verifiable individual contributions must be demonstrated.</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7FD92E35" w14:textId="77777777" w:rsidTr="000A1331">
        <w:trPr>
          <w:trHeight w:val="440"/>
        </w:trPr>
        <w:tc>
          <w:tcPr>
            <w:tcW w:w="9640" w:type="dxa"/>
            <w:vAlign w:val="center"/>
          </w:tcPr>
          <w:p w14:paraId="1F57A171"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Work Plan Monitoring </w:t>
            </w:r>
            <w:r w:rsidRPr="00874D16">
              <w:rPr>
                <w:b/>
                <w:color w:val="1F3864" w:themeColor="accent1" w:themeShade="80"/>
                <w:sz w:val="28"/>
                <w:szCs w:val="28"/>
              </w:rPr>
              <w:t xml:space="preserve"/>
            </w:r>
            <w:r>
              <w:rPr>
                <w:b/>
                <w:color w:val="1F3864" w:themeColor="accent1" w:themeShade="80"/>
                <w:sz w:val="28"/>
                <w:szCs w:val="28"/>
              </w:rPr>
              <w:t xml:space="preserve"/>
            </w:r>
          </w:p>
        </w:tc>
      </w:tr>
      <w:tr w:rsidR="007D0B4D" w14:paraId="1A370B98" w14:textId="77777777" w:rsidTr="007D0B4D">
        <w:trPr>
          <w:trHeight w:val="402"/>
        </w:trPr>
        <w:tc>
          <w:tcPr>
            <w:tcW w:w="9640" w:type="dxa"/>
            <w:shd w:val="clear" w:color="auto" w:fill="D9E2F3" w:themeFill="accent1" w:themeFillTint="33"/>
            <w:vAlign w:val="center"/>
          </w:tcPr>
          <w:p w14:paraId="49CEB65E" w14:textId="4B1D82EC" w:rsidR="007D0B4D" w:rsidRPr="00DA1615" w:rsidRDefault="007D0B4D" w:rsidP="00D714E2">
            <w:pPr>
              <w:jc w:val="both"/>
              <w:rPr>
                <w:rFonts w:ascii="Calibri" w:hAnsi="Calibri"/>
                <w:color w:val="1F3864" w:themeColor="accent1" w:themeShade="80"/>
              </w:rPr>
            </w:pPr>
          </w:p>
        </w:tc>
      </w:tr>
    </w:tbl>
    <w:p w14:paraId="4CC478B8"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562B230D" w14:textId="77777777" w:rsidTr="00EA0C09">
        <w:trPr>
          <w:trHeight w:val="415"/>
        </w:trPr>
        <w:tc>
          <w:tcPr>
            <w:tcW w:w="9776" w:type="dxa"/>
            <w:gridSpan w:val="8"/>
            <w:vAlign w:val="center"/>
          </w:tcPr>
          <w:p w14:paraId="2858150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 xml:space="preserve">Work Plan</w:t>
            </w:r>
          </w:p>
        </w:tc>
      </w:tr>
      <w:tr w:rsidR="00FD5149" w:rsidRPr="006E3B0D" w14:paraId="37D11EF4" w14:textId="77777777" w:rsidTr="009552E5">
        <w:trPr>
          <w:trHeight w:val="711"/>
        </w:trPr>
        <w:tc>
          <w:tcPr>
            <w:tcW w:w="1328" w:type="dxa"/>
            <w:vAlign w:val="center"/>
          </w:tcPr>
          <w:p w14:paraId="4FEC9971"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Competency or competency units</w:t>
            </w:r>
            <w:r w:rsidRPr="006E3B0D">
              <w:rPr>
                <w:rFonts w:ascii="Calibri" w:hAnsi="Calibri"/>
                <w:color w:val="1F3864" w:themeColor="accent1" w:themeShade="80"/>
                <w:sz w:val="18"/>
              </w:rPr>
              <w:t/>
            </w:r>
            <w:r>
              <w:rPr>
                <w:rFonts w:ascii="Calibri" w:hAnsi="Calibri"/>
                <w:color w:val="1F3864" w:themeColor="accent1" w:themeShade="80"/>
                <w:sz w:val="18"/>
              </w:rPr>
              <w:t xml:space="preserve"/>
            </w:r>
          </w:p>
        </w:tc>
        <w:tc>
          <w:tcPr>
            <w:tcW w:w="1077" w:type="dxa"/>
            <w:vAlign w:val="center"/>
          </w:tcPr>
          <w:p w14:paraId="42C7573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 xml:space="preserve">Activities</w:t>
            </w:r>
          </w:p>
        </w:tc>
        <w:tc>
          <w:tcPr>
            <w:tcW w:w="1276" w:type="dxa"/>
            <w:vAlign w:val="center"/>
          </w:tcPr>
          <w:p w14:paraId="7469F102"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 xml:space="preserve">Resources</w:t>
            </w:r>
          </w:p>
        </w:tc>
        <w:tc>
          <w:tcPr>
            <w:tcW w:w="1276" w:type="dxa"/>
            <w:vAlign w:val="center"/>
          </w:tcPr>
          <w:p w14:paraId="1F4FC89F"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 xml:space="preserve">Activity duration</w:t>
            </w:r>
          </w:p>
        </w:tc>
        <w:tc>
          <w:tcPr>
            <w:tcW w:w="1275" w:type="dxa"/>
            <w:vAlign w:val="center"/>
          </w:tcPr>
          <w:p w14:paraId="52D04F02"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 xml:space="preserve">Owner</w:t>
            </w:r>
            <w:r w:rsidRPr="006E3B0D">
              <w:rPr>
                <w:rStyle w:val="Refdenotaalpie"/>
                <w:rFonts w:ascii="Calibri" w:hAnsi="Calibri"/>
                <w:color w:val="1F3864" w:themeColor="accent1" w:themeShade="80"/>
                <w:sz w:val="18"/>
              </w:rPr>
              <w:footnoteReference w:id="1"/>
            </w:r>
          </w:p>
        </w:tc>
        <w:tc>
          <w:tcPr>
            <w:tcW w:w="1276" w:type="dxa"/>
            <w:vAlign w:val="center"/>
          </w:tcPr>
          <w:p w14:paraId="1C73D20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 xml:space="preserve">Notes</w:t>
            </w:r>
          </w:p>
        </w:tc>
        <w:tc>
          <w:tcPr>
            <w:tcW w:w="1418" w:type="dxa"/>
            <w:vAlign w:val="center"/>
          </w:tcPr>
          <w:p w14:paraId="224C0E6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 xml:space="preserve">Progress status</w:t>
            </w:r>
          </w:p>
        </w:tc>
        <w:tc>
          <w:tcPr>
            <w:tcW w:w="850" w:type="dxa"/>
            <w:vAlign w:val="center"/>
          </w:tcPr>
          <w:p w14:paraId="5AD1A5C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 xml:space="preserve">Changes</w:t>
            </w:r>
            <w:r w:rsidRPr="006E3B0D">
              <w:rPr>
                <w:rFonts w:ascii="Calibri" w:hAnsi="Calibri"/>
                <w:color w:val="1F3864" w:themeColor="accent1" w:themeShade="80"/>
                <w:sz w:val="18"/>
              </w:rPr>
              <w:t/>
            </w:r>
          </w:p>
        </w:tc>
      </w:tr>
      <w:tr w:rsidR="00FD5149" w:rsidRPr="006E3B0D" w14:paraId="29F1EDD8" w14:textId="77777777" w:rsidTr="00EA0C09">
        <w:tc>
          <w:tcPr>
            <w:tcW w:w="1328" w:type="dxa"/>
          </w:tcPr>
          <w:p w14:paraId="6C9D4CCE" w14:textId="77777777" w:rsidR="00D67BBC" w:rsidRDefault="00000000">
            <w:pPr>
              <w:spacing w:after="90" w:line="240" w:lineRule="auto"/>
              <w:rPr>
                <w:b/>
                <w:sz w:val="18"/>
                <w:szCs w:val="24"/>
              </w:rPr>
            </w:pPr>
            <w:r>
              <w:rPr>
                <w:rFonts w:ascii="Calibri" w:hAnsi="Calibri"/>
                <w:color w:val="000000"/>
                <w:sz w:val="18"/>
              </w:rPr>
              <w:t xml:space="preserve">Analysis</w:t>
            </w:r>
          </w:p>
        </w:tc>
        <w:tc>
          <w:tcPr>
            <w:tcW w:w="1077" w:type="dxa"/>
          </w:tcPr>
          <w:p w14:paraId="699876B1"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Review R2 rules</w:t>
            </w:r>
          </w:p>
        </w:tc>
        <w:tc>
          <w:tcPr>
            <w:tcW w:w="1276" w:type="dxa"/>
          </w:tcPr>
          <w:p w14:paraId="190E47E2" w14:textId="77777777" w:rsidR="00D67BBC" w:rsidRDefault="00000000">
            <w:pPr>
              <w:spacing w:after="90" w:line="240" w:lineRule="auto"/>
              <w:rPr>
                <w:b/>
                <w:sz w:val="18"/>
                <w:szCs w:val="24"/>
              </w:rPr>
            </w:pPr>
            <w:r>
              <w:rPr>
                <w:rFonts w:ascii="Calibri" w:hAnsi="Calibri"/>
                <w:color w:val="000000"/>
                <w:sz w:val="18"/>
              </w:rPr>
              <w:t xml:space="preserve">JSON and SQL</w:t>
            </w:r>
          </w:p>
        </w:tc>
        <w:tc>
          <w:tcPr>
            <w:tcW w:w="1276" w:type="dxa"/>
          </w:tcPr>
          <w:p w14:paraId="53E86BF0" w14:textId="77777777" w:rsidR="00D67BBC" w:rsidRDefault="00000000">
            <w:pPr>
              <w:spacing w:after="90" w:line="240" w:lineRule="auto"/>
              <w:rPr>
                <w:b/>
                <w:sz w:val="18"/>
                <w:szCs w:val="24"/>
              </w:rPr>
            </w:pPr>
            <w:r>
              <w:rPr>
                <w:rFonts w:ascii="Calibri" w:hAnsi="Calibri"/>
                <w:color w:val="000000"/>
                <w:sz w:val="18"/>
              </w:rPr>
              <w:t xml:space="preserve">26 h (S1) estimated</w:t>
            </w:r>
          </w:p>
        </w:tc>
        <w:tc>
          <w:tcPr>
            <w:tcW w:w="1275" w:type="dxa"/>
          </w:tcPr>
          <w:p w14:paraId="1681B0EE"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Ociel Escobar</w:t>
            </w:r>
          </w:p>
        </w:tc>
        <w:tc>
          <w:tcPr>
            <w:tcW w:w="1276" w:type="dxa"/>
          </w:tcPr>
          <w:p w14:paraId="086D4CAB"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Review dates</w:t>
            </w:r>
          </w:p>
        </w:tc>
        <w:tc>
          <w:tcPr>
            <w:tcW w:w="1418" w:type="dxa"/>
          </w:tcPr>
          <w:p w14:paraId="6422E40E"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In progress</w:t>
            </w:r>
          </w:p>
        </w:tc>
        <w:tc>
          <w:tcPr>
            <w:tcW w:w="850" w:type="dxa"/>
          </w:tcPr>
          <w:p w14:paraId="2993E62C"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CP-03; CP-11</w:t>
            </w:r>
          </w:p>
        </w:tc>
      </w:tr>
      <w:tr w:rsidR="00FD5149" w:rsidRPr="006E3B0D" w14:paraId="00B53E80" w14:textId="77777777" w:rsidTr="00EA0C09">
        <w:tc>
          <w:tcPr>
            <w:tcW w:w="1328" w:type="dxa"/>
          </w:tcPr>
          <w:p w14:paraId="413E325D" w14:textId="77777777" w:rsidR="00D67BBC" w:rsidRDefault="00000000">
            <w:pPr>
              <w:spacing w:after="90" w:line="240" w:lineRule="auto"/>
              <w:rPr>
                <w:b/>
                <w:sz w:val="18"/>
                <w:szCs w:val="24"/>
              </w:rPr>
            </w:pPr>
            <w:r>
              <w:rPr>
                <w:rFonts w:ascii="Calibri" w:hAnsi="Calibri"/>
                <w:color w:val="000000"/>
                <w:sz w:val="18"/>
              </w:rPr>
              <w:t xml:space="preserve">Development</w:t>
            </w:r>
          </w:p>
        </w:tc>
        <w:tc>
          <w:tcPr>
            <w:tcW w:w="1077" w:type="dxa"/>
          </w:tcPr>
          <w:p w14:paraId="0A1EEAC9"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Review mode and loop</w:t>
            </w:r>
          </w:p>
        </w:tc>
        <w:tc>
          <w:tcPr>
            <w:tcW w:w="1276" w:type="dxa"/>
          </w:tcPr>
          <w:p w14:paraId="5F21E20E" w14:textId="77777777" w:rsidR="00D67BBC" w:rsidRDefault="00000000">
            <w:pPr>
              <w:spacing w:after="90" w:line="240" w:lineRule="auto"/>
              <w:rPr>
                <w:b/>
                <w:sz w:val="18"/>
                <w:szCs w:val="24"/>
              </w:rPr>
            </w:pPr>
            <w:r>
              <w:rPr>
                <w:rFonts w:ascii="Calibri" w:hAnsi="Calibri"/>
                <w:color w:val="000000"/>
                <w:sz w:val="18"/>
              </w:rPr>
              <w:t xml:space="preserve">n8n and JS</w:t>
            </w:r>
          </w:p>
        </w:tc>
        <w:tc>
          <w:tcPr>
            <w:tcW w:w="1276" w:type="dxa"/>
          </w:tcPr>
          <w:p w14:paraId="31EA2667" w14:textId="77777777" w:rsidR="00D67BBC" w:rsidRDefault="00000000">
            <w:pPr>
              <w:spacing w:after="90" w:line="240" w:lineRule="auto"/>
              <w:rPr>
                <w:b/>
                <w:sz w:val="18"/>
                <w:szCs w:val="24"/>
              </w:rPr>
            </w:pPr>
            <w:r>
              <w:rPr>
                <w:rFonts w:ascii="Calibri" w:hAnsi="Calibri"/>
                <w:color w:val="000000"/>
                <w:sz w:val="18"/>
              </w:rPr>
              <w:t xml:space="preserve">32 h (S2) estimated</w:t>
            </w:r>
          </w:p>
        </w:tc>
        <w:tc>
          <w:tcPr>
            <w:tcW w:w="1275" w:type="dxa"/>
          </w:tcPr>
          <w:p w14:paraId="7ED005CC"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Team</w:t>
            </w:r>
          </w:p>
        </w:tc>
        <w:tc>
          <w:tcPr>
            <w:tcW w:w="1276" w:type="dxa"/>
          </w:tcPr>
          <w:p w14:paraId="0D7B4EC9"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INS/UPD inactive</w:t>
            </w:r>
          </w:p>
        </w:tc>
        <w:tc>
          <w:tcPr>
            <w:tcW w:w="1418" w:type="dxa"/>
          </w:tcPr>
          <w:p w14:paraId="4E8A293E"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Adjusted</w:t>
            </w:r>
          </w:p>
        </w:tc>
        <w:tc>
          <w:tcPr>
            <w:tcW w:w="850" w:type="dxa"/>
          </w:tcPr>
          <w:p w14:paraId="255D2084"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Single mode</w:t>
            </w:r>
          </w:p>
        </w:tc>
      </w:tr>
      <w:tr w:rsidR="00FD5149" w:rsidRPr="006E3B0D" w14:paraId="6A48AF82" w14:textId="77777777" w:rsidTr="00EA0C09">
        <w:tc>
          <w:tcPr>
            <w:tcW w:w="1328" w:type="dxa"/>
          </w:tcPr>
          <w:p w14:paraId="442B601C" w14:textId="77777777" w:rsidR="00D67BBC" w:rsidRDefault="00000000">
            <w:pPr>
              <w:spacing w:after="90" w:line="240" w:lineRule="auto"/>
              <w:rPr>
                <w:b/>
                <w:sz w:val="18"/>
                <w:szCs w:val="24"/>
              </w:rPr>
            </w:pPr>
            <w:r>
              <w:rPr>
                <w:rFonts w:ascii="Calibri" w:hAnsi="Calibri"/>
                <w:color w:val="000000"/>
                <w:sz w:val="18"/>
              </w:rPr>
              <w:t xml:space="preserve">Quality</w:t>
            </w:r>
          </w:p>
        </w:tc>
        <w:tc>
          <w:tcPr>
            <w:tcW w:w="1077" w:type="dxa"/>
          </w:tcPr>
          <w:p w14:paraId="4F12E112"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Test email and total</w:t>
            </w:r>
          </w:p>
        </w:tc>
        <w:tc>
          <w:tcPr>
            <w:tcW w:w="1276" w:type="dxa"/>
          </w:tcPr>
          <w:p w14:paraId="22515F1C" w14:textId="77777777" w:rsidR="00D67BBC" w:rsidRDefault="00000000">
            <w:pPr>
              <w:spacing w:after="90" w:line="240" w:lineRule="auto"/>
              <w:rPr>
                <w:b/>
                <w:sz w:val="18"/>
                <w:szCs w:val="24"/>
              </w:rPr>
            </w:pPr>
            <w:r>
              <w:rPr>
                <w:rFonts w:ascii="Calibri" w:hAnsi="Calibri"/>
                <w:color w:val="000000"/>
                <w:sz w:val="18"/>
              </w:rPr>
              <w:t xml:space="preserve">CP cases</w:t>
            </w:r>
          </w:p>
        </w:tc>
        <w:tc>
          <w:tcPr>
            <w:tcW w:w="1276" w:type="dxa"/>
          </w:tcPr>
          <w:p w14:paraId="26BA7A68" w14:textId="77777777" w:rsidR="00D67BBC" w:rsidRDefault="00000000">
            <w:pPr>
              <w:spacing w:after="90" w:line="240" w:lineRule="auto"/>
              <w:rPr>
                <w:b/>
                <w:sz w:val="18"/>
                <w:szCs w:val="24"/>
              </w:rPr>
            </w:pPr>
            <w:r>
              <w:rPr>
                <w:rFonts w:ascii="Calibri" w:hAnsi="Calibri"/>
                <w:color w:val="000000"/>
                <w:sz w:val="18"/>
              </w:rPr>
              <w:t xml:space="preserve">22 h (S3) estimated</w:t>
            </w:r>
          </w:p>
        </w:tc>
        <w:tc>
          <w:tcPr>
            <w:tcW w:w="1275" w:type="dxa"/>
          </w:tcPr>
          <w:p w14:paraId="5AF6BB53" w14:textId="77777777" w:rsidR="00D67BBC" w:rsidRDefault="00000000">
            <w:pPr>
              <w:spacing w:after="90" w:line="240" w:lineRule="auto"/>
              <w:rPr>
                <w:rFonts w:ascii="Calibri" w:hAnsi="Calibri" w:cs="Arial"/>
                <w:i/>
                <w:color w:val="548DD4"/>
                <w:sz w:val="18"/>
                <w:szCs w:val="20"/>
                <w:lang w:eastAsia="es-CL"/>
              </w:rPr>
            </w:pPr>
            <w:proofErr w:type="spellStart"/>
            <w:r>
              <w:rPr>
                <w:rFonts w:ascii="Calibri" w:hAnsi="Calibri"/>
                <w:color w:val="000000"/>
                <w:sz w:val="18"/>
              </w:rPr>
              <w:t xml:space="preserve">Sebastian Torres</w:t>
            </w:r>
            <w:proofErr w:type="spellEnd"/>
            <w:r>
              <w:rPr>
                <w:rFonts w:ascii="Calibri" w:hAnsi="Calibri"/>
                <w:color w:val="000000"/>
                <w:sz w:val="18"/>
              </w:rPr>
              <w:t xml:space="preserve"/>
            </w:r>
          </w:p>
        </w:tc>
        <w:tc>
          <w:tcPr>
            <w:tcW w:w="1276" w:type="dxa"/>
          </w:tcPr>
          <w:p w14:paraId="467D4D4C"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Validate with SQL</w:t>
            </w:r>
          </w:p>
        </w:tc>
        <w:tc>
          <w:tcPr>
            <w:tcW w:w="1418" w:type="dxa"/>
          </w:tcPr>
          <w:p w14:paraId="500B36E6"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In progress</w:t>
            </w:r>
          </w:p>
        </w:tc>
        <w:tc>
          <w:tcPr>
            <w:tcW w:w="850" w:type="dxa"/>
          </w:tcPr>
          <w:p w14:paraId="5945EAAC"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Test closure</w:t>
            </w:r>
          </w:p>
        </w:tc>
      </w:tr>
      <w:tr w:rsidR="00FD5149" w:rsidRPr="006E3B0D" w14:paraId="1B6E7236" w14:textId="77777777" w:rsidTr="00EA0C09">
        <w:tc>
          <w:tcPr>
            <w:tcW w:w="1328" w:type="dxa"/>
          </w:tcPr>
          <w:p w14:paraId="01820511" w14:textId="77777777" w:rsidR="00D67BBC" w:rsidRDefault="00000000">
            <w:pPr>
              <w:spacing w:after="90" w:line="240" w:lineRule="auto"/>
              <w:rPr>
                <w:b/>
                <w:sz w:val="18"/>
                <w:szCs w:val="24"/>
              </w:rPr>
            </w:pPr>
            <w:r>
              <w:rPr>
                <w:rFonts w:ascii="Calibri" w:hAnsi="Calibri"/>
                <w:color w:val="000000"/>
                <w:sz w:val="18"/>
              </w:rPr>
              <w:t xml:space="preserve">Document</w:t>
            </w:r>
          </w:p>
        </w:tc>
        <w:tc>
          <w:tcPr>
            <w:tcW w:w="1077" w:type="dxa"/>
          </w:tcPr>
          <w:p w14:paraId="740913CC"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Prepare files</w:t>
            </w:r>
          </w:p>
        </w:tc>
        <w:tc>
          <w:tcPr>
            <w:tcW w:w="1276" w:type="dxa"/>
          </w:tcPr>
          <w:p w14:paraId="1B4962E9" w14:textId="77777777" w:rsidR="00D67BBC" w:rsidRDefault="00000000">
            <w:pPr>
              <w:spacing w:after="90" w:line="240" w:lineRule="auto"/>
              <w:rPr>
                <w:b/>
                <w:sz w:val="18"/>
                <w:szCs w:val="24"/>
              </w:rPr>
            </w:pPr>
            <w:r>
              <w:rPr>
                <w:rFonts w:ascii="Calibri" w:hAnsi="Calibri"/>
                <w:color w:val="000000"/>
                <w:sz w:val="18"/>
              </w:rPr>
              <w:t xml:space="preserve">Sources and guides</w:t>
            </w:r>
          </w:p>
        </w:tc>
        <w:tc>
          <w:tcPr>
            <w:tcW w:w="1276" w:type="dxa"/>
          </w:tcPr>
          <w:p w14:paraId="696455F1" w14:textId="77777777" w:rsidR="00D67BBC" w:rsidRDefault="00000000">
            <w:pPr>
              <w:spacing w:after="90" w:line="240" w:lineRule="auto"/>
              <w:rPr>
                <w:b/>
                <w:sz w:val="18"/>
                <w:szCs w:val="24"/>
              </w:rPr>
            </w:pPr>
            <w:r>
              <w:rPr>
                <w:rFonts w:ascii="Calibri" w:hAnsi="Calibri"/>
                <w:color w:val="000000"/>
                <w:sz w:val="18"/>
              </w:rPr>
              <w:t xml:space="preserve">Prepared by Oct 21</w:t>
            </w:r>
          </w:p>
        </w:tc>
        <w:tc>
          <w:tcPr>
            <w:tcW w:w="1275" w:type="dxa"/>
          </w:tcPr>
          <w:p w14:paraId="4941DB76"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Team</w:t>
            </w:r>
          </w:p>
        </w:tc>
        <w:tc>
          <w:tcPr>
            <w:tcW w:w="1276" w:type="dxa"/>
          </w:tcPr>
          <w:p w14:paraId="7E8D20B2"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Joint review pending</w:t>
            </w:r>
          </w:p>
        </w:tc>
        <w:tc>
          <w:tcPr>
            <w:tcW w:w="1418" w:type="dxa"/>
          </w:tcPr>
          <w:p w14:paraId="072C3CE9"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Completed</w:t>
            </w:r>
          </w:p>
        </w:tc>
        <w:tc>
          <w:tcPr>
            <w:tcW w:w="850" w:type="dxa"/>
          </w:tcPr>
          <w:p w14:paraId="47296E04"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Check profile</w:t>
            </w:r>
          </w:p>
        </w:tc>
      </w:tr>
      <w:tr w:rsidR="00FD5149" w:rsidRPr="006E3B0D" w14:paraId="0B73019D" w14:textId="77777777" w:rsidTr="00EA0C09">
        <w:tc>
          <w:tcPr>
            <w:tcW w:w="1328" w:type="dxa"/>
          </w:tcPr>
          <w:p w14:paraId="77204486" w14:textId="77777777" w:rsidR="00D67BBC" w:rsidRDefault="00000000">
            <w:pPr>
              <w:spacing w:after="90" w:line="240" w:lineRule="auto"/>
              <w:rPr>
                <w:b/>
                <w:sz w:val="18"/>
                <w:szCs w:val="24"/>
              </w:rPr>
            </w:pPr>
            <w:r>
              <w:rPr>
                <w:rFonts w:ascii="Calibri" w:hAnsi="Calibri"/>
                <w:color w:val="000000"/>
                <w:sz w:val="18"/>
              </w:rPr>
              <w:t xml:space="preserve">Version control</w:t>
            </w:r>
          </w:p>
        </w:tc>
        <w:tc>
          <w:tcPr>
            <w:tcW w:w="1077" w:type="dxa"/>
          </w:tcPr>
          <w:p w14:paraId="2BF1D0C0"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Track changes</w:t>
            </w:r>
          </w:p>
        </w:tc>
        <w:tc>
          <w:tcPr>
            <w:tcW w:w="1276" w:type="dxa"/>
          </w:tcPr>
          <w:p w14:paraId="76E22A31" w14:textId="77777777" w:rsidR="00D67BBC" w:rsidRDefault="00000000">
            <w:pPr>
              <w:spacing w:after="90" w:line="240" w:lineRule="auto"/>
              <w:rPr>
                <w:b/>
                <w:sz w:val="18"/>
                <w:szCs w:val="24"/>
              </w:rPr>
            </w:pPr>
            <w:r>
              <w:rPr>
                <w:rFonts w:ascii="Calibri" w:hAnsi="Calibri"/>
                <w:color w:val="000000"/>
                <w:sz w:val="18"/>
              </w:rPr>
              <w:t xml:space="preserve">Git</w:t>
            </w:r>
          </w:p>
        </w:tc>
        <w:tc>
          <w:tcPr>
            <w:tcW w:w="1276" w:type="dxa"/>
          </w:tcPr>
          <w:p w14:paraId="5D798ED6" w14:textId="77777777" w:rsidR="00D67BBC" w:rsidRDefault="00000000">
            <w:pPr>
              <w:spacing w:after="90" w:line="240" w:lineRule="auto"/>
              <w:rPr>
                <w:b/>
                <w:sz w:val="18"/>
                <w:szCs w:val="24"/>
              </w:rPr>
            </w:pPr>
            <w:r>
              <w:rPr>
                <w:rFonts w:ascii="Calibri" w:hAnsi="Calibri"/>
                <w:color w:val="000000"/>
                <w:sz w:val="18"/>
              </w:rPr>
              <w:t xml:space="preserve">To be agreed</w:t>
            </w:r>
          </w:p>
        </w:tc>
        <w:tc>
          <w:tcPr>
            <w:tcW w:w="1275" w:type="dxa"/>
          </w:tcPr>
          <w:p w14:paraId="1B699D75"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Team</w:t>
            </w:r>
          </w:p>
        </w:tc>
        <w:tc>
          <w:tcPr>
            <w:tcW w:w="1276" w:type="dxa"/>
          </w:tcPr>
          <w:p w14:paraId="3DCA52B1"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Phase 2 untracked</w:t>
            </w:r>
          </w:p>
        </w:tc>
        <w:tc>
          <w:tcPr>
            <w:tcW w:w="1418" w:type="dxa"/>
          </w:tcPr>
          <w:p w14:paraId="15D32B31"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Not started</w:t>
            </w:r>
          </w:p>
        </w:tc>
        <w:tc>
          <w:tcPr>
            <w:tcW w:w="850" w:type="dxa"/>
          </w:tcPr>
          <w:p w14:paraId="612CB6F0" w14:textId="77777777" w:rsidR="00D67BBC" w:rsidRDefault="00000000">
            <w:pPr>
              <w:spacing w:after="90" w:line="240" w:lineRule="auto"/>
              <w:rPr>
                <w:rFonts w:ascii="Calibri" w:hAnsi="Calibri" w:cs="Arial"/>
                <w:i/>
                <w:color w:val="548DD4"/>
                <w:sz w:val="18"/>
                <w:szCs w:val="20"/>
                <w:lang w:eastAsia="es-CL"/>
              </w:rPr>
            </w:pPr>
            <w:r>
              <w:rPr>
                <w:rFonts w:ascii="Calibri" w:hAnsi="Calibri"/>
                <w:color w:val="000000"/>
                <w:sz w:val="18"/>
              </w:rPr>
              <w:t xml:space="preserve">Publish</w:t>
            </w:r>
          </w:p>
        </w:tc>
      </w:tr>
    </w:tbl>
    <w:p w14:paraId="56119124"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62DC1105" w14:textId="77777777" w:rsidTr="00C5122E">
        <w:trPr>
          <w:trHeight w:val="440"/>
        </w:trPr>
        <w:tc>
          <w:tcPr>
            <w:tcW w:w="9498" w:type="dxa"/>
            <w:vAlign w:val="center"/>
          </w:tcPr>
          <w:p w14:paraId="7AF9F940"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Adjustments Based on Monitoring </w:t>
            </w:r>
            <w:r w:rsidRPr="00874D16">
              <w:rPr>
                <w:b/>
                <w:color w:val="1F3864" w:themeColor="accent1" w:themeShade="80"/>
                <w:sz w:val="28"/>
                <w:szCs w:val="28"/>
              </w:rPr>
              <w:t xml:space="preserve"/>
            </w:r>
            <w:r>
              <w:rPr>
                <w:b/>
                <w:color w:val="1F3864" w:themeColor="accent1" w:themeShade="80"/>
                <w:sz w:val="28"/>
                <w:szCs w:val="28"/>
              </w:rPr>
              <w:t xml:space="preserve"/>
            </w:r>
          </w:p>
        </w:tc>
      </w:tr>
    </w:tbl>
    <w:p w14:paraId="2AFF363C" w14:textId="77777777" w:rsidR="0003309E" w:rsidRPr="007D0B4D" w:rsidRDefault="0003309E" w:rsidP="0003309E">
      <w:pPr>
        <w:rPr>
          <w:rFonts w:cs="Calibri Light"/>
          <w:color w:val="595959" w:themeColor="text1" w:themeTint="A6"/>
          <w:sz w:val="24"/>
          <w:szCs w:val="24"/>
          <w:u w:val="single"/>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0E91333C" w14:textId="77777777" w:rsidTr="00C5122E">
        <w:tc>
          <w:tcPr>
            <w:tcW w:w="5000" w:type="pct"/>
            <w:vAlign w:val="center"/>
          </w:tcPr>
          <w:p w14:paraId="1BD076EA" w14:textId="77777777" w:rsidR="00D67BBC" w:rsidRDefault="00000000">
            <w:pPr>
              <w:spacing w:after="90" w:line="240" w:lineRule="auto"/>
              <w:rPr>
                <w:rFonts w:ascii="Calibri" w:hAnsi="Calibri" w:cs="Arial"/>
                <w:i/>
                <w:iCs/>
                <w:color w:val="548DD4"/>
                <w:sz w:val="20"/>
                <w:szCs w:val="20"/>
                <w:lang w:eastAsia="es-CL"/>
              </w:rPr>
            </w:pPr>
            <w:r>
              <w:rPr>
                <w:rFonts w:ascii="Calibri" w:hAnsi="Calibri"/>
                <w:color w:val="000000"/>
              </w:rPr>
              <w:t xml:space="preserve">Enabling factors: having the JSON with queries and functions allows specific rules to be examined; separation into nodes helps trace technical responsibilities and test cases. HU, RNF, and CP criteria link the deliverables.</w:t>
            </w:r>
          </w:p>
          <w:p w14:paraId="276E9DB1" w14:textId="77777777" w:rsidR="00D67BBC" w:rsidRDefault="00000000">
            <w:pPr>
              <w:spacing w:after="90" w:line="240" w:lineRule="auto"/>
              <w:rPr>
                <w:rFonts w:ascii="Calibri" w:hAnsi="Calibri" w:cs="Arial"/>
                <w:i/>
                <w:iCs/>
                <w:color w:val="548DD4"/>
                <w:sz w:val="20"/>
                <w:szCs w:val="20"/>
                <w:lang w:eastAsia="es-CL"/>
              </w:rPr>
            </w:pPr>
            <w:r>
              <w:rPr>
                <w:rFonts w:ascii="Calibri" w:hAnsi="Calibri"/>
                <w:color w:val="000000"/>
              </w:rPr>
              <w:t xml:space="preserve">Difficulties: five local cases detected acceptance of an impossible date, completion without an end date, a skipped month, incorrect attribution of the final deadline, and reassignment of simulation settings. The SQL schema, credentials, email subworkflow, and closure of projects without corrections also remain to be verified.</w:t>
            </w:r>
            <w:proofErr w:type="spellStart"/>
            <w:r>
              <w:rPr>
                <w:rFonts w:ascii="Calibri" w:hAnsi="Calibri"/>
                <w:color w:val="000000"/>
              </w:rPr>
              <w:t/>
            </w:r>
            <w:proofErr w:type="spellEnd"/>
            <w:r>
              <w:rPr>
                <w:rFonts w:ascii="Calibri" w:hAnsi="Calibri"/>
                <w:color w:val="000000"/>
              </w:rPr>
              <w:t xml:space="preserve"/>
            </w:r>
          </w:p>
          <w:p w14:paraId="59A448FF" w14:textId="77777777" w:rsidR="00D67BBC" w:rsidRDefault="00000000">
            <w:pPr>
              <w:spacing w:after="90" w:line="240" w:lineRule="auto"/>
              <w:rPr>
                <w:rFonts w:ascii="Calibri" w:hAnsi="Calibri" w:cs="Arial"/>
                <w:i/>
                <w:iCs/>
                <w:color w:val="548DD4"/>
                <w:sz w:val="20"/>
                <w:szCs w:val="20"/>
                <w:lang w:eastAsia="es-CL"/>
              </w:rPr>
            </w:pPr>
            <w:r>
              <w:rPr>
                <w:rFonts w:ascii="Calibri" w:hAnsi="Calibri"/>
                <w:color w:val="000000"/>
              </w:rPr>
              <w:t xml:space="preserve">Proposed actions: correct the affected rules, rerun the failed cases, and execute the integrated test matrix in an authorized test environment. Competencies are described in technical terms; their names must be checked against the current Computer Engineering graduate profile.</w:t>
            </w:r>
          </w:p>
        </w:tc>
      </w:tr>
    </w:tbl>
    <w:p w14:paraId="73673B0B"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7E82F489" w14:textId="77777777" w:rsidTr="00C5122E">
        <w:tc>
          <w:tcPr>
            <w:tcW w:w="5000" w:type="pct"/>
            <w:vAlign w:val="center"/>
          </w:tcPr>
          <w:p w14:paraId="5A510251"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The progress report was adjusted to distinguish available code, local tests, and integrated tests. The evidence does not treat a counter as proof of insertion or a prepared query as an executed result.</w:t>
            </w:r>
          </w:p>
          <w:p w14:paraId="70D2B7DD"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Priorities were set for centralized simulation, validation of real dates, correct advancement to the next month, the final delivery rule, and loop continuity. Sprints and backlog owners are proposals awaiting agreement; objectives are not removed without a joint decision.</w:t>
            </w:r>
            <w:proofErr w:type="spellStart"/>
            <w:r>
              <w:rPr>
                <w:rFonts w:ascii="Calibri" w:hAnsi="Calibri"/>
                <w:color w:val="000000"/>
              </w:rPr>
              <w:t/>
            </w:r>
            <w:proofErr w:type="spellEnd"/>
            <w:r>
              <w:rPr>
                <w:rFonts w:ascii="Calibri" w:hAnsi="Calibri"/>
                <w:color w:val="000000"/>
              </w:rPr>
              <w:t xml:space="preserve"/>
            </w:r>
          </w:p>
          <w:p w14:paraId="5EE47C57"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lastRenderedPageBreak/>
              <w:t xml:space="preserve">The files retain failed results and pending records so that the review can verify the actual status. Write calls remain commented out in the documented copy.</w:t>
            </w:r>
          </w:p>
        </w:tc>
      </w:tr>
    </w:tbl>
    <w:p w14:paraId="00EC314C" w14:textId="77777777" w:rsidR="0003309E" w:rsidRDefault="0003309E" w:rsidP="0003309E">
      <w:pPr>
        <w:spacing w:after="0" w:line="240" w:lineRule="auto"/>
        <w:jc w:val="both"/>
        <w:rPr>
          <w:rFonts w:ascii="Calibri" w:hAnsi="Calibri" w:cs="Arial"/>
          <w:i/>
          <w:color w:val="548DD4"/>
          <w:sz w:val="20"/>
          <w:szCs w:val="20"/>
          <w:lang w:eastAsia="es-CL"/>
        </w:rPr>
      </w:pPr>
    </w:p>
    <w:p w14:paraId="002BD81A"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025C7490" w14:textId="77777777" w:rsidTr="00C5122E">
        <w:tc>
          <w:tcPr>
            <w:tcW w:w="5000" w:type="pct"/>
            <w:vAlign w:val="center"/>
          </w:tcPr>
          <w:p w14:paraId="2D0E065C"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No integrated n8n execution, validated SQL write, actual email delivery, or scheduled activation has been documented. Agreed sprint dates are unknown; therefore, no delay is attributed against an unconfirmed schedule.</w:t>
            </w:r>
            <w:proofErr w:type="spellStart"/>
            <w:r>
              <w:rPr>
                <w:rFonts w:ascii="Calibri" w:hAnsi="Calibri"/>
                <w:color w:val="000000"/>
              </w:rPr>
              <w:t/>
            </w:r>
            <w:proofErr w:type="spellEnd"/>
            <w:r>
              <w:rPr>
                <w:rFonts w:ascii="Calibri" w:hAnsi="Calibri"/>
                <w:color w:val="000000"/>
              </w:rPr>
              <w:t xml:space="preserve"/>
            </w:r>
          </w:p>
          <w:p w14:paraId="0E16BD25"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The completion strategy is to first correct the five local cases, verify database contracts and permissions, test a demonstration copy with fictitious data, and complete the screenshot and result records.</w:t>
            </w:r>
          </w:p>
          <w:p w14:paraId="1962E79F" w14:textId="77777777" w:rsidR="00D67BBC" w:rsidRDefault="00000000">
            <w:pPr>
              <w:spacing w:after="90" w:line="240" w:lineRule="auto"/>
              <w:rPr>
                <w:rFonts w:ascii="Calibri" w:hAnsi="Calibri" w:cs="Arial"/>
                <w:i/>
                <w:color w:val="548DD4"/>
                <w:sz w:val="20"/>
                <w:szCs w:val="20"/>
                <w:lang w:eastAsia="es-CL"/>
              </w:rPr>
            </w:pPr>
            <w:r>
              <w:rPr>
                <w:rFonts w:ascii="Calibri" w:hAnsi="Calibri"/>
                <w:color w:val="000000"/>
              </w:rPr>
              <w:t xml:space="preserve">Phase 2 still needs to be added to the Git history, contributions reviewed with both team members, and competencies checked against the official profile. No commits were made and no author identities were changed to prepare this report.</w:t>
            </w:r>
            <w:proofErr w:type="spellStart"/>
            <w:r>
              <w:rPr>
                <w:rFonts w:ascii="Calibri" w:hAnsi="Calibri"/>
                <w:color w:val="000000"/>
              </w:rPr>
              <w:t/>
            </w:r>
            <w:proofErr w:type="spellEnd"/>
            <w:r>
              <w:rPr>
                <w:rFonts w:ascii="Calibri" w:hAnsi="Calibri"/>
                <w:color w:val="000000"/>
              </w:rPr>
              <w:t xml:space="preserve"/>
            </w:r>
          </w:p>
        </w:tc>
      </w:tr>
    </w:tbl>
    <w:p w14:paraId="2FF07BD3"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E1396" w14:textId="77777777" w:rsidR="00436FDF" w:rsidRDefault="00436FDF" w:rsidP="0003309E">
      <w:pPr>
        <w:spacing w:after="0" w:line="240" w:lineRule="auto"/>
      </w:pPr>
      <w:r>
        <w:separator/>
      </w:r>
    </w:p>
  </w:endnote>
  <w:endnote w:type="continuationSeparator" w:id="0">
    <w:p w14:paraId="6434C794" w14:textId="77777777" w:rsidR="00436FDF" w:rsidRDefault="00436FDF"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E795E" w14:textId="77777777" w:rsidR="00436FDF" w:rsidRDefault="00436FDF" w:rsidP="0003309E">
      <w:pPr>
        <w:spacing w:after="0" w:line="240" w:lineRule="auto"/>
      </w:pPr>
      <w:r>
        <w:separator/>
      </w:r>
    </w:p>
  </w:footnote>
  <w:footnote w:type="continuationSeparator" w:id="0">
    <w:p w14:paraId="78F69292" w14:textId="77777777" w:rsidR="00436FDF" w:rsidRDefault="00436FDF" w:rsidP="0003309E">
      <w:pPr>
        <w:spacing w:after="0" w:line="240" w:lineRule="auto"/>
      </w:pPr>
      <w:r>
        <w:continuationSeparator/>
      </w:r>
    </w:p>
  </w:footnote>
  <w:footnote w:id="1">
    <w:p w14:paraId="4868DC0C"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If the APT Project is a group project, this column must indicate the names of the people responsible for each task or activity. This will subsequently allow each team member to be assessed individually.</w:t>
      </w:r>
      <w:r w:rsidRPr="002819E3">
        <w:rPr>
          <w:color w:val="595959" w:themeColor="text1" w:themeTint="A6"/>
          <w:lang w:val="es-CL"/>
        </w:rPr>
        <w:t/>
      </w:r>
      <w:r>
        <w:rPr>
          <w:color w:val="595959" w:themeColor="text1" w:themeTint="A6"/>
          <w:lang w:val="es-CL"/>
        </w:rPr>
        <w:t xml:space="preserve"/>
      </w:r>
      <w:r w:rsidRPr="002819E3">
        <w:rPr>
          <w:color w:val="595959" w:themeColor="text1" w:themeTint="A6"/>
          <w:lang w:val="es-CL"/>
        </w:rPr>
        <w:t xml:space="preserve"/>
      </w:r>
      <w:r>
        <w:rPr>
          <w:color w:val="595959" w:themeColor="text1" w:themeTint="A6"/>
          <w:lang w:val="es-CL"/>
        </w:rPr>
        <w:t xml:space="preserve"/>
      </w:r>
      <w:r w:rsidRPr="002819E3">
        <w:rPr>
          <w:color w:val="595959" w:themeColor="text1" w:themeTint="A6"/>
          <w:lang w:val="es-CL"/>
        </w:rP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7AA3CCD" w14:textId="77777777" w:rsidTr="00C44557">
      <w:trPr>
        <w:trHeight w:val="697"/>
      </w:trPr>
      <w:tc>
        <w:tcPr>
          <w:tcW w:w="5954" w:type="dxa"/>
          <w:tcBorders>
            <w:top w:val="nil"/>
            <w:left w:val="nil"/>
            <w:bottom w:val="nil"/>
            <w:right w:val="nil"/>
          </w:tcBorders>
        </w:tcPr>
        <w:p w14:paraId="20DF6267"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 xml:space="preserve">Student Guide - APT Project Development </w:t>
          </w:r>
          <w:r>
            <w:rPr>
              <w:rFonts w:ascii="Century Gothic" w:eastAsia="Century Gothic" w:hAnsi="Century Gothic" w:cs="Century Gothic"/>
              <w:b/>
              <w:color w:val="1D2763"/>
              <w:sz w:val="24"/>
              <w:szCs w:val="24"/>
            </w:rPr>
            <w:t xml:space="preserve"/>
          </w:r>
          <w:r w:rsidR="00CE0AA8">
            <w:rPr>
              <w:rFonts w:ascii="Century Gothic" w:eastAsia="Century Gothic" w:hAnsi="Century Gothic" w:cs="Century Gothic"/>
              <w:b/>
              <w:color w:val="1D2763"/>
              <w:sz w:val="24"/>
              <w:szCs w:val="24"/>
            </w:rPr>
            <w:t/>
          </w:r>
          <w:r w:rsidRPr="00C44557">
            <w:rPr>
              <w:rFonts w:ascii="Century Gothic" w:eastAsia="Century Gothic" w:hAnsi="Century Gothic" w:cs="Century Gothic"/>
              <w:b/>
              <w:color w:val="1D2763"/>
              <w:sz w:val="24"/>
              <w:szCs w:val="24"/>
            </w:rPr>
            <w:t xml:space="preserve"/>
          </w:r>
          <w:r>
            <w:rPr>
              <w:rFonts w:ascii="Century Gothic" w:eastAsia="Century Gothic" w:hAnsi="Century Gothic" w:cs="Century Gothic"/>
              <w:b/>
              <w:color w:val="1D2763"/>
              <w:sz w:val="24"/>
              <w:szCs w:val="24"/>
            </w:rPr>
            <w:t xml:space="preserve"/>
          </w:r>
          <w:r w:rsidRPr="005673ED">
            <w:rPr>
              <w:rFonts w:ascii="Century Gothic" w:eastAsia="Century Gothic" w:hAnsi="Century Gothic" w:cs="Century Gothic"/>
              <w:b/>
              <w:color w:val="1D2763"/>
              <w:sz w:val="24"/>
              <w:szCs w:val="24"/>
            </w:rPr>
            <w:t/>
          </w:r>
          <w:r w:rsidRPr="00D100C8">
            <w:rPr>
              <w:rFonts w:ascii="Century Gothic" w:eastAsia="Century Gothic" w:hAnsi="Century Gothic" w:cs="Century Gothic"/>
              <w:b/>
              <w:color w:val="1D2763"/>
              <w:sz w:val="24"/>
              <w:szCs w:val="24"/>
            </w:rPr>
            <w:t xml:space="preserve"/>
          </w:r>
        </w:p>
        <w:p w14:paraId="34CEBD7F"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Phase 2</w:t>
          </w:r>
          <w:r>
            <w:rPr>
              <w:rFonts w:ascii="Century Gothic" w:eastAsia="Century Gothic" w:hAnsi="Century Gothic" w:cs="Century Gothic"/>
              <w:b/>
              <w:color w:val="1D2763"/>
              <w:sz w:val="24"/>
              <w:szCs w:val="24"/>
            </w:rPr>
            <w:t/>
          </w:r>
        </w:p>
      </w:tc>
      <w:tc>
        <w:tcPr>
          <w:tcW w:w="4216" w:type="dxa"/>
          <w:tcBorders>
            <w:top w:val="nil"/>
            <w:left w:val="nil"/>
            <w:bottom w:val="nil"/>
            <w:right w:val="nil"/>
          </w:tcBorders>
        </w:tcPr>
        <w:p w14:paraId="7A486DD3"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8EB55C5"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7056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436FDF"/>
    <w:rsid w:val="00470CE4"/>
    <w:rsid w:val="004B1031"/>
    <w:rsid w:val="004B75F6"/>
    <w:rsid w:val="00521026"/>
    <w:rsid w:val="00545F23"/>
    <w:rsid w:val="00563B43"/>
    <w:rsid w:val="00586C9C"/>
    <w:rsid w:val="005A0A7C"/>
    <w:rsid w:val="005B4D4A"/>
    <w:rsid w:val="00603474"/>
    <w:rsid w:val="00675035"/>
    <w:rsid w:val="00675A73"/>
    <w:rsid w:val="006858A7"/>
    <w:rsid w:val="00695E7C"/>
    <w:rsid w:val="006B242E"/>
    <w:rsid w:val="007D0B4D"/>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67BBC"/>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FA065"/>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962</Words>
  <Characters>5297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Ociel Escobar Ferrada - Externo Valio</cp:lastModifiedBy>
  <cp:revision>5</cp:revision>
  <dcterms:created xsi:type="dcterms:W3CDTF">2022-08-24T18:14:00Z</dcterms:created>
  <dcterms:modified xsi:type="dcterms:W3CDTF">2026-10-21T17:28:00Z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SIP_Label_97cc034c-e21a-48d0-b3e6-33ae8550fdc6_Enabled">
    <vt:lpwstr>true</vt:lpwstr>
  </property>
  <property fmtid="{D5CDD505-2E9C-101B-9397-08002B2CF9AE}" pid="4" name="MSIP_Label_97cc034c-e21a-48d0-b3e6-33ae8550fdc6_SetDate">
    <vt:lpwstr>2026-10-21T17:28:36Z</vt:lpwstr>
  </property>
  <property fmtid="{D5CDD505-2E9C-101B-9397-08002B2CF9AE}" pid="5" name="MSIP_Label_97cc034c-e21a-48d0-b3e6-33ae8550fdc6_Method">
    <vt:lpwstr>Standard</vt:lpwstr>
  </property>
  <property fmtid="{D5CDD505-2E9C-101B-9397-08002B2CF9AE}" pid="6" name="MSIP_Label_97cc034c-e21a-48d0-b3e6-33ae8550fdc6_Name">
    <vt:lpwstr>defa4170-0d19-0005-0004-bc88714345d2</vt:lpwstr>
  </property>
  <property fmtid="{D5CDD505-2E9C-101B-9397-08002B2CF9AE}" pid="7" name="MSIP_Label_97cc034c-e21a-48d0-b3e6-33ae8550fdc6_SiteId">
    <vt:lpwstr>61a36e24-4cf0-4e08-9b81-44bfd2977a5e</vt:lpwstr>
  </property>
  <property fmtid="{D5CDD505-2E9C-101B-9397-08002B2CF9AE}" pid="8" name="MSIP_Label_97cc034c-e21a-48d0-b3e6-33ae8550fdc6_ActionId">
    <vt:lpwstr>4ab19f5c-89a1-42f9-814c-dbd83d206fd1</vt:lpwstr>
  </property>
  <property fmtid="{D5CDD505-2E9C-101B-9397-08002B2CF9AE}" pid="9" name="MSIP_Label_97cc034c-e21a-48d0-b3e6-33ae8550fdc6_ContentBits">
    <vt:lpwstr>0</vt:lpwstr>
  </property>
  <property fmtid="{D5CDD505-2E9C-101B-9397-08002B2CF9AE}" pid="10" name="MSIP_Label_97cc034c-e21a-48d0-b3e6-33ae8550fdc6_Tag">
    <vt:lpwstr>10, 3, 0, 1</vt:lpwstr>
  </property>
</Properties>
</file>