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no funcionales</w:t>
      </w:r>
    </w:p>
    <w:p>
      <w:r>
        <w:t>Automatización de informes PID R2 para el capstone DUOC</w:t>
      </w:r>
    </w:p>
    <w:p>
      <w:r>
        <w:t>Ociel Escobar y Sebastian Torres</w:t>
        <w:br/>
        <w:t>21 de octubre de 2026</w:t>
      </w:r>
    </w:p>
    <w:p>
      <w:pPr>
        <w:pStyle w:val="Heading1"/>
      </w:pPr>
      <w:r>
        <w:t>Propósito y alcance</w:t>
      </w:r>
    </w:p>
    <w:p>
      <w:r>
        <w:t>Estos requisitos definen cómo debe operar y verificarse el prototipo que selecciona proyectos R2, propone informes, prepara correcciones y comunica resultados. Se aplican al flujo actual de 39 nodos. Las metas son propuestas de aceptación para el equipo; su cumplimiento debe demostrarse con las pruebas relacionadas.</w:t>
      </w:r>
    </w:p>
    <w:p>
      <w:r>
        <w:t>La copia actual mantiene comentadas las llamadas de inserción y actualización de informes. Un resultado simulado o un contador incrementado no demuestra una escritura en SQL. Las pruebas locales de JavaScript se distinguen de las pruebas integradas de n8n, base de datos y correo.</w:t>
      </w:r>
    </w:p>
    <w:p>
      <w:pPr>
        <w:pStyle w:val="Heading2"/>
      </w:pPr>
      <w:r>
        <w:t>Resumen de calidad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016"/>
        <w:gridCol w:w="5256"/>
      </w:tblGrid>
      <w:tr>
        <w:trPr>
          <w:cantSplit/>
          <w:tblHeader/>
        </w:trPr>
        <w:tc>
          <w:tcPr>
            <w:tcW w:type="dxa" w:w="2448"/>
            <w:vAlign w:val="center"/>
            <w:shd w:fill="243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2016"/>
            <w:vAlign w:val="center"/>
            <w:shd w:fill="243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b/>
                <w:color w:val="FFFFFF"/>
                <w:sz w:val="20"/>
              </w:rPr>
              <w:t>Requisitos</w:t>
            </w:r>
          </w:p>
        </w:tc>
        <w:tc>
          <w:tcPr>
            <w:tcW w:type="dxa" w:w="5256"/>
            <w:vAlign w:val="center"/>
            <w:shd w:fill="243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b/>
                <w:color w:val="FFFFFF"/>
                <w:sz w:val="20"/>
              </w:rPr>
              <w:t>Objetivo verificable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Rendimiento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RNF-01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Medir un lote de referencia sin atribuir velocidad no demostrada.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Seguridad</w:t>
            </w:r>
          </w:p>
        </w:tc>
        <w:tc>
          <w:tcPr>
            <w:tcW w:type="dxa" w:w="201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RNF-02 y RNF-03</w:t>
            </w:r>
          </w:p>
        </w:tc>
        <w:tc>
          <w:tcPr>
            <w:tcW w:type="dxa" w:w="525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Simulación sin cambios y permisos mínimos.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Integridad y confiabilidad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RNF-04 y RNF-05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Sin duplicados y con un resultado por proyecto.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Disponibilidad</w:t>
            </w:r>
          </w:p>
        </w:tc>
        <w:tc>
          <w:tcPr>
            <w:tcW w:type="dxa" w:w="201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RNF-06</w:t>
            </w:r>
          </w:p>
        </w:tc>
        <w:tc>
          <w:tcPr>
            <w:tcW w:type="dxa" w:w="525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Horario explícito y manejo observable de fallos.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Mantenibilidad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RNF-07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Reglas trazables y configuración central.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Trazabilidad</w:t>
            </w:r>
          </w:p>
        </w:tc>
        <w:tc>
          <w:tcPr>
            <w:tcW w:type="dxa" w:w="201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RNF-08</w:t>
            </w:r>
          </w:p>
        </w:tc>
        <w:tc>
          <w:tcPr>
            <w:tcW w:type="dxa" w:w="525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Detalle recuperable por ejecución y proyecto.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Accesibilidad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RNF-09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Correo comprensible sin depender del color.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Consistencia temporal</w:t>
            </w:r>
          </w:p>
        </w:tc>
        <w:tc>
          <w:tcPr>
            <w:tcW w:type="dxa" w:w="201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RNF-10</w:t>
            </w:r>
          </w:p>
        </w:tc>
        <w:tc>
          <w:tcPr>
            <w:tcW w:type="dxa" w:w="5256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Fechas válidas y cálculo uniforme.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Recuperación y evidencia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RNF-11 y RNF-12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/>
            </w:pPr>
            <w:r>
              <w:rPr>
                <w:sz w:val="20"/>
              </w:rPr>
              <w:t>Reintentos seguros y resultados demostrables.</w:t>
            </w:r>
          </w:p>
        </w:tc>
      </w:tr>
    </w:tbl>
    <w:p>
      <w:pPr>
        <w:pStyle w:val="Heading2"/>
      </w:pPr>
      <w:r>
        <w:t>Responsabilidad de revisión</w:t>
      </w:r>
    </w:p>
    <w:p>
      <w:r>
        <w:t>Ociel Escobar y Sebastian Torres revisarán los criterios y asignarán responsables definitivos. El Sprint Backlog distribuye tareas de manera propuesta; no representa compromisos ya acordados. La aceptación integrada requiere acceso y autorización del ambiente de prueba correspondiente.</w:t>
      </w:r>
    </w:p>
    <w:p>
      <w:r>
        <w:br w:type="page"/>
      </w:r>
    </w:p>
    <w:p>
      <w:pPr>
        <w:pStyle w:val="Heading1"/>
      </w:pPr>
      <w:r>
        <w:t>Rendimiento seguridad e integridad</w:t>
      </w:r>
    </w:p>
    <w:p>
      <w:pPr>
        <w:pStyle w:val="Heading2"/>
      </w:pPr>
      <w:r>
        <w:t>RNF-01 Rendimiento</w:t>
      </w:r>
    </w:p>
    <w:p>
      <w:r>
        <w:t>Procesar un lote de referencia de 100 proyectos en no más de 10 minutos en desarrollo, midiendo tiempo total y percentil 95 por proyecto.</w:t>
      </w:r>
    </w:p>
    <w:p>
      <w:r>
        <w:t>Verificación: Cronometrar inicio y fin, registrar volumen, latencia de SQL y ambiente. Repetir con la misma configuración y conservar evidencia.</w:t>
      </w:r>
    </w:p>
    <w:p>
      <w:r>
        <w:t>Estado actual: Meta propuesta; no medida. Trazabilidad: HU-01 HU-05; CP-27.</w:t>
      </w:r>
    </w:p>
    <w:p>
      <w:pPr>
        <w:pStyle w:val="Heading2"/>
      </w:pPr>
      <w:r>
        <w:t>RNF-02 Seguridad</w:t>
      </w:r>
    </w:p>
    <w:p>
      <w:r>
        <w:t>El 100 % de ejecuciones con simulación activa debe mantener cero inserciones y actualizaciones de informes en todas las rutas.</w:t>
      </w:r>
    </w:p>
    <w:p>
      <w:r>
        <w:t>Verificación: Comparar cantidades y valores de informes antes y después; recorrer todas las rutas con simulación activa. CP-12 ya demuestra localmente que un nodo reactiva los indicadores.</w:t>
      </w:r>
    </w:p>
    <w:p>
      <w:r>
        <w:t>Estado actual: Parcial; indicadores se fuerzan en nodos intermedios. Trazabilidad: HU-09; CP-18.</w:t>
      </w:r>
    </w:p>
    <w:p>
      <w:pPr>
        <w:pStyle w:val="Heading2"/>
      </w:pPr>
      <w:r>
        <w:t>RNF-03 Seguridad</w:t>
      </w:r>
    </w:p>
    <w:p>
      <w:r>
        <w:t>Credenciales solo en el almacén de n8n; permisos mínimos por objeto; ninguna contraseña ni dato sensible innecesario en JSON o correo.</w:t>
      </w:r>
    </w:p>
    <w:p>
      <w:r>
        <w:t>Verificación: Revisar exportación sin secretos y probar permisos con cuenta restringida. Emplear datos ficticios y destinatario de prueba.</w:t>
      </w:r>
    </w:p>
    <w:p>
      <w:r>
        <w:t>Estado actual: Credenciales referenciadas; permisos y protección por validar. Trazabilidad: HU-11 HU-14; CP-24.</w:t>
      </w:r>
    </w:p>
    <w:p>
      <w:pPr>
        <w:pStyle w:val="Heading2"/>
      </w:pPr>
      <w:r>
        <w:t>RNF-04 Integridad</w:t>
      </w:r>
    </w:p>
    <w:p>
      <w:r>
        <w:t>No duplicar la combinación lógica proyecto, versión e informe ante reintentos o dos ejecuciones simultáneas.</w:t>
      </w:r>
    </w:p>
    <w:p>
      <w:r>
        <w:t>Verificación: Lanzar dos intentos con la misma identidad lógica en ambiente aislado y verificar una sola fila. Confirmar restricciones y transacciones mediante catálogo SQL.</w:t>
      </w:r>
    </w:p>
    <w:p>
      <w:r>
        <w:t>Estado actual: Consulta previa presente; DDL y concurrencia por validar. Trazabilidad: HU-10; CP-20.</w:t>
      </w:r>
    </w:p>
    <w:p>
      <w:r>
        <w:br w:type="page"/>
      </w:r>
    </w:p>
    <w:p>
      <w:pPr>
        <w:pStyle w:val="Heading1"/>
      </w:pPr>
      <w:r>
        <w:t>Confiabilidad disponibilidad y mantenimiento</w:t>
      </w:r>
    </w:p>
    <w:p>
      <w:pPr>
        <w:pStyle w:val="Heading2"/>
      </w:pPr>
      <w:r>
        <w:t>RNF-05 Confiabilidad</w:t>
      </w:r>
    </w:p>
    <w:p>
      <w:r>
        <w:t>Emitir exactamente un resultado terminal por proyecto seleccionado; total del resumen igual al total seleccionado, incluso sin cambios.</w:t>
      </w:r>
    </w:p>
    <w:p>
      <w:r>
        <w:t>Verificación: Conciliar la lista inicial de proyectos únicos con resultados terminales y resumen. Incluir proyectos sin correcciones y lote vacío.</w:t>
      </w:r>
    </w:p>
    <w:p>
      <w:r>
        <w:t>Estado actual: Parcial; revisar filtros vacíos y contadores. Trazabilidad: HU-15 HU-16; CP-21 CP-22.</w:t>
      </w:r>
    </w:p>
    <w:p>
      <w:pPr>
        <w:pStyle w:val="Heading2"/>
      </w:pPr>
      <w:r>
        <w:t>RNF-06 Disponibilidad</w:t>
      </w:r>
    </w:p>
    <w:p>
      <w:r>
        <w:t>Programar a las 07:00 America/Santiago; demostrar una ejecución programada y definir aviso de fallo antes del siguiente ciclo.</w:t>
      </w:r>
    </w:p>
    <w:p>
      <w:r>
        <w:t>Verificación: Comprobar zona horaria y registro de disparo local. Simular indisponibilidad y verificar que exista un aviso operativo y una ruta de recuperación.</w:t>
      </w:r>
    </w:p>
    <w:p>
      <w:r>
        <w:t>Estado actual: Hora 7 presente; zona y monitoreo sin confirmar. Trazabilidad: HU-02 HU-16; CP-23.</w:t>
      </w:r>
    </w:p>
    <w:p>
      <w:pPr>
        <w:pStyle w:val="Heading2"/>
      </w:pPr>
      <w:r>
        <w:t>RNF-07 Mantenibilidad</w:t>
      </w:r>
    </w:p>
    <w:p>
      <w:r>
        <w:t>Cada regla debe identificarse por nodo y HU; JSON versionado; un solo origen de configuración de simulación y calendario.</w:t>
      </w:r>
    </w:p>
    <w:p>
      <w:r>
        <w:t>Verificación: Revisar JSON versionado y mapa de reglas. Comprobar que una modificación de simulación se propague sin reasignaciones posteriores.</w:t>
      </w:r>
    </w:p>
    <w:p>
      <w:r>
        <w:t>Estado actual: Reglas visibles; configuración aún dispersa. Trazabilidad: HU-09 HU-18; CP-18 CP-28.</w:t>
      </w:r>
    </w:p>
    <w:p>
      <w:pPr>
        <w:pStyle w:val="Heading2"/>
      </w:pPr>
      <w:r>
        <w:t>RNF-08 Trazabilidad</w:t>
      </w:r>
    </w:p>
    <w:p>
      <w:r>
        <w:t>Guardar por proyecto y ejecución identificación, modo, acción, resultado, fecha y motivo; conservación propuesta de 30 días sin datos sensibles innecesarios.</w:t>
      </w:r>
    </w:p>
    <w:p>
      <w:r>
        <w:t>Verificación: Buscar el resultado de una ejecución terminada, incluidos fallos manejados, después del cierre y del periodo acordado. La retención de 30 días es una propuesta a confirmar.</w:t>
      </w:r>
    </w:p>
    <w:p>
      <w:r>
        <w:t>Estado actual: staticData agrega contadores; no evidencia log persistente por proyecto. Trazabilidad: HU-15; CP-26.</w:t>
      </w:r>
    </w:p>
    <w:p>
      <w:r>
        <w:br w:type="page"/>
      </w:r>
    </w:p>
    <w:p>
      <w:pPr>
        <w:pStyle w:val="Heading1"/>
      </w:pPr>
      <w:r>
        <w:t>Accesibilidad consistencia y recuperación</w:t>
      </w:r>
    </w:p>
    <w:p>
      <w:pPr>
        <w:pStyle w:val="Heading2"/>
      </w:pPr>
      <w:r>
        <w:t>RNF-09 Accesibilidad</w:t>
      </w:r>
    </w:p>
    <w:p>
      <w:r>
        <w:t>Correo con títulos y tabla con encabezados, texto legible sin depender del color; datos críticos disponibles como texto.</w:t>
      </w:r>
    </w:p>
    <w:p>
      <w:r>
        <w:t>Verificación: Revisar el correo al 100 %, sin colores y mediante lectura asistida. Comprobar encabezados de tabla y que los estados no dependan únicamente del estilo.</w:t>
      </w:r>
    </w:p>
    <w:p>
      <w:r>
        <w:t>Estado actual: Estructura HTML presente; lectura asistida y contraste por validar. Trazabilidad: HU-14 HU-15; CP-25.</w:t>
      </w:r>
    </w:p>
    <w:p>
      <w:pPr>
        <w:pStyle w:val="Heading2"/>
      </w:pPr>
      <w:r>
        <w:t>RNF-10 Consistencia temporal</w:t>
      </w:r>
    </w:p>
    <w:p>
      <w:r>
        <w:t>Normalizar fechas válidas y aplicar la misma regla de días hábiles en las ramas; no superar término real; no inventar fecha si falta vigencia.</w:t>
      </w:r>
    </w:p>
    <w:p>
      <w:r>
        <w:t>Verificación: Ejecutar fechas nulas, día imposible, fin de enero, año bisiesto, término parcial y calendario insuficiente. Comparar con cálculo independiente.</w:t>
      </w:r>
    </w:p>
    <w:p>
      <w:r>
        <w:t>Estado actual: Brechas en fechas imposibles, mes siguiente y rama sin término. Trazabilidad: HU-04 HU-06 HU-13; CP-03 CP-08 CP-09 CP-17.</w:t>
      </w:r>
    </w:p>
    <w:p>
      <w:pPr>
        <w:pStyle w:val="Heading2"/>
      </w:pPr>
      <w:r>
        <w:t>RNF-11 Recuperación</w:t>
      </w:r>
    </w:p>
    <w:p>
      <w:r>
        <w:t>Fallo SQL o de correo deja diagnóstico y estado terminal; reintento controlado sin duplicación y recuperación documentada.</w:t>
      </w:r>
    </w:p>
    <w:p>
      <w:r>
        <w:t>Verificación: Interrumpir SQL o subflujo de correo en ambiente de prueba, registrar diagnóstico y repetir de forma controlada. Verificar que no aparezcan informes duplicados.</w:t>
      </w:r>
    </w:p>
    <w:p>
      <w:r>
        <w:t>Estado actual: Reintentos configurados; cierre integral no demostrado. Trazabilidad: HU-10 HU-16; CP-20 CP-29.</w:t>
      </w:r>
    </w:p>
    <w:p>
      <w:pPr>
        <w:pStyle w:val="Heading2"/>
      </w:pPr>
      <w:r>
        <w:t>RNF-12 Verificabilidad</w:t>
      </w:r>
    </w:p>
    <w:p>
      <w:r>
        <w:t>Distinguir revisión estática, ejecución local y prueba integrada; no declarar escritura, envío o aceptación sin evidencia verificable.</w:t>
      </w:r>
    </w:p>
    <w:p>
      <w:r>
        <w:t>Verificación: Auditar que cada resultado conserve entrada, fecha, alcance y evidencia; diferenciar código observado de funciones ejecutadas y del comportamiento integrado.</w:t>
      </w:r>
    </w:p>
    <w:p>
      <w:r>
        <w:t>Estado actual: Criterio aplicado a estas evidencias. Trazabilidad: HU-17 HU-18; CP-30.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no funcionales</dc:title>
  <dc:subject/>
  <dc:creator>Ociel Escobar y Sebastian Torres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