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Retrospectivas</w:t>
      </w:r>
    </w:p>
    <w:p>
      <w:r>
        <w:t>Automatización de informes PID R2 para el capstone DUOC</w:t>
      </w:r>
    </w:p>
    <w:p>
      <w:r>
        <w:t>Ociel Escobar y Sebastian Torres</w:t>
        <w:br/>
        <w:t>21 de octubre de 2026</w:t>
      </w:r>
    </w:p>
    <w:p>
      <w:pPr>
        <w:pStyle w:val="Heading1"/>
      </w:pPr>
      <w:r>
        <w:t>Revisión técnica para preparar las retrospectivas</w:t>
      </w:r>
    </w:p>
    <w:p>
      <w:r>
        <w:t>Este documento organiza hallazgos y acciones para la conversación del equipo. No constituye un acta de reuniones realizadas. Los periodos y fechas de sprints no fueron confirmados; S1, S2 y S3 corresponden a la planificación propuesta en el Sprint Backlog.</w:t>
      </w:r>
    </w:p>
    <w:p>
      <w:r>
        <w:t>La revisión del 21 de octubre de 2026 incluyó el JSON y doce ejecuciones locales de funciones JavaScript: siete cumplieron el resultado esperado y cinco mostraron diferencias. No se ejecutó el workflow en n8n, no se accedió a SQL y no se enviaron correos. La revisión conjunta y los acuerdos siguen pendientes.</w:t>
      </w:r>
    </w:p>
    <w:p>
      <w:pPr>
        <w:pStyle w:val="Heading2"/>
      </w:pPr>
      <w:r>
        <w:t>Sprint o periodo S1 propuesto</w:t>
      </w:r>
    </w:p>
    <w:p>
      <w:r>
        <w:t>Enfoque: selección de proyectos, reglas de fechas y validación de propuestas. Objetivo de la conversación: acordar qué entradas se consideran válidas y cómo se verifican cortes y entregas.</w:t>
      </w:r>
    </w:p>
    <w:p>
      <w:pPr>
        <w:pStyle w:val="Heading2"/>
      </w:pPr>
      <w:r>
        <w:t>Qué funcionó en las pruebas locales</w:t>
      </w:r>
    </w:p>
    <w:p>
      <w:r>
        <w:t>CP-01 y CP-02 conservaron una fecha ISO válida y una fecha ausente. CP-04 aceptó una propuesta completa y CP-05 rechazó una entrega faltante. Estos resultados acreditan únicamente las funciones aisladas con sus fixtures.</w:t>
      </w:r>
    </w:p>
    <w:p>
      <w:pPr>
        <w:pStyle w:val="Heading2"/>
      </w:pPr>
      <w:r>
        <w:t>Qué requiere mejora</w:t>
      </w:r>
    </w:p>
    <w:p>
      <w:r>
        <w:t>CP-03 aceptó 2026-02-31 como texto de fecha. CP-11 usó la entrega propuesta en lugar de la entrega final base, aunque la etiquetó como plazo final existente. La consulta de calendario necesita comprobar que existan quince días hábiles y no solamente devolver el máximo disponible.</w:t>
      </w:r>
    </w:p>
    <w:tbl>
      <w:tblPr>
        <w:tblW w:type="auto" w:w="0"/>
        <w:tblLayout w:type="fixed"/>
        <w:tblLook w:firstColumn="1" w:firstRow="1" w:lastColumn="0" w:lastRow="0" w:noHBand="0" w:noVBand="1" w:val="04A0"/>
      </w:tblPr>
      <w:tblGrid>
        <w:gridCol w:w="4032"/>
        <w:gridCol w:w="2160"/>
        <w:gridCol w:w="3528"/>
      </w:tblGrid>
      <w:tr>
        <w:trPr>
          <w:cantSplit/>
          <w:tblHeader/>
        </w:trPr>
        <w:tc>
          <w:tcPr>
            <w:tcW w:type="dxa" w:w="403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Acción propuesta</w:t>
            </w:r>
          </w:p>
        </w:tc>
        <w:tc>
          <w:tcPr>
            <w:tcW w:type="dxa" w:w="216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Responsable propuesto</w:t>
            </w:r>
          </w:p>
        </w:tc>
        <w:tc>
          <w:tcPr>
            <w:tcW w:type="dxa" w:w="35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Cierre verificable</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Validar días reales y periodos invertidos.</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Ociel Escobar</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CP-03 corregida y casos de vigencia aprobados.</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Acordar procedencia del plazo final y cobertura de calendario.</w:t>
            </w:r>
          </w:p>
        </w:tc>
        <w:tc>
          <w:tcPr>
            <w:tcW w:type="dxa" w:w="21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Equipo</w:t>
            </w:r>
          </w:p>
        </w:tc>
        <w:tc>
          <w:tcPr>
            <w:tcW w:type="dxa" w:w="35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Regla confirmada; CP-11 y CP-17 ejecutadas.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Conservar evidencia de entrada y salida.</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Sebastian Torres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Casos actualizados en Pruebas.xlsx.</w:t>
            </w:r>
          </w:p>
        </w:tc>
      </w:tr>
    </w:tbl>
    <w:p>
      <w:r>
        <w:br w:type="page"/>
      </w:r>
    </w:p>
    <w:p>
      <w:pPr>
        <w:pStyle w:val="Heading1"/>
      </w:pPr>
      <w:r>
        <w:t>Sprint S2 propuesto</w:t>
      </w:r>
    </w:p>
    <w:p>
      <w:r>
        <w:t>Enfoque: simulación, correcciones, colisiones y continuidad del procesamiento. Periodo sin fechas confirmadas. Los responsables de esta página son una propuesta para revisar conjuntamente.</w:t>
      </w:r>
    </w:p>
    <w:p>
      <w:pPr>
        <w:pStyle w:val="Heading2"/>
      </w:pPr>
      <w:r>
        <w:t>Qué funcionó en las pruebas locales</w:t>
      </w:r>
    </w:p>
    <w:p>
      <w:r>
        <w:t>CP-06 dejó sin cambios un informe no pendiente. CP-07 propuso el último día de enero para un informe pendiente con corte a mitad de mes. CP-10 reconoció un plan cuyo último corte coincide con la fecha de término.</w:t>
      </w:r>
    </w:p>
    <w:p>
      <w:pPr>
        <w:pStyle w:val="Heading2"/>
      </w:pPr>
      <w:r>
        <w:t>Qué requiere mejora</w:t>
      </w:r>
    </w:p>
    <w:p>
      <w:r>
        <w:t>CP-08 marcó el plan como finalizado cuando faltaba la fecha de término. CP-09 pasó del 31 de enero al 3 de marzo por el uso de setMonth. CP-12 mostró que Validar propuesta de plan cambia modo_simulacion a false y aplicar_cambio a true, incluso si la entrada solicita simulación.</w:t>
      </w:r>
    </w:p>
    <w:p>
      <w:r>
        <w:t>Las llamadas INS y UPD están comentadas; todavía no existe evidencia de persistencia real. También debe revisarse el retorno al bucle cuando Filtrar correcciones aplicables no devuelve elementos y la protección contra inserciones concurrentes.</w:t>
      </w:r>
    </w:p>
    <w:p>
      <w:pPr>
        <w:pStyle w:val="Heading2"/>
      </w:pPr>
      <w:r>
        <w:t>Acciones y responsables</w:t>
      </w:r>
    </w:p>
    <w:tbl>
      <w:tblPr>
        <w:tblW w:type="auto" w:w="0"/>
        <w:tblLayout w:type="fixed"/>
        <w:tblLook w:firstColumn="1" w:firstRow="1" w:lastColumn="0" w:lastRow="0" w:noHBand="0" w:noVBand="1" w:val="04A0"/>
      </w:tblPr>
      <w:tblGrid>
        <w:gridCol w:w="4032"/>
        <w:gridCol w:w="2160"/>
        <w:gridCol w:w="3528"/>
      </w:tblGrid>
      <w:tr>
        <w:trPr>
          <w:cantSplit/>
          <w:tblHeader/>
        </w:trPr>
        <w:tc>
          <w:tcPr>
            <w:tcW w:type="dxa" w:w="403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Acción propuesta</w:t>
            </w:r>
          </w:p>
        </w:tc>
        <w:tc>
          <w:tcPr>
            <w:tcW w:type="dxa" w:w="216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Responsable propuesto</w:t>
            </w:r>
          </w:p>
        </w:tc>
        <w:tc>
          <w:tcPr>
            <w:tcW w:type="dxa" w:w="35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Cierre verificable</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Centralizar control de simulación.</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Ociel Escobar</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CP-12 y CP-18 sin escrituras.</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Corregir avance mensual y término ausente.</w:t>
            </w:r>
          </w:p>
        </w:tc>
        <w:tc>
          <w:tcPr>
            <w:tcW w:type="dxa" w:w="21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Ociel Escobar</w:t>
            </w:r>
          </w:p>
        </w:tc>
        <w:tc>
          <w:tcPr>
            <w:tcW w:type="dxa" w:w="35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CP-08 y CP-09 aprobadas.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Resolver salida vacía y cierre por proyecto.</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Sebastian Torres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CP-21 conserva todos los proyectos.</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Verificar contrato SQL y unicidad.</w:t>
            </w:r>
          </w:p>
        </w:tc>
        <w:tc>
          <w:tcPr>
            <w:tcW w:type="dxa" w:w="21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Equipo</w:t>
            </w:r>
          </w:p>
        </w:tc>
        <w:tc>
          <w:tcPr>
            <w:tcW w:type="dxa" w:w="35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CP-19 y CP-20 en entorno autorizado.</w:t>
            </w:r>
          </w:p>
        </w:tc>
      </w:tr>
    </w:tbl>
    <w:p>
      <w:pPr>
        <w:pStyle w:val="Heading2"/>
      </w:pPr>
      <w:r>
        <w:t>Seguimiento</w:t>
      </w:r>
    </w:p>
    <w:p>
      <w:r>
        <w:t>Registrar el acuerdo real, la fecha y evidencia cuando el equipo revise cada acción. No cambiar a Terminada una tarea solo por actualizar el documento; exigir el caso de prueba y la revisión correspondiente.</w:t>
      </w:r>
    </w:p>
    <w:p>
      <w:r>
        <w:br w:type="page"/>
      </w:r>
    </w:p>
    <w:p>
      <w:pPr>
        <w:pStyle w:val="Heading1"/>
      </w:pPr>
      <w:r>
        <w:t>Sprint S3 propuesto</w:t>
      </w:r>
    </w:p>
    <w:p>
      <w:r>
        <w:t>Enfoque: alertas, métricas, trazabilidad y documentación. La retrospectiva conjunta se realizará cuando el equipo confirme el periodo y disponga de resultados integrados.</w:t>
      </w:r>
    </w:p>
    <w:p>
      <w:pPr>
        <w:pStyle w:val="Heading2"/>
      </w:pPr>
      <w:r>
        <w:t>Qué aporta la implementación observada</w:t>
      </w:r>
    </w:p>
    <w:p>
      <w:r>
        <w:t>El flujo dispone de una ruta de alertas, un resumen HTML y contadores separados para creados, corregidos, completos y alertas. El uso de nodos identificables permite relacionar historias, reglas y pruebas. La estructura está presente en el JSON; el envío y el resumen completo requieren validación integrada.</w:t>
      </w:r>
    </w:p>
    <w:p>
      <w:pPr>
        <w:pStyle w:val="Heading2"/>
      </w:pPr>
      <w:r>
        <w:t>Qué requiere revisión conjunta</w:t>
      </w:r>
    </w:p>
    <w:p>
      <w:r>
        <w:t>Los contadores no distinguen de forma suficiente simulación de escritura comprobada. El total se deriva de la suma de categorías, no de una conciliación independiente de proyectos seleccionados. staticData global debe revisarse frente a ejecuciones simultáneas. Los errores de correo y el lote sin proyectos tampoco cuentan aún con evidencia de prueba.</w:t>
      </w:r>
    </w:p>
    <w:p>
      <w:pPr>
        <w:pStyle w:val="Heading2"/>
      </w:pPr>
      <w:r>
        <w:t>Acciones y responsables</w:t>
      </w:r>
    </w:p>
    <w:tbl>
      <w:tblPr>
        <w:tblW w:type="auto" w:w="0"/>
        <w:tblLayout w:type="fixed"/>
        <w:tblLook w:firstColumn="1" w:firstRow="1" w:lastColumn="0" w:lastRow="0" w:noHBand="0" w:noVBand="1" w:val="04A0"/>
      </w:tblPr>
      <w:tblGrid>
        <w:gridCol w:w="4032"/>
        <w:gridCol w:w="2160"/>
        <w:gridCol w:w="3528"/>
      </w:tblGrid>
      <w:tr>
        <w:trPr>
          <w:cantSplit/>
          <w:tblHeader/>
        </w:trPr>
        <w:tc>
          <w:tcPr>
            <w:tcW w:type="dxa" w:w="403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Acción propuesta</w:t>
            </w:r>
          </w:p>
        </w:tc>
        <w:tc>
          <w:tcPr>
            <w:tcW w:type="dxa" w:w="216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Responsable propuesto</w:t>
            </w:r>
          </w:p>
        </w:tc>
        <w:tc>
          <w:tcPr>
            <w:tcW w:type="dxa" w:w="35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b/>
                <w:color w:val="FFFFFF"/>
                <w:sz w:val="20"/>
              </w:rPr>
              <w:t>Cierre verificable</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Separar simulados y persistidos en el resumen.</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Sebastian Torres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CP-22 con conciliación por proyecto.</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Acordar conservación del detalle y recuperación.</w:t>
            </w:r>
          </w:p>
        </w:tc>
        <w:tc>
          <w:tcPr>
            <w:tcW w:type="dxa" w:w="21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Ociel Escobar</w:t>
            </w:r>
          </w:p>
        </w:tc>
        <w:tc>
          <w:tcPr>
            <w:tcW w:type="dxa" w:w="35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CP-26 y CP-29 documentadas.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Revisar destinatarios y accesibilidad del correo.</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Sebastian Torres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CP-24 y CP-25 ejecutadas.</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Revisar los siete archivos y registrar acuerdos reales.</w:t>
            </w:r>
          </w:p>
        </w:tc>
        <w:tc>
          <w:tcPr>
            <w:tcW w:type="dxa" w:w="21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Equipo</w:t>
            </w:r>
          </w:p>
        </w:tc>
        <w:tc>
          <w:tcPr>
            <w:tcW w:type="dxa" w:w="35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pPr>
            <w:r>
              <w:rPr>
                <w:sz w:val="20"/>
              </w:rPr>
              <w:t>CP-28 y CP-30; fecha y evidencia de revisión.</w:t>
            </w:r>
          </w:p>
        </w:tc>
      </w:tr>
    </w:tbl>
    <w:p>
      <w:pPr>
        <w:pStyle w:val="Heading2"/>
      </w:pPr>
      <w:r>
        <w:t>Preguntas para la sesión del equipo</w:t>
      </w:r>
    </w:p>
    <w:p>
      <w:r>
        <w:t>¿Qué tareas se completaron realmente y en qué fechas? ¿Qué reglas institucionales fueron confirmadas? ¿Quién acepta cada corrección? ¿Qué impedimentos requieren apoyo externo? Incorporar las respuestas en el seguimiento cuando exista acuerdo de ambos integrantes.</w:t>
      </w:r>
    </w:p>
    <w:p>
      <w:pPr>
        <w:pStyle w:val="Heading2"/>
      </w:pPr>
      <w:r>
        <w:t>Fuentes de los hallazgos</w:t>
      </w:r>
    </w:p>
    <w:p>
      <w:r>
        <w:t>Flujo_capstone_DUOC_actual_20261021.json; resultados de CP-01 a CP-12 registrados en Pruebas.xlsx; planificación propuesta en Product Backlog.xlsx y Sprint Backlog.xlsx.</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Retrospectivas</dc:title>
  <dc:subject/>
  <dc:creator>Ociel Escobar y Sebastian Torres</dc:creator>
  <cp:keywords/>
  <dc:description>generated by python-docx</dc:description>
  <cp:lastModifiedBy/>
  <cp:revision>1</cp:revision>
  <dcterms:created xsi:type="dcterms:W3CDTF">2013-12-23T23:15:00Z</dcterms:created>
  <dcterms:modified xsi:type="dcterms:W3CDTF">2013-12-23T23:15:00Z</dcterms:modified>
  <cp:category/>
</cp:coreProperties>
</file>