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E-commerce Sales Funnel &amp; Conversion Analysis</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project analysis customer behavior across an e-commerce sales funnel to identify where customers drop out of the purchasing journey. It also evaluates the effectiveness of different traffic sources, understand how long customers take to convert and assess overall revenue performance.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Using SQL in google bigquery, customer activity was analysed across five funnel stages:</w:t>
      </w:r>
    </w:p>
    <w:p w:rsidR="00000000" w:rsidDel="00000000" w:rsidP="00000000" w:rsidRDefault="00000000" w:rsidRPr="00000000" w14:paraId="00000006">
      <w:pPr>
        <w:rPr/>
      </w:pPr>
      <w:r w:rsidDel="00000000" w:rsidR="00000000" w:rsidRPr="00000000">
        <w:rPr>
          <w:rtl w:val="0"/>
        </w:rPr>
        <w:t xml:space="preserve">Page view - add to cart - checkout - payment - purchase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analysis covered 5,000 visitors of whom 826 completed a purchase, resulting in an overall observed conversion rate of approximately 17%. The largest drop-off occurred between page view and add to cart, where only 31% of the visitors progressed to the next stage. Later stages performed considerably better, with 92% of users who reached the payment stage completing their purchase.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Traffic-source analysis revealed substantial differences in customer quality. Email generated the highest purchase conversion rate at 34%, while socials generated the lowest at 7%, despite social attracting substantially more visitors.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results suggest that the greatest opportunities lie in improving early-funnel engagement, expanding or further-testing high-converting email activity and investigating why social tariff converts relatively poorly.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Business recommendations</w:t>
      </w:r>
      <w:r w:rsidDel="00000000" w:rsidR="00000000" w:rsidRPr="00000000">
        <w:rPr>
          <w:rtl w:val="0"/>
        </w:rPr>
        <w:t xml:space="preserve"> </w:t>
      </w:r>
    </w:p>
    <w:p w:rsidR="00000000" w:rsidDel="00000000" w:rsidP="00000000" w:rsidRDefault="00000000" w:rsidRPr="00000000" w14:paraId="0000000F">
      <w:pPr>
        <w:pStyle w:val="Heading3"/>
        <w:keepNext w:val="0"/>
        <w:keepLines w:val="0"/>
        <w:numPr>
          <w:ilvl w:val="0"/>
          <w:numId w:val="1"/>
        </w:numPr>
        <w:spacing w:before="280" w:lineRule="auto"/>
        <w:ind w:left="720" w:hanging="360"/>
        <w:rPr>
          <w:color w:val="000000"/>
          <w:sz w:val="22"/>
          <w:szCs w:val="22"/>
        </w:rPr>
      </w:pPr>
      <w:bookmarkStart w:colFirst="0" w:colLast="0" w:name="_iitqqzgc4cl6" w:id="0"/>
      <w:bookmarkEnd w:id="0"/>
      <w:r w:rsidDel="00000000" w:rsidR="00000000" w:rsidRPr="00000000">
        <w:rPr>
          <w:color w:val="000000"/>
          <w:sz w:val="22"/>
          <w:szCs w:val="22"/>
          <w:rtl w:val="0"/>
        </w:rPr>
        <w:t xml:space="preserve">Prioritise early-funnel optimisation</w:t>
      </w:r>
    </w:p>
    <w:p w:rsidR="00000000" w:rsidDel="00000000" w:rsidP="00000000" w:rsidRDefault="00000000" w:rsidRPr="00000000" w14:paraId="00000010">
      <w:pPr>
        <w:spacing w:after="240" w:before="240" w:lineRule="auto"/>
        <w:rPr/>
      </w:pPr>
      <w:r w:rsidDel="00000000" w:rsidR="00000000" w:rsidRPr="00000000">
        <w:rPr>
          <w:rtl w:val="0"/>
        </w:rPr>
        <w:t xml:space="preserve">The largest observed customer loss occurs between page view and add-to-cart, with approximately 69% of visitors failing to progress to cart.</w:t>
      </w:r>
    </w:p>
    <w:p w:rsidR="00000000" w:rsidDel="00000000" w:rsidP="00000000" w:rsidRDefault="00000000" w:rsidRPr="00000000" w14:paraId="00000011">
      <w:pPr>
        <w:spacing w:after="240" w:before="240" w:lineRule="auto"/>
        <w:rPr/>
      </w:pPr>
      <w:r w:rsidDel="00000000" w:rsidR="00000000" w:rsidRPr="00000000">
        <w:rPr>
          <w:rtl w:val="0"/>
        </w:rPr>
        <w:t xml:space="preserve">The business should investigate factors that could affect early-stage engagement, including product-page content, product imagery, pricing presentation, calls-to-action, page performance and landing-page relevance.</w:t>
      </w:r>
    </w:p>
    <w:p w:rsidR="00000000" w:rsidDel="00000000" w:rsidP="00000000" w:rsidRDefault="00000000" w:rsidRPr="00000000" w14:paraId="00000012">
      <w:pPr>
        <w:spacing w:after="240" w:before="240" w:lineRule="auto"/>
        <w:rPr/>
      </w:pPr>
      <w:r w:rsidDel="00000000" w:rsidR="00000000" w:rsidRPr="00000000">
        <w:rPr>
          <w:rtl w:val="0"/>
        </w:rPr>
        <w:t xml:space="preserve">Potential improvements should be tested through controlled experiments such as A/B testing rather than assuming any single factor is responsible.</w:t>
      </w:r>
    </w:p>
    <w:p w:rsidR="00000000" w:rsidDel="00000000" w:rsidP="00000000" w:rsidRDefault="00000000" w:rsidRPr="00000000" w14:paraId="00000013">
      <w:pPr>
        <w:numPr>
          <w:ilvl w:val="0"/>
          <w:numId w:val="1"/>
        </w:numPr>
        <w:spacing w:after="240" w:before="240" w:lineRule="auto"/>
        <w:ind w:left="720" w:hanging="360"/>
        <w:rPr>
          <w:u w:val="none"/>
        </w:rPr>
      </w:pPr>
      <w:r w:rsidDel="00000000" w:rsidR="00000000" w:rsidRPr="00000000">
        <w:rPr>
          <w:color w:val="000000"/>
          <w:sz w:val="22"/>
          <w:szCs w:val="22"/>
          <w:rtl w:val="0"/>
        </w:rPr>
        <w:t xml:space="preserve">Explore expansion of email marketing</w:t>
      </w:r>
    </w:p>
    <w:p w:rsidR="00000000" w:rsidDel="00000000" w:rsidP="00000000" w:rsidRDefault="00000000" w:rsidRPr="00000000" w14:paraId="00000014">
      <w:pPr>
        <w:spacing w:after="240" w:before="240" w:lineRule="auto"/>
        <w:rPr/>
      </w:pPr>
      <w:r w:rsidDel="00000000" w:rsidR="00000000" w:rsidRPr="00000000">
        <w:rPr>
          <w:rtl w:val="0"/>
        </w:rPr>
        <w:t xml:space="preserve">Email generated the highest observed purchase conversion rate at 34%, despite accounting for the smallest traffic volume.</w:t>
      </w:r>
    </w:p>
    <w:p w:rsidR="00000000" w:rsidDel="00000000" w:rsidP="00000000" w:rsidRDefault="00000000" w:rsidRPr="00000000" w14:paraId="00000015">
      <w:pPr>
        <w:spacing w:after="240" w:before="240" w:lineRule="auto"/>
        <w:rPr/>
      </w:pPr>
      <w:r w:rsidDel="00000000" w:rsidR="00000000" w:rsidRPr="00000000">
        <w:rPr>
          <w:rtl w:val="0"/>
        </w:rPr>
        <w:t xml:space="preserve">The business should investigate opportunities to expand this channel while monitoring whether its strong conversion performance continues at greater scale.</w:t>
      </w:r>
    </w:p>
    <w:p w:rsidR="00000000" w:rsidDel="00000000" w:rsidP="00000000" w:rsidRDefault="00000000" w:rsidRPr="00000000" w14:paraId="00000016">
      <w:pPr>
        <w:spacing w:after="240" w:before="240" w:lineRule="auto"/>
        <w:rPr/>
      </w:pPr>
      <w:r w:rsidDel="00000000" w:rsidR="00000000" w:rsidRPr="00000000">
        <w:rPr>
          <w:rtl w:val="0"/>
        </w:rPr>
        <w:t xml:space="preserve">Potential strategies to test include customer retention campaigns, personalised product recommendations, abandoned-cart communications and targeted promotional campaigns.</w:t>
      </w:r>
    </w:p>
    <w:p w:rsidR="00000000" w:rsidDel="00000000" w:rsidP="00000000" w:rsidRDefault="00000000" w:rsidRPr="00000000" w14:paraId="00000017">
      <w:pPr>
        <w:spacing w:after="240" w:before="240" w:lineRule="auto"/>
        <w:rPr/>
      </w:pPr>
      <w:r w:rsidDel="00000000" w:rsidR="00000000" w:rsidRPr="00000000">
        <w:rPr>
          <w:rtl w:val="0"/>
        </w:rPr>
        <w:t xml:space="preserve">Business objective: Generate greater value from a high-converting acquisition/retention channel.</w:t>
      </w:r>
    </w:p>
    <w:p w:rsidR="00000000" w:rsidDel="00000000" w:rsidP="00000000" w:rsidRDefault="00000000" w:rsidRPr="00000000" w14:paraId="00000018">
      <w:pPr>
        <w:numPr>
          <w:ilvl w:val="0"/>
          <w:numId w:val="1"/>
        </w:numPr>
        <w:spacing w:after="240" w:before="240" w:lineRule="auto"/>
        <w:ind w:left="720" w:hanging="360"/>
        <w:rPr>
          <w:u w:val="none"/>
        </w:rPr>
      </w:pPr>
      <w:r w:rsidDel="00000000" w:rsidR="00000000" w:rsidRPr="00000000">
        <w:rPr>
          <w:color w:val="000000"/>
          <w:sz w:val="22"/>
          <w:szCs w:val="22"/>
          <w:rtl w:val="0"/>
        </w:rPr>
        <w:t xml:space="preserve"> Investigate social traffic quality</w:t>
      </w:r>
    </w:p>
    <w:p w:rsidR="00000000" w:rsidDel="00000000" w:rsidP="00000000" w:rsidRDefault="00000000" w:rsidRPr="00000000" w14:paraId="00000019">
      <w:pPr>
        <w:spacing w:after="240" w:before="240" w:lineRule="auto"/>
        <w:rPr/>
      </w:pPr>
      <w:r w:rsidDel="00000000" w:rsidR="00000000" w:rsidRPr="00000000">
        <w:rPr>
          <w:rtl w:val="0"/>
        </w:rPr>
        <w:t xml:space="preserve">Social generated 1,472 visitors but only 102 purchases, resulting in the lowest observed purchase conversion rate at approximately 7%.</w:t>
      </w:r>
    </w:p>
    <w:p w:rsidR="00000000" w:rsidDel="00000000" w:rsidP="00000000" w:rsidRDefault="00000000" w:rsidRPr="00000000" w14:paraId="0000001A">
      <w:pPr>
        <w:spacing w:after="240" w:before="240" w:lineRule="auto"/>
        <w:rPr/>
      </w:pPr>
      <w:r w:rsidDel="00000000" w:rsidR="00000000" w:rsidRPr="00000000">
        <w:rPr>
          <w:rtl w:val="0"/>
        </w:rPr>
        <w:t xml:space="preserve">The business should analyse social performance at a more granular level, including campaign, platform, audience segment and landing page.</w:t>
      </w:r>
    </w:p>
    <w:p w:rsidR="00000000" w:rsidDel="00000000" w:rsidP="00000000" w:rsidRDefault="00000000" w:rsidRPr="00000000" w14:paraId="0000001B">
      <w:pPr>
        <w:spacing w:after="240" w:before="240" w:lineRule="auto"/>
        <w:rPr/>
      </w:pPr>
      <w:r w:rsidDel="00000000" w:rsidR="00000000" w:rsidRPr="00000000">
        <w:rPr>
          <w:rtl w:val="0"/>
        </w:rPr>
        <w:t xml:space="preserve">The objective should not necessarily be to reduce social activity immediately, because this dataset does not contain information such as acquisition cost or brand-awareness value.</w:t>
      </w:r>
    </w:p>
    <w:p w:rsidR="00000000" w:rsidDel="00000000" w:rsidP="00000000" w:rsidRDefault="00000000" w:rsidRPr="00000000" w14:paraId="0000001C">
      <w:pPr>
        <w:spacing w:after="240" w:before="240" w:lineRule="auto"/>
        <w:rPr/>
      </w:pPr>
      <w:r w:rsidDel="00000000" w:rsidR="00000000" w:rsidRPr="00000000">
        <w:rPr>
          <w:rtl w:val="0"/>
        </w:rPr>
        <w:t xml:space="preserve">Instead, the business should determine why social visitors are substantially less likely to progress through the funnel.</w:t>
      </w:r>
    </w:p>
    <w:p w:rsidR="00000000" w:rsidDel="00000000" w:rsidP="00000000" w:rsidRDefault="00000000" w:rsidRPr="00000000" w14:paraId="0000001D">
      <w:pPr>
        <w:numPr>
          <w:ilvl w:val="0"/>
          <w:numId w:val="1"/>
        </w:numPr>
        <w:spacing w:after="240" w:before="240" w:lineRule="auto"/>
        <w:ind w:left="720" w:hanging="360"/>
        <w:rPr/>
      </w:pPr>
      <w:r w:rsidDel="00000000" w:rsidR="00000000" w:rsidRPr="00000000">
        <w:rPr>
          <w:rtl w:val="0"/>
        </w:rPr>
        <w:t xml:space="preserve"> Evaluate paid advertising profitability before increasing spend</w:t>
      </w:r>
    </w:p>
    <w:p w:rsidR="00000000" w:rsidDel="00000000" w:rsidP="00000000" w:rsidRDefault="00000000" w:rsidRPr="00000000" w14:paraId="0000001E">
      <w:pPr>
        <w:spacing w:after="240" w:before="240" w:lineRule="auto"/>
        <w:rPr/>
      </w:pPr>
      <w:r w:rsidDel="00000000" w:rsidR="00000000" w:rsidRPr="00000000">
        <w:rPr>
          <w:rtl w:val="0"/>
        </w:rPr>
        <w:t xml:space="preserve">Paid advertising generated 968 visitors, 204 purchases and $21,487.54 in revenue, with a 21.07% purchase conversion rate and $22.20 revenue per visitor.</w:t>
      </w:r>
    </w:p>
    <w:p w:rsidR="00000000" w:rsidDel="00000000" w:rsidP="00000000" w:rsidRDefault="00000000" w:rsidRPr="00000000" w14:paraId="0000001F">
      <w:pPr>
        <w:spacing w:after="240" w:before="240" w:lineRule="auto"/>
        <w:rPr/>
      </w:pPr>
      <w:r w:rsidDel="00000000" w:rsidR="00000000" w:rsidRPr="00000000">
        <w:rPr>
          <w:rtl w:val="0"/>
        </w:rPr>
        <w:t xml:space="preserve">Its conversion performance is relatively strong, but the current dataset does not contain advertising expenditure or customer acquisition cost. Therefore, conversion rate and revenue alone cannot determine whether paid advertising is profitable.</w:t>
      </w:r>
    </w:p>
    <w:p w:rsidR="00000000" w:rsidDel="00000000" w:rsidP="00000000" w:rsidRDefault="00000000" w:rsidRPr="00000000" w14:paraId="00000020">
      <w:pPr>
        <w:spacing w:after="240" w:before="240" w:lineRule="auto"/>
        <w:rPr/>
      </w:pPr>
      <w:r w:rsidDel="00000000" w:rsidR="00000000" w:rsidRPr="00000000">
        <w:rPr>
          <w:rtl w:val="0"/>
        </w:rPr>
        <w:t xml:space="preserve">Before recommending an increase or reduction in advertising expenditure, the business should combine this analysis with ad spend, customer acquisition cost (CAC), gross margin and return on ad spend (ROAS) to establish whether paid advertising is generating sufficient revenue relative to its cost.</w:t>
      </w:r>
    </w:p>
    <w:p w:rsidR="00000000" w:rsidDel="00000000" w:rsidP="00000000" w:rsidRDefault="00000000" w:rsidRPr="00000000" w14:paraId="00000021">
      <w:pPr>
        <w:spacing w:after="240" w:before="240" w:lineRule="auto"/>
        <w:ind w:left="0" w:firstLine="0"/>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