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5275B" w14:textId="567F6A15" w:rsidR="0065131D" w:rsidRDefault="41028EAA" w:rsidP="3C0BAC93">
      <w:pPr>
        <w:spacing w:before="480" w:after="0" w:line="276" w:lineRule="auto"/>
        <w:ind w:left="284" w:right="247"/>
      </w:pPr>
      <w:r w:rsidRPr="3C0BAC93">
        <w:rPr>
          <w:rFonts w:ascii="Calibri" w:eastAsia="Calibri" w:hAnsi="Calibri" w:cs="Calibri"/>
          <w:b/>
          <w:bCs/>
          <w:color w:val="000000" w:themeColor="text1"/>
          <w:sz w:val="28"/>
          <w:szCs w:val="28"/>
        </w:rPr>
        <w:t>Contents</w:t>
      </w:r>
    </w:p>
    <w:p w14:paraId="68632B3E" w14:textId="745B3A8F" w:rsidR="0065131D" w:rsidRDefault="41028EAA" w:rsidP="3C0BAC93">
      <w:pPr>
        <w:spacing w:after="0"/>
        <w:ind w:left="284" w:right="247"/>
      </w:pPr>
      <w:r w:rsidRPr="3C0BAC93">
        <w:rPr>
          <w:rFonts w:ascii="Calibri" w:eastAsia="Calibri" w:hAnsi="Calibri" w:cs="Calibri"/>
        </w:rPr>
        <w:t xml:space="preserve"> </w:t>
      </w:r>
    </w:p>
    <w:p w14:paraId="20D42458" w14:textId="098CE580" w:rsidR="0065131D" w:rsidRDefault="41028EAA" w:rsidP="3C0BAC93">
      <w:pPr>
        <w:spacing w:before="120" w:after="120" w:line="480" w:lineRule="auto"/>
      </w:pPr>
      <w:hyperlink r:id="rId5" w:anchor="_Toc185354341">
        <w:r w:rsidRPr="3C0BAC93">
          <w:rPr>
            <w:rStyle w:val="Hyperlink"/>
            <w:rFonts w:ascii="Times New Roman" w:eastAsia="Times New Roman" w:hAnsi="Times New Roman" w:cs="Times New Roman"/>
            <w:b/>
            <w:bCs/>
            <w:caps/>
            <w:color w:val="0000FF"/>
          </w:rPr>
          <w:t>1.</w:t>
        </w:r>
        <w:r w:rsidR="005E0C3C">
          <w:tab/>
        </w:r>
        <w:r w:rsidRPr="3C0BAC93">
          <w:rPr>
            <w:rStyle w:val="Hyperlink"/>
            <w:rFonts w:ascii="Times New Roman" w:eastAsia="Times New Roman" w:hAnsi="Times New Roman" w:cs="Times New Roman"/>
            <w:b/>
            <w:bCs/>
            <w:caps/>
            <w:color w:val="0000FF"/>
          </w:rPr>
          <w:t>Introduction</w:t>
        </w:r>
        <w:r w:rsidR="005E0C3C">
          <w:tab/>
        </w:r>
        <w:r w:rsidRPr="3C0BAC93">
          <w:rPr>
            <w:rStyle w:val="Hyperlink"/>
            <w:rFonts w:ascii="Times New Roman" w:eastAsia="Times New Roman" w:hAnsi="Times New Roman" w:cs="Times New Roman"/>
            <w:b/>
            <w:bCs/>
            <w:caps/>
            <w:color w:val="0000FF"/>
            <w:u w:val="none"/>
          </w:rPr>
          <w:t>7</w:t>
        </w:r>
      </w:hyperlink>
    </w:p>
    <w:p w14:paraId="62968B6A" w14:textId="4E23D7A0" w:rsidR="0065131D" w:rsidRDefault="41028EAA" w:rsidP="3C0BAC93">
      <w:pPr>
        <w:spacing w:before="120" w:after="120" w:line="480" w:lineRule="auto"/>
      </w:pPr>
      <w:hyperlink r:id="rId6" w:anchor="_Toc185354342">
        <w:r w:rsidRPr="3C0BAC93">
          <w:rPr>
            <w:rStyle w:val="Hyperlink"/>
            <w:rFonts w:ascii="Times New Roman" w:eastAsia="Times New Roman" w:hAnsi="Times New Roman" w:cs="Times New Roman"/>
            <w:b/>
            <w:bCs/>
            <w:caps/>
            <w:color w:val="0000FF"/>
          </w:rPr>
          <w:t>2.</w:t>
        </w:r>
        <w:r w:rsidR="005E0C3C">
          <w:tab/>
        </w:r>
        <w:r w:rsidRPr="3C0BAC93">
          <w:rPr>
            <w:rStyle w:val="Hyperlink"/>
            <w:rFonts w:ascii="Times New Roman" w:eastAsia="Times New Roman" w:hAnsi="Times New Roman" w:cs="Times New Roman"/>
            <w:b/>
            <w:bCs/>
            <w:caps/>
            <w:color w:val="0000FF"/>
          </w:rPr>
          <w:t>Purpose</w:t>
        </w:r>
        <w:r w:rsidR="005E0C3C">
          <w:tab/>
        </w:r>
        <w:r w:rsidRPr="3C0BAC93">
          <w:rPr>
            <w:rStyle w:val="Hyperlink"/>
            <w:rFonts w:ascii="Times New Roman" w:eastAsia="Times New Roman" w:hAnsi="Times New Roman" w:cs="Times New Roman"/>
            <w:b/>
            <w:bCs/>
            <w:caps/>
            <w:color w:val="0000FF"/>
            <w:u w:val="none"/>
          </w:rPr>
          <w:t>7</w:t>
        </w:r>
      </w:hyperlink>
    </w:p>
    <w:p w14:paraId="6F2CAEE7" w14:textId="2C407C34" w:rsidR="0065131D" w:rsidRDefault="41028EAA" w:rsidP="3C0BAC93">
      <w:pPr>
        <w:spacing w:before="120" w:after="120" w:line="480" w:lineRule="auto"/>
      </w:pPr>
      <w:hyperlink r:id="rId7" w:anchor="_Toc185354343">
        <w:r w:rsidRPr="3C0BAC93">
          <w:rPr>
            <w:rStyle w:val="Hyperlink"/>
            <w:rFonts w:ascii="Times New Roman" w:eastAsia="Times New Roman" w:hAnsi="Times New Roman" w:cs="Times New Roman"/>
            <w:b/>
            <w:bCs/>
            <w:caps/>
            <w:color w:val="0000FF"/>
          </w:rPr>
          <w:t>3.</w:t>
        </w:r>
        <w:r w:rsidR="005E0C3C">
          <w:tab/>
        </w:r>
        <w:r w:rsidRPr="3C0BAC93">
          <w:rPr>
            <w:rStyle w:val="Hyperlink"/>
            <w:rFonts w:ascii="Times New Roman" w:eastAsia="Times New Roman" w:hAnsi="Times New Roman" w:cs="Times New Roman"/>
            <w:b/>
            <w:bCs/>
            <w:caps/>
            <w:color w:val="0000FF"/>
          </w:rPr>
          <w:t>Scope</w:t>
        </w:r>
        <w:r w:rsidR="005E0C3C">
          <w:tab/>
        </w:r>
        <w:r w:rsidRPr="3C0BAC93">
          <w:rPr>
            <w:rStyle w:val="Hyperlink"/>
            <w:rFonts w:ascii="Times New Roman" w:eastAsia="Times New Roman" w:hAnsi="Times New Roman" w:cs="Times New Roman"/>
            <w:b/>
            <w:bCs/>
            <w:caps/>
            <w:color w:val="0000FF"/>
            <w:u w:val="none"/>
          </w:rPr>
          <w:t>7</w:t>
        </w:r>
      </w:hyperlink>
    </w:p>
    <w:p w14:paraId="63372CE3" w14:textId="7327F672" w:rsidR="0065131D" w:rsidRDefault="41028EAA" w:rsidP="3C0BAC93">
      <w:pPr>
        <w:spacing w:before="120" w:after="120" w:line="480" w:lineRule="auto"/>
      </w:pPr>
      <w:hyperlink r:id="rId8" w:anchor="_Toc185354344">
        <w:r w:rsidRPr="3C0BAC93">
          <w:rPr>
            <w:rStyle w:val="Hyperlink"/>
            <w:rFonts w:ascii="Times New Roman" w:eastAsia="Times New Roman" w:hAnsi="Times New Roman" w:cs="Times New Roman"/>
            <w:b/>
            <w:bCs/>
            <w:caps/>
            <w:color w:val="0000FF"/>
          </w:rPr>
          <w:t>4.</w:t>
        </w:r>
        <w:r w:rsidR="005E0C3C">
          <w:tab/>
        </w:r>
        <w:r w:rsidRPr="3C0BAC93">
          <w:rPr>
            <w:rStyle w:val="Hyperlink"/>
            <w:rFonts w:ascii="Times New Roman" w:eastAsia="Times New Roman" w:hAnsi="Times New Roman" w:cs="Times New Roman"/>
            <w:b/>
            <w:bCs/>
            <w:caps/>
            <w:color w:val="0000FF"/>
          </w:rPr>
          <w:t>Statement</w:t>
        </w:r>
        <w:r w:rsidR="005E0C3C">
          <w:tab/>
        </w:r>
        <w:r w:rsidRPr="3C0BAC93">
          <w:rPr>
            <w:rStyle w:val="Hyperlink"/>
            <w:rFonts w:ascii="Times New Roman" w:eastAsia="Times New Roman" w:hAnsi="Times New Roman" w:cs="Times New Roman"/>
            <w:b/>
            <w:bCs/>
            <w:caps/>
            <w:color w:val="0000FF"/>
            <w:u w:val="none"/>
          </w:rPr>
          <w:t>7</w:t>
        </w:r>
      </w:hyperlink>
    </w:p>
    <w:p w14:paraId="205556FA" w14:textId="5DD8C9E3" w:rsidR="0065131D" w:rsidRDefault="41028EAA" w:rsidP="3C0BAC93">
      <w:pPr>
        <w:spacing w:before="120" w:after="120" w:line="480" w:lineRule="auto"/>
      </w:pPr>
      <w:hyperlink r:id="rId9" w:anchor="_Toc185354345">
        <w:r w:rsidRPr="3C0BAC93">
          <w:rPr>
            <w:rStyle w:val="Hyperlink"/>
            <w:rFonts w:ascii="Times New Roman" w:eastAsia="Times New Roman" w:hAnsi="Times New Roman" w:cs="Times New Roman"/>
            <w:b/>
            <w:bCs/>
            <w:caps/>
            <w:color w:val="0000FF"/>
          </w:rPr>
          <w:t>5.</w:t>
        </w:r>
        <w:r w:rsidR="005E0C3C">
          <w:tab/>
        </w:r>
        <w:r w:rsidRPr="3C0BAC93">
          <w:rPr>
            <w:rStyle w:val="Hyperlink"/>
            <w:rFonts w:ascii="Times New Roman" w:eastAsia="Times New Roman" w:hAnsi="Times New Roman" w:cs="Times New Roman"/>
            <w:b/>
            <w:bCs/>
            <w:caps/>
            <w:color w:val="0000FF"/>
          </w:rPr>
          <w:t>References and Regulations</w:t>
        </w:r>
        <w:r w:rsidR="005E0C3C">
          <w:tab/>
        </w:r>
        <w:r w:rsidRPr="3C0BAC93">
          <w:rPr>
            <w:rStyle w:val="Hyperlink"/>
            <w:rFonts w:ascii="Times New Roman" w:eastAsia="Times New Roman" w:hAnsi="Times New Roman" w:cs="Times New Roman"/>
            <w:b/>
            <w:bCs/>
            <w:caps/>
            <w:color w:val="0000FF"/>
            <w:u w:val="none"/>
          </w:rPr>
          <w:t>7</w:t>
        </w:r>
      </w:hyperlink>
    </w:p>
    <w:p w14:paraId="36BBDC64" w14:textId="1A470813" w:rsidR="0065131D" w:rsidRDefault="41028EAA" w:rsidP="3C0BAC93">
      <w:pPr>
        <w:spacing w:before="120" w:after="120" w:line="480" w:lineRule="auto"/>
      </w:pPr>
      <w:hyperlink r:id="rId10" w:anchor="_Toc185354346">
        <w:r w:rsidRPr="3C0BAC93">
          <w:rPr>
            <w:rStyle w:val="Hyperlink"/>
            <w:rFonts w:ascii="Times New Roman" w:eastAsia="Times New Roman" w:hAnsi="Times New Roman" w:cs="Times New Roman"/>
            <w:b/>
            <w:bCs/>
            <w:caps/>
            <w:color w:val="0000FF"/>
          </w:rPr>
          <w:t>6.</w:t>
        </w:r>
        <w:r w:rsidR="005E0C3C">
          <w:tab/>
        </w:r>
        <w:r w:rsidRPr="3C0BAC93">
          <w:rPr>
            <w:rStyle w:val="Hyperlink"/>
            <w:rFonts w:ascii="Times New Roman" w:eastAsia="Times New Roman" w:hAnsi="Times New Roman" w:cs="Times New Roman"/>
            <w:b/>
            <w:bCs/>
            <w:caps/>
            <w:color w:val="0000FF"/>
          </w:rPr>
          <w:t>Roles and Responsibilities</w:t>
        </w:r>
        <w:r w:rsidR="005E0C3C">
          <w:tab/>
        </w:r>
        <w:r w:rsidRPr="3C0BAC93">
          <w:rPr>
            <w:rStyle w:val="Hyperlink"/>
            <w:rFonts w:ascii="Times New Roman" w:eastAsia="Times New Roman" w:hAnsi="Times New Roman" w:cs="Times New Roman"/>
            <w:b/>
            <w:bCs/>
            <w:caps/>
            <w:color w:val="0000FF"/>
            <w:u w:val="none"/>
          </w:rPr>
          <w:t>7</w:t>
        </w:r>
      </w:hyperlink>
    </w:p>
    <w:p w14:paraId="34802AB3" w14:textId="3BA46B2A" w:rsidR="0065131D" w:rsidRDefault="41028EAA" w:rsidP="3C0BAC93">
      <w:pPr>
        <w:spacing w:before="120" w:after="120" w:line="480" w:lineRule="auto"/>
      </w:pPr>
      <w:hyperlink r:id="rId11" w:anchor="_Toc185354347">
        <w:r w:rsidRPr="3C0BAC93">
          <w:rPr>
            <w:rStyle w:val="Hyperlink"/>
            <w:rFonts w:ascii="Times New Roman" w:eastAsia="Times New Roman" w:hAnsi="Times New Roman" w:cs="Times New Roman"/>
            <w:b/>
            <w:bCs/>
            <w:caps/>
            <w:color w:val="0000FF"/>
          </w:rPr>
          <w:t>7.</w:t>
        </w:r>
        <w:r w:rsidR="005E0C3C">
          <w:tab/>
        </w:r>
        <w:r w:rsidRPr="3C0BAC93">
          <w:rPr>
            <w:rStyle w:val="Hyperlink"/>
            <w:rFonts w:ascii="Times New Roman" w:eastAsia="Times New Roman" w:hAnsi="Times New Roman" w:cs="Times New Roman"/>
            <w:b/>
            <w:bCs/>
            <w:caps/>
            <w:color w:val="0000FF"/>
          </w:rPr>
          <w:t>Implementation</w:t>
        </w:r>
        <w:r w:rsidR="005E0C3C">
          <w:tab/>
        </w:r>
        <w:r w:rsidRPr="3C0BAC93">
          <w:rPr>
            <w:rStyle w:val="Hyperlink"/>
            <w:rFonts w:ascii="Times New Roman" w:eastAsia="Times New Roman" w:hAnsi="Times New Roman" w:cs="Times New Roman"/>
            <w:b/>
            <w:bCs/>
            <w:caps/>
            <w:color w:val="0000FF"/>
            <w:u w:val="none"/>
          </w:rPr>
          <w:t>7</w:t>
        </w:r>
      </w:hyperlink>
    </w:p>
    <w:p w14:paraId="6BFB685F" w14:textId="09BA7DE1" w:rsidR="0065131D" w:rsidRDefault="41028EAA" w:rsidP="3C0BAC93">
      <w:pPr>
        <w:spacing w:before="120" w:after="120" w:line="480" w:lineRule="auto"/>
      </w:pPr>
      <w:hyperlink r:id="rId12" w:anchor="_Toc185354348">
        <w:r w:rsidRPr="3C0BAC93">
          <w:rPr>
            <w:rStyle w:val="Hyperlink"/>
            <w:rFonts w:ascii="Times New Roman" w:eastAsia="Times New Roman" w:hAnsi="Times New Roman" w:cs="Times New Roman"/>
            <w:b/>
            <w:bCs/>
            <w:caps/>
            <w:color w:val="0000FF"/>
          </w:rPr>
          <w:t>8.</w:t>
        </w:r>
        <w:r w:rsidR="005E0C3C">
          <w:tab/>
        </w:r>
        <w:r w:rsidRPr="3C0BAC93">
          <w:rPr>
            <w:rStyle w:val="Hyperlink"/>
            <w:rFonts w:ascii="Times New Roman" w:eastAsia="Times New Roman" w:hAnsi="Times New Roman" w:cs="Times New Roman"/>
            <w:b/>
            <w:bCs/>
            <w:caps/>
            <w:color w:val="0000FF"/>
          </w:rPr>
          <w:t>Reviews and Updates</w:t>
        </w:r>
        <w:r w:rsidR="005E0C3C">
          <w:tab/>
        </w:r>
        <w:r w:rsidRPr="3C0BAC93">
          <w:rPr>
            <w:rStyle w:val="Hyperlink"/>
            <w:rFonts w:ascii="Times New Roman" w:eastAsia="Times New Roman" w:hAnsi="Times New Roman" w:cs="Times New Roman"/>
            <w:b/>
            <w:bCs/>
            <w:caps/>
            <w:color w:val="0000FF"/>
            <w:u w:val="none"/>
          </w:rPr>
          <w:t>30</w:t>
        </w:r>
      </w:hyperlink>
    </w:p>
    <w:p w14:paraId="42643244" w14:textId="700DB28C" w:rsidR="0065131D" w:rsidRDefault="41028EAA" w:rsidP="3C0BAC93">
      <w:pPr>
        <w:spacing w:before="120" w:after="120" w:line="480" w:lineRule="auto"/>
      </w:pPr>
      <w:hyperlink r:id="rId13" w:anchor="_Toc185354349">
        <w:r w:rsidRPr="3C0BAC93">
          <w:rPr>
            <w:rStyle w:val="Hyperlink"/>
            <w:rFonts w:ascii="Times New Roman" w:eastAsia="Times New Roman" w:hAnsi="Times New Roman" w:cs="Times New Roman"/>
            <w:b/>
            <w:bCs/>
            <w:caps/>
            <w:color w:val="0000FF"/>
          </w:rPr>
          <w:t>9.</w:t>
        </w:r>
        <w:r w:rsidR="005E0C3C">
          <w:tab/>
        </w:r>
        <w:r w:rsidRPr="3C0BAC93">
          <w:rPr>
            <w:rStyle w:val="Hyperlink"/>
            <w:rFonts w:ascii="Times New Roman" w:eastAsia="Times New Roman" w:hAnsi="Times New Roman" w:cs="Times New Roman"/>
            <w:b/>
            <w:bCs/>
            <w:caps/>
            <w:color w:val="0000FF"/>
          </w:rPr>
          <w:t>AML Statement and Whistleblowing Unit</w:t>
        </w:r>
        <w:r w:rsidR="005E0C3C">
          <w:tab/>
        </w:r>
        <w:r w:rsidRPr="3C0BAC93">
          <w:rPr>
            <w:rStyle w:val="Hyperlink"/>
            <w:rFonts w:ascii="Times New Roman" w:eastAsia="Times New Roman" w:hAnsi="Times New Roman" w:cs="Times New Roman"/>
            <w:b/>
            <w:bCs/>
            <w:caps/>
            <w:color w:val="0000FF"/>
            <w:u w:val="none"/>
          </w:rPr>
          <w:t>30</w:t>
        </w:r>
      </w:hyperlink>
    </w:p>
    <w:p w14:paraId="3EAADD42" w14:textId="2F611D6A" w:rsidR="0065131D" w:rsidRDefault="41028EAA" w:rsidP="3C0BAC93">
      <w:pPr>
        <w:bidi/>
        <w:spacing w:before="120" w:after="120" w:line="480" w:lineRule="auto"/>
      </w:pPr>
      <w:hyperlink r:id="rId14" w:anchor="_Toc185354350">
        <w:r w:rsidRPr="3C0BAC93">
          <w:rPr>
            <w:rStyle w:val="Hyperlink"/>
            <w:rFonts w:ascii="Times New Roman" w:eastAsia="Times New Roman" w:hAnsi="Times New Roman" w:cs="Times New Roman"/>
            <w:b/>
            <w:bCs/>
            <w:caps/>
            <w:color w:val="0000FF"/>
          </w:rPr>
          <w:t>10.</w:t>
        </w:r>
        <w:r w:rsidR="005E0C3C">
          <w:tab/>
        </w:r>
        <w:r w:rsidRPr="3C0BAC93">
          <w:rPr>
            <w:rStyle w:val="Hyperlink"/>
            <w:rFonts w:ascii="Times New Roman" w:eastAsia="Times New Roman" w:hAnsi="Times New Roman" w:cs="Times New Roman"/>
            <w:b/>
            <w:bCs/>
            <w:caps/>
            <w:color w:val="0000FF"/>
          </w:rPr>
          <w:t>Shariah Governance Requirements</w:t>
        </w:r>
        <w:r w:rsidR="005E0C3C">
          <w:tab/>
        </w:r>
        <w:r w:rsidRPr="3C0BAC93">
          <w:rPr>
            <w:rStyle w:val="Hyperlink"/>
            <w:rFonts w:ascii="Times New Roman" w:eastAsia="Times New Roman" w:hAnsi="Times New Roman" w:cs="Times New Roman"/>
            <w:b/>
            <w:bCs/>
            <w:caps/>
            <w:color w:val="0000FF"/>
            <w:u w:val="none"/>
          </w:rPr>
          <w:t>31</w:t>
        </w:r>
      </w:hyperlink>
    </w:p>
    <w:p w14:paraId="3B6D09A0" w14:textId="53FAF2C7" w:rsidR="0065131D" w:rsidRDefault="41028EAA" w:rsidP="3C0BAC93">
      <w:pPr>
        <w:spacing w:before="120" w:after="120" w:line="480" w:lineRule="auto"/>
      </w:pPr>
      <w:hyperlink r:id="rId15" w:anchor="_Toc185354351">
        <w:r w:rsidRPr="3C0BAC93">
          <w:rPr>
            <w:rStyle w:val="Hyperlink"/>
            <w:rFonts w:ascii="Times New Roman" w:eastAsia="Times New Roman" w:hAnsi="Times New Roman" w:cs="Times New Roman"/>
            <w:b/>
            <w:bCs/>
            <w:caps/>
            <w:color w:val="0000FF"/>
          </w:rPr>
          <w:t>11.</w:t>
        </w:r>
        <w:r w:rsidR="005E0C3C">
          <w:tab/>
        </w:r>
        <w:r w:rsidRPr="3C0BAC93">
          <w:rPr>
            <w:rStyle w:val="Hyperlink"/>
            <w:rFonts w:ascii="Times New Roman" w:eastAsia="Times New Roman" w:hAnsi="Times New Roman" w:cs="Times New Roman"/>
            <w:b/>
            <w:bCs/>
            <w:caps/>
            <w:color w:val="0000FF"/>
          </w:rPr>
          <w:t>Risk policies from fraud and social engineering</w:t>
        </w:r>
        <w:r w:rsidR="005E0C3C">
          <w:tab/>
        </w:r>
        <w:r w:rsidRPr="3C0BAC93">
          <w:rPr>
            <w:rStyle w:val="Hyperlink"/>
            <w:rFonts w:ascii="Times New Roman" w:eastAsia="Times New Roman" w:hAnsi="Times New Roman" w:cs="Times New Roman"/>
            <w:b/>
            <w:bCs/>
            <w:caps/>
            <w:color w:val="0000FF"/>
            <w:u w:val="none"/>
          </w:rPr>
          <w:t>31</w:t>
        </w:r>
      </w:hyperlink>
    </w:p>
    <w:p w14:paraId="74DFF4C6" w14:textId="2EF83C29" w:rsidR="0065131D" w:rsidRDefault="41028EAA" w:rsidP="3C0BAC93">
      <w:pPr>
        <w:spacing w:before="120" w:after="120" w:line="480" w:lineRule="auto"/>
      </w:pPr>
      <w:hyperlink r:id="rId16" w:anchor="_Toc185354352">
        <w:r w:rsidRPr="3C0BAC93">
          <w:rPr>
            <w:rStyle w:val="Hyperlink"/>
            <w:rFonts w:ascii="Times New Roman" w:eastAsia="Times New Roman" w:hAnsi="Times New Roman" w:cs="Times New Roman"/>
            <w:b/>
            <w:bCs/>
            <w:caps/>
            <w:color w:val="0000FF"/>
          </w:rPr>
          <w:t>12.</w:t>
        </w:r>
        <w:r w:rsidR="005E0C3C">
          <w:tab/>
        </w:r>
        <w:r w:rsidRPr="3C0BAC93">
          <w:rPr>
            <w:rStyle w:val="Hyperlink"/>
            <w:rFonts w:ascii="Times New Roman" w:eastAsia="Times New Roman" w:hAnsi="Times New Roman" w:cs="Times New Roman"/>
            <w:b/>
            <w:bCs/>
            <w:caps/>
            <w:color w:val="0000FF"/>
          </w:rPr>
          <w:t>Appendices</w:t>
        </w:r>
        <w:r w:rsidR="005E0C3C">
          <w:tab/>
        </w:r>
        <w:r w:rsidRPr="3C0BAC93">
          <w:rPr>
            <w:rStyle w:val="Hyperlink"/>
            <w:rFonts w:ascii="Times New Roman" w:eastAsia="Times New Roman" w:hAnsi="Times New Roman" w:cs="Times New Roman"/>
            <w:b/>
            <w:bCs/>
            <w:caps/>
            <w:color w:val="0000FF"/>
            <w:u w:val="none"/>
          </w:rPr>
          <w:t>32</w:t>
        </w:r>
      </w:hyperlink>
    </w:p>
    <w:p w14:paraId="70C3983E" w14:textId="44927F27" w:rsidR="0065131D" w:rsidRDefault="41028EAA" w:rsidP="3C0BAC93">
      <w:pPr>
        <w:spacing w:after="0"/>
        <w:ind w:left="284" w:right="247"/>
      </w:pPr>
      <w:r w:rsidRPr="3C0BAC93">
        <w:rPr>
          <w:rFonts w:ascii="Calibri" w:eastAsia="Calibri" w:hAnsi="Calibri" w:cs="Calibri"/>
        </w:rPr>
        <w:t xml:space="preserve"> </w:t>
      </w:r>
    </w:p>
    <w:p w14:paraId="076F7BDC" w14:textId="3E5C87B0" w:rsidR="0065131D" w:rsidRDefault="41028EAA" w:rsidP="3C0BAC93">
      <w:pPr>
        <w:spacing w:after="0"/>
        <w:ind w:left="284" w:right="247"/>
      </w:pPr>
      <w:r w:rsidRPr="3C0BAC93">
        <w:rPr>
          <w:rFonts w:ascii="Calibri" w:eastAsia="Calibri" w:hAnsi="Calibri" w:cs="Calibri"/>
        </w:rPr>
        <w:t xml:space="preserve"> </w:t>
      </w:r>
    </w:p>
    <w:p w14:paraId="37AB749D" w14:textId="7AA9D9D5" w:rsidR="0065131D" w:rsidRDefault="41028EAA" w:rsidP="3C0BAC93">
      <w:pPr>
        <w:spacing w:after="0"/>
        <w:ind w:left="284" w:right="247"/>
      </w:pPr>
      <w:r w:rsidRPr="3C0BAC93">
        <w:rPr>
          <w:rFonts w:ascii="Calibri" w:eastAsia="Calibri" w:hAnsi="Calibri" w:cs="Calibri"/>
        </w:rPr>
        <w:t xml:space="preserve"> </w:t>
      </w:r>
    </w:p>
    <w:p w14:paraId="3CD3E2CF" w14:textId="09C88D6C" w:rsidR="0065131D" w:rsidRDefault="41028EAA" w:rsidP="3C0BAC93">
      <w:pPr>
        <w:spacing w:after="0"/>
        <w:ind w:left="284" w:right="247"/>
      </w:pPr>
      <w:r w:rsidRPr="3C0BAC93">
        <w:rPr>
          <w:rFonts w:ascii="Calibri" w:eastAsia="Calibri" w:hAnsi="Calibri" w:cs="Calibri"/>
        </w:rPr>
        <w:t xml:space="preserve"> </w:t>
      </w:r>
    </w:p>
    <w:p w14:paraId="73EAD16C" w14:textId="32F725F1" w:rsidR="0065131D" w:rsidRDefault="41028EAA" w:rsidP="3C0BAC93">
      <w:pPr>
        <w:spacing w:after="0"/>
        <w:ind w:left="284" w:right="247"/>
      </w:pPr>
      <w:r w:rsidRPr="3C0BAC93">
        <w:rPr>
          <w:rFonts w:ascii="Calibri" w:eastAsia="Calibri" w:hAnsi="Calibri" w:cs="Calibri"/>
        </w:rPr>
        <w:t xml:space="preserve"> </w:t>
      </w:r>
    </w:p>
    <w:p w14:paraId="66DE1D9A" w14:textId="1AC18973" w:rsidR="0065131D" w:rsidRDefault="41028EAA" w:rsidP="3C0BAC93">
      <w:pPr>
        <w:spacing w:after="0"/>
        <w:ind w:left="284" w:right="247"/>
      </w:pPr>
      <w:r w:rsidRPr="3C0BAC93">
        <w:rPr>
          <w:rFonts w:ascii="Calibri" w:eastAsia="Calibri" w:hAnsi="Calibri" w:cs="Calibri"/>
        </w:rPr>
        <w:t xml:space="preserve"> </w:t>
      </w:r>
    </w:p>
    <w:p w14:paraId="54855D3F" w14:textId="34075671" w:rsidR="0065131D" w:rsidRDefault="41028EAA" w:rsidP="3C0BAC93">
      <w:pPr>
        <w:spacing w:after="0"/>
        <w:ind w:left="284" w:right="247"/>
      </w:pPr>
      <w:r w:rsidRPr="3C0BAC93">
        <w:rPr>
          <w:rFonts w:ascii="Calibri" w:eastAsia="Calibri" w:hAnsi="Calibri" w:cs="Calibri"/>
        </w:rPr>
        <w:t xml:space="preserve"> </w:t>
      </w:r>
    </w:p>
    <w:p w14:paraId="357430CF" w14:textId="751C2C4F" w:rsidR="0065131D" w:rsidRDefault="41028EAA" w:rsidP="3C0BAC93">
      <w:pPr>
        <w:spacing w:after="0"/>
        <w:ind w:left="284" w:right="247"/>
      </w:pPr>
      <w:r w:rsidRPr="3C0BAC93">
        <w:rPr>
          <w:rFonts w:ascii="Calibri" w:eastAsia="Calibri" w:hAnsi="Calibri" w:cs="Calibri"/>
        </w:rPr>
        <w:t xml:space="preserve"> </w:t>
      </w:r>
    </w:p>
    <w:p w14:paraId="39CCA83D" w14:textId="265B94B2" w:rsidR="0065131D" w:rsidRDefault="41028EAA" w:rsidP="3C0BAC93">
      <w:pPr>
        <w:spacing w:after="0"/>
        <w:ind w:left="284" w:right="247"/>
      </w:pPr>
      <w:r w:rsidRPr="3C0BAC93">
        <w:rPr>
          <w:rFonts w:ascii="Calibri" w:eastAsia="Calibri" w:hAnsi="Calibri" w:cs="Calibri"/>
        </w:rPr>
        <w:t xml:space="preserve"> </w:t>
      </w:r>
    </w:p>
    <w:p w14:paraId="1AE4AEDA" w14:textId="020A4448" w:rsidR="0065131D" w:rsidRDefault="41028EAA" w:rsidP="3C0BAC93">
      <w:pPr>
        <w:spacing w:after="0"/>
        <w:ind w:left="284" w:right="247"/>
      </w:pPr>
      <w:r w:rsidRPr="3C0BAC93">
        <w:rPr>
          <w:rFonts w:ascii="Calibri" w:eastAsia="Calibri" w:hAnsi="Calibri" w:cs="Calibri"/>
        </w:rPr>
        <w:t xml:space="preserve"> </w:t>
      </w:r>
    </w:p>
    <w:p w14:paraId="721E5B26" w14:textId="386BAB9E" w:rsidR="0065131D" w:rsidRDefault="41028EAA" w:rsidP="3C0BAC93">
      <w:pPr>
        <w:spacing w:after="0"/>
        <w:ind w:right="247"/>
      </w:pPr>
      <w:r w:rsidRPr="3C0BAC93">
        <w:rPr>
          <w:rFonts w:ascii="Calibri" w:eastAsia="Calibri" w:hAnsi="Calibri" w:cs="Calibri"/>
        </w:rPr>
        <w:lastRenderedPageBreak/>
        <w:t xml:space="preserve"> </w:t>
      </w:r>
    </w:p>
    <w:p w14:paraId="35C256D8" w14:textId="1270EAA5" w:rsidR="0065131D" w:rsidRDefault="41028EAA" w:rsidP="3C0BAC93">
      <w:pPr>
        <w:spacing w:after="0"/>
        <w:ind w:right="247"/>
      </w:pPr>
      <w:r w:rsidRPr="3C0BAC93">
        <w:rPr>
          <w:rFonts w:ascii="Calibri" w:eastAsia="Calibri" w:hAnsi="Calibri" w:cs="Calibri"/>
        </w:rPr>
        <w:t xml:space="preserve"> </w:t>
      </w:r>
    </w:p>
    <w:p w14:paraId="6F9BAAB7" w14:textId="10ABC856" w:rsidR="0065131D" w:rsidRDefault="41028EAA" w:rsidP="3C0BAC93">
      <w:pPr>
        <w:spacing w:after="0"/>
        <w:ind w:right="247"/>
      </w:pPr>
      <w:r w:rsidRPr="3C0BAC93">
        <w:rPr>
          <w:rFonts w:ascii="Calibri" w:eastAsia="Calibri" w:hAnsi="Calibri" w:cs="Calibri"/>
        </w:rPr>
        <w:t xml:space="preserve"> </w:t>
      </w:r>
    </w:p>
    <w:p w14:paraId="1A8CBE40" w14:textId="6AEC011A" w:rsidR="0065131D" w:rsidRDefault="41028EAA" w:rsidP="3C0BAC93">
      <w:pPr>
        <w:spacing w:after="0"/>
        <w:ind w:right="247"/>
      </w:pPr>
      <w:r w:rsidRPr="3C0BAC93">
        <w:rPr>
          <w:rFonts w:ascii="Calibri" w:eastAsia="Calibri" w:hAnsi="Calibri" w:cs="Calibri"/>
        </w:rPr>
        <w:t xml:space="preserve"> </w:t>
      </w:r>
    </w:p>
    <w:p w14:paraId="35CEBD13" w14:textId="04141EB9" w:rsidR="0065131D" w:rsidRDefault="41028EAA" w:rsidP="3C0BAC93">
      <w:pPr>
        <w:spacing w:after="0"/>
        <w:ind w:right="247"/>
      </w:pPr>
      <w:r w:rsidRPr="3C0BAC93">
        <w:rPr>
          <w:rFonts w:ascii="Calibri" w:eastAsia="Calibri" w:hAnsi="Calibri" w:cs="Calibri"/>
        </w:rPr>
        <w:t xml:space="preserve"> </w:t>
      </w:r>
    </w:p>
    <w:p w14:paraId="141B03EE" w14:textId="7AC55A72" w:rsidR="0065131D" w:rsidRDefault="41028EAA" w:rsidP="3C0BAC93">
      <w:pPr>
        <w:spacing w:after="0"/>
        <w:ind w:right="247"/>
      </w:pPr>
      <w:r w:rsidRPr="3C0BAC93">
        <w:rPr>
          <w:rFonts w:ascii="Calibri" w:eastAsia="Calibri" w:hAnsi="Calibri" w:cs="Calibri"/>
        </w:rPr>
        <w:t xml:space="preserve"> </w:t>
      </w:r>
    </w:p>
    <w:p w14:paraId="1D17FAD0" w14:textId="68FEBB6B" w:rsidR="0065131D" w:rsidRDefault="41028EAA" w:rsidP="3C0BAC93">
      <w:pPr>
        <w:spacing w:after="0"/>
        <w:ind w:right="247"/>
      </w:pPr>
      <w:r w:rsidRPr="3C0BAC93">
        <w:rPr>
          <w:rFonts w:ascii="Calibri" w:eastAsia="Calibri" w:hAnsi="Calibri" w:cs="Calibri"/>
        </w:rPr>
        <w:t xml:space="preserve"> </w:t>
      </w:r>
    </w:p>
    <w:p w14:paraId="3565DCC7" w14:textId="4EF8FC08" w:rsidR="0065131D" w:rsidRDefault="41028EAA" w:rsidP="3C0BAC93">
      <w:pPr>
        <w:spacing w:after="0"/>
        <w:ind w:right="247"/>
      </w:pPr>
      <w:r w:rsidRPr="3C0BAC93">
        <w:rPr>
          <w:rFonts w:ascii="Calibri" w:eastAsia="Calibri" w:hAnsi="Calibri" w:cs="Calibri"/>
        </w:rPr>
        <w:t xml:space="preserve"> </w:t>
      </w:r>
    </w:p>
    <w:p w14:paraId="062C486C" w14:textId="06662381" w:rsidR="0065131D" w:rsidRDefault="41028EAA" w:rsidP="3C0BAC93">
      <w:pPr>
        <w:spacing w:after="0"/>
        <w:ind w:right="247"/>
      </w:pPr>
      <w:r w:rsidRPr="3C0BAC93">
        <w:rPr>
          <w:rFonts w:ascii="Calibri" w:eastAsia="Calibri" w:hAnsi="Calibri" w:cs="Calibri"/>
        </w:rPr>
        <w:t xml:space="preserve"> </w:t>
      </w:r>
    </w:p>
    <w:p w14:paraId="669B03F8" w14:textId="33A70DA0" w:rsidR="0065131D" w:rsidRDefault="41028EAA" w:rsidP="3C0BAC93">
      <w:pPr>
        <w:spacing w:after="0"/>
        <w:ind w:right="247"/>
      </w:pPr>
      <w:r w:rsidRPr="3C0BAC93">
        <w:rPr>
          <w:rFonts w:ascii="Calibri" w:eastAsia="Calibri" w:hAnsi="Calibri" w:cs="Calibri"/>
        </w:rPr>
        <w:t xml:space="preserve"> </w:t>
      </w:r>
    </w:p>
    <w:p w14:paraId="0C164447" w14:textId="3BE9D461" w:rsidR="0065131D" w:rsidRDefault="41028EAA" w:rsidP="3C0BAC93">
      <w:pPr>
        <w:spacing w:after="0"/>
        <w:ind w:right="247"/>
      </w:pPr>
      <w:r w:rsidRPr="3C0BAC93">
        <w:rPr>
          <w:rFonts w:ascii="Calibri" w:eastAsia="Calibri" w:hAnsi="Calibri" w:cs="Calibri"/>
        </w:rPr>
        <w:t xml:space="preserve"> </w:t>
      </w:r>
    </w:p>
    <w:p w14:paraId="214BF2AA" w14:textId="4C01C1D0" w:rsidR="0065131D" w:rsidRDefault="41028EAA" w:rsidP="3C0BAC93">
      <w:pPr>
        <w:spacing w:after="0"/>
        <w:ind w:right="247"/>
      </w:pPr>
      <w:r w:rsidRPr="3C0BAC93">
        <w:rPr>
          <w:rFonts w:ascii="Calibri" w:eastAsia="Calibri" w:hAnsi="Calibri" w:cs="Calibri"/>
        </w:rPr>
        <w:t xml:space="preserve"> </w:t>
      </w:r>
    </w:p>
    <w:p w14:paraId="120F1B5C" w14:textId="19577D2A" w:rsidR="0065131D" w:rsidRDefault="41028EAA" w:rsidP="3C0BAC93">
      <w:pPr>
        <w:spacing w:after="0"/>
        <w:ind w:right="247"/>
      </w:pPr>
      <w:r w:rsidRPr="3C0BAC93">
        <w:rPr>
          <w:rFonts w:ascii="Calibri" w:eastAsia="Calibri" w:hAnsi="Calibri" w:cs="Calibri"/>
        </w:rPr>
        <w:t xml:space="preserve"> </w:t>
      </w:r>
    </w:p>
    <w:p w14:paraId="22592305" w14:textId="1C31654F" w:rsidR="0065131D" w:rsidRDefault="41028EAA" w:rsidP="3C0BAC93">
      <w:pPr>
        <w:pStyle w:val="Heading1"/>
        <w:numPr>
          <w:ilvl w:val="0"/>
          <w:numId w:val="27"/>
        </w:numPr>
        <w:spacing w:before="0" w:after="0" w:line="360" w:lineRule="auto"/>
        <w:ind w:left="360" w:right="247"/>
        <w:rPr>
          <w:rFonts w:ascii="Calibri" w:eastAsia="Calibri" w:hAnsi="Calibri" w:cs="Calibri"/>
          <w:b/>
          <w:bCs/>
          <w:sz w:val="28"/>
          <w:szCs w:val="28"/>
        </w:rPr>
      </w:pPr>
      <w:r w:rsidRPr="3C0BAC93">
        <w:rPr>
          <w:rFonts w:ascii="Calibri" w:eastAsia="Calibri" w:hAnsi="Calibri" w:cs="Calibri"/>
          <w:b/>
          <w:bCs/>
          <w:sz w:val="28"/>
          <w:szCs w:val="28"/>
        </w:rPr>
        <w:t xml:space="preserve">Introduction </w:t>
      </w:r>
    </w:p>
    <w:p w14:paraId="59999CD3" w14:textId="0A5528F7" w:rsidR="0065131D" w:rsidRDefault="41028EAA" w:rsidP="3C0BAC93">
      <w:pPr>
        <w:spacing w:after="0"/>
        <w:ind w:left="426"/>
      </w:pPr>
      <w:r w:rsidRPr="3C0BAC93">
        <w:rPr>
          <w:rFonts w:ascii="Calibri" w:eastAsia="Calibri" w:hAnsi="Calibri" w:cs="Calibri"/>
        </w:rPr>
        <w:t xml:space="preserve"> UAE /DIFC has implemented transaction monitoring system to monitor customer transactions against their profile and to highlight potential suspicious activity or transactions to local authorities to comply with legal and regulatory requirement in the UAE. This document is prepared accordingly to cover all aspects of this objective and to demonstrate compliance with the relevant requirements</w:t>
      </w:r>
    </w:p>
    <w:p w14:paraId="1011485A" w14:textId="0FF7FBB6" w:rsidR="0065131D" w:rsidRDefault="41028EAA" w:rsidP="3C0BAC93">
      <w:pPr>
        <w:pStyle w:val="Heading1"/>
        <w:numPr>
          <w:ilvl w:val="0"/>
          <w:numId w:val="27"/>
        </w:numPr>
        <w:spacing w:before="0" w:after="0" w:line="360" w:lineRule="auto"/>
        <w:ind w:left="360" w:right="247"/>
        <w:rPr>
          <w:rFonts w:ascii="Calibri" w:eastAsia="Calibri" w:hAnsi="Calibri" w:cs="Calibri"/>
          <w:b/>
          <w:bCs/>
          <w:sz w:val="28"/>
          <w:szCs w:val="28"/>
        </w:rPr>
      </w:pPr>
      <w:r w:rsidRPr="3C0BAC93">
        <w:rPr>
          <w:rFonts w:ascii="Calibri" w:eastAsia="Calibri" w:hAnsi="Calibri" w:cs="Calibri"/>
          <w:b/>
          <w:bCs/>
          <w:sz w:val="28"/>
          <w:szCs w:val="28"/>
        </w:rPr>
        <w:t>Purpose</w:t>
      </w:r>
    </w:p>
    <w:p w14:paraId="2F5EE7E4" w14:textId="728BFDB7" w:rsidR="0065131D" w:rsidRDefault="41028EAA" w:rsidP="3C0BAC93">
      <w:pPr>
        <w:spacing w:after="0"/>
        <w:ind w:left="284" w:right="247"/>
        <w:jc w:val="both"/>
      </w:pPr>
      <w:r w:rsidRPr="3C0BAC93">
        <w:rPr>
          <w:rFonts w:ascii="Calibri" w:eastAsia="Calibri" w:hAnsi="Calibri" w:cs="Calibri"/>
        </w:rPr>
        <w:t>The purpose of this document is to assist the understanding and effective performance by  UAE of its statutory obligations under the legal and regulatory framework in force in the UAE. The process will be read in conjunction with the applicable SCA/DFSA/SAMA rules and CBUAE’s rules related to Procedures for Anti-Money Laundering and Combating the Financing of Terrorism and Illicit Organizations (issued by Notice No. 74/2019 dated 19/06/2019) and Guidelines on Anti-Money Laundering and Combating the Financing of Terrorism and Illicit Organizations for Financial Institutions (issued by Notice 79/2019 dated 27/06/2019) and any amendments or updates thereof. As such, this document is to demonstrate compliance with regulatory requirements. This document also considers standards and guidance issued by the Financial Action Task Force (“FATF”), industry best practices and red flag indicators. This document comes into effect immediately upon its issuance.</w:t>
      </w:r>
    </w:p>
    <w:p w14:paraId="0B430680" w14:textId="6F8FB76E" w:rsidR="0065131D" w:rsidRDefault="41028EAA" w:rsidP="3C0BAC93">
      <w:pPr>
        <w:pStyle w:val="Heading1"/>
        <w:numPr>
          <w:ilvl w:val="0"/>
          <w:numId w:val="27"/>
        </w:numPr>
        <w:spacing w:before="0" w:after="0" w:line="360" w:lineRule="auto"/>
        <w:ind w:left="360" w:right="247"/>
        <w:rPr>
          <w:rFonts w:ascii="Calibri" w:eastAsia="Calibri" w:hAnsi="Calibri" w:cs="Calibri"/>
          <w:b/>
          <w:bCs/>
          <w:sz w:val="28"/>
          <w:szCs w:val="28"/>
        </w:rPr>
      </w:pPr>
      <w:r w:rsidRPr="3C0BAC93">
        <w:rPr>
          <w:rFonts w:ascii="Calibri" w:eastAsia="Calibri" w:hAnsi="Calibri" w:cs="Calibri"/>
          <w:b/>
          <w:bCs/>
          <w:sz w:val="28"/>
          <w:szCs w:val="28"/>
        </w:rPr>
        <w:t>Scope</w:t>
      </w:r>
    </w:p>
    <w:p w14:paraId="0BE898CA" w14:textId="70617A3F" w:rsidR="0065131D" w:rsidRDefault="41028EAA" w:rsidP="3C0BAC93">
      <w:pPr>
        <w:spacing w:after="0"/>
        <w:ind w:left="284" w:right="247"/>
      </w:pPr>
      <w:r w:rsidRPr="3C0BAC93">
        <w:rPr>
          <w:rFonts w:ascii="Calibri" w:eastAsia="Calibri" w:hAnsi="Calibri" w:cs="Calibri"/>
        </w:rPr>
        <w:t>Unless otherwise noted, this document applies to all branches of  UAE supervised by CBUAE / DFSA / SCA / SAMA.</w:t>
      </w:r>
    </w:p>
    <w:p w14:paraId="31E49A83" w14:textId="41C407FA" w:rsidR="0065131D" w:rsidRDefault="41028EAA" w:rsidP="3C0BAC93">
      <w:pPr>
        <w:pStyle w:val="Heading1"/>
        <w:numPr>
          <w:ilvl w:val="0"/>
          <w:numId w:val="27"/>
        </w:numPr>
        <w:spacing w:before="0" w:after="0" w:line="360" w:lineRule="auto"/>
        <w:ind w:left="360" w:right="247"/>
        <w:rPr>
          <w:rFonts w:ascii="Calibri" w:eastAsia="Calibri" w:hAnsi="Calibri" w:cs="Calibri"/>
          <w:b/>
          <w:bCs/>
          <w:sz w:val="28"/>
          <w:szCs w:val="28"/>
        </w:rPr>
      </w:pPr>
      <w:r w:rsidRPr="3C0BAC93">
        <w:rPr>
          <w:rFonts w:ascii="Calibri" w:eastAsia="Calibri" w:hAnsi="Calibri" w:cs="Calibri"/>
          <w:b/>
          <w:bCs/>
          <w:sz w:val="28"/>
          <w:szCs w:val="28"/>
        </w:rPr>
        <w:lastRenderedPageBreak/>
        <w:t>Statement</w:t>
      </w:r>
    </w:p>
    <w:p w14:paraId="6F014BA1" w14:textId="33337AC1" w:rsidR="0065131D" w:rsidRDefault="41028EAA" w:rsidP="3C0BAC93">
      <w:pPr>
        <w:spacing w:after="0"/>
        <w:ind w:left="284" w:right="247"/>
        <w:jc w:val="both"/>
      </w:pPr>
      <w:r w:rsidRPr="3C0BAC93">
        <w:rPr>
          <w:rFonts w:ascii="Calibri" w:eastAsia="Calibri" w:hAnsi="Calibri" w:cs="Calibri"/>
        </w:rPr>
        <w:t xml:space="preserve"> UAE has taken appropriate steps to develop, implement and regularly update an appropriate Anti Money Laundering, Combatting Financial Terrorism and Proliferation Financing AMLCFT/PF Program in order to fulfill its obligation to comply with the provisions of above-mentioned law, rules and regulations as well as with the directives of the relevant competent authorities and supervisory authorities. An appropriate AMLCFT/PF program also assists s to manage their exposure to the risks associated with AMLCFT/PF and implement restrictive measures accordingly.</w:t>
      </w:r>
    </w:p>
    <w:p w14:paraId="186188C0" w14:textId="52144753" w:rsidR="0065131D" w:rsidRDefault="41028EAA" w:rsidP="3C0BAC93">
      <w:pPr>
        <w:spacing w:after="0"/>
        <w:ind w:left="284" w:right="247"/>
        <w:jc w:val="both"/>
      </w:pPr>
      <w:r w:rsidRPr="3C0BAC93">
        <w:rPr>
          <w:rFonts w:ascii="Calibri" w:eastAsia="Calibri" w:hAnsi="Calibri" w:cs="Calibri"/>
        </w:rPr>
        <w:t xml:space="preserve"> </w:t>
      </w:r>
    </w:p>
    <w:p w14:paraId="563F36B9" w14:textId="1288F59E" w:rsidR="0065131D" w:rsidRDefault="41028EAA" w:rsidP="3C0BAC93">
      <w:pPr>
        <w:spacing w:after="0"/>
        <w:ind w:left="284" w:right="247"/>
        <w:jc w:val="both"/>
      </w:pPr>
      <w:r w:rsidRPr="3C0BAC93">
        <w:rPr>
          <w:rFonts w:ascii="Calibri" w:eastAsia="Calibri" w:hAnsi="Calibri" w:cs="Calibri"/>
        </w:rPr>
        <w:t xml:space="preserve"> UAE has designed and updated AMLCFT/PF program so that its scope is proportionate to the level of its risk profile, nature, scale, and complexity, appropriate for the products and services  offers to the customers, clients, and partner relationships  UAE maintain, and the geographic regions in which  UAE operate.  UAE ensures that AMLCFT/PF program includes the eight (8) essential components: senior management commitment, risk assessment, risk appetite, internal controls, policies and procedures, training, independent audit and testing of processes and systems and record keeping.</w:t>
      </w:r>
    </w:p>
    <w:p w14:paraId="20AA9CF0" w14:textId="36C931AB" w:rsidR="0065131D" w:rsidRDefault="41028EAA" w:rsidP="3C0BAC93">
      <w:pPr>
        <w:pStyle w:val="Heading1"/>
        <w:numPr>
          <w:ilvl w:val="0"/>
          <w:numId w:val="27"/>
        </w:numPr>
        <w:spacing w:before="0" w:after="0" w:line="360" w:lineRule="auto"/>
        <w:ind w:left="360" w:right="247"/>
        <w:rPr>
          <w:rFonts w:ascii="Calibri" w:eastAsia="Calibri" w:hAnsi="Calibri" w:cs="Calibri"/>
          <w:b/>
          <w:bCs/>
          <w:sz w:val="28"/>
          <w:szCs w:val="28"/>
        </w:rPr>
      </w:pPr>
      <w:r w:rsidRPr="3C0BAC93">
        <w:rPr>
          <w:rFonts w:ascii="Calibri" w:eastAsia="Calibri" w:hAnsi="Calibri" w:cs="Calibri"/>
          <w:b/>
          <w:bCs/>
          <w:sz w:val="28"/>
          <w:szCs w:val="28"/>
        </w:rPr>
        <w:t xml:space="preserve">References and Regulations </w:t>
      </w:r>
    </w:p>
    <w:p w14:paraId="7242D841" w14:textId="09E327DC" w:rsidR="0065131D" w:rsidRDefault="41028EAA" w:rsidP="3C0BAC93">
      <w:pPr>
        <w:spacing w:after="0"/>
      </w:pPr>
      <w:r w:rsidRPr="3C0BAC93">
        <w:rPr>
          <w:rFonts w:ascii="Times New Roman" w:eastAsia="Times New Roman" w:hAnsi="Times New Roman" w:cs="Times New Roman"/>
        </w:rPr>
        <w:t xml:space="preserve"> </w:t>
      </w:r>
    </w:p>
    <w:p w14:paraId="6CC5A6ED" w14:textId="040F808B" w:rsidR="0065131D" w:rsidRDefault="41028EAA" w:rsidP="3C0BAC93">
      <w:pPr>
        <w:pStyle w:val="Heading5"/>
        <w:spacing w:before="168" w:after="0"/>
        <w:ind w:firstLine="284"/>
        <w:jc w:val="both"/>
      </w:pPr>
      <w:r w:rsidRPr="3C0BAC93">
        <w:rPr>
          <w:rFonts w:ascii="Calibri" w:eastAsia="Calibri" w:hAnsi="Calibri" w:cs="Calibri"/>
          <w:color w:val="365F91"/>
          <w:sz w:val="22"/>
          <w:szCs w:val="22"/>
        </w:rPr>
        <w:t>AML-CFT Law Articles 9.1, 15, 24, 25, 27; AML-CFT Decision Articles 16-18, 20.2, 21.2, 40-43)</w:t>
      </w:r>
    </w:p>
    <w:p w14:paraId="3E923900" w14:textId="1C958DCC" w:rsidR="0065131D" w:rsidRDefault="41028EAA" w:rsidP="3C0BAC93">
      <w:pPr>
        <w:tabs>
          <w:tab w:val="left" w:pos="1671"/>
        </w:tabs>
        <w:spacing w:after="0" w:line="281" w:lineRule="auto"/>
        <w:ind w:left="1401" w:right="191"/>
        <w:jc w:val="both"/>
      </w:pPr>
      <w:r w:rsidRPr="3C0BAC93">
        <w:rPr>
          <w:rFonts w:ascii="Calibri" w:eastAsia="Calibri" w:hAnsi="Calibri" w:cs="Calibri"/>
          <w:sz w:val="22"/>
          <w:szCs w:val="22"/>
        </w:rPr>
        <w:t xml:space="preserve"> </w:t>
      </w:r>
    </w:p>
    <w:p w14:paraId="7934E54A" w14:textId="467514EA" w:rsidR="0065131D" w:rsidRDefault="41028EAA" w:rsidP="3C0BAC93">
      <w:pPr>
        <w:tabs>
          <w:tab w:val="left" w:pos="1671"/>
        </w:tabs>
        <w:spacing w:after="0" w:line="281" w:lineRule="auto"/>
        <w:ind w:left="284" w:right="191"/>
        <w:jc w:val="both"/>
      </w:pPr>
      <w:r w:rsidRPr="3C0BAC93">
        <w:rPr>
          <w:rFonts w:ascii="Calibri" w:eastAsia="Calibri" w:hAnsi="Calibri" w:cs="Calibri"/>
        </w:rPr>
        <w:t>The requirement to submit Suspicious Transaction Reports (“STRs”) to the Financial Intelligence Unit ("FIU”) is outlined in the (i) Federal Decree-Law No. (20) of 2018 on Anti-Money Laundering (“AML”) and Combatting the Financing of Terrorism (“CFT”) and Financing Illegal Organizations and Federal Decree law No. (26) of 2021 To amend certain provisions of Federal Decree-law No. (20) of 2018, on anti-money laundering and combating the financing of terrorism and financing of illegal organizations (the “AML-CFT Law”); (ii) Cabinet Decision No. (10) of 2019 Concerning the Implementing Regulation for Decree-Law No. (20) of 2018 on AML and CFT and Financing of Illegal Organizations (the “AML-CFT Decision”); and Cabinet Decision No. (74) of 2020 Regarding Terrorism Lists Regulation and Implementation of UN Security Council Resolutions on the Suppression and Combating of Terrorism, Terrorist Financing, Countering the Proliferation of Weapons of Mass Destruction and its Financing and Relevant Resolution.</w:t>
      </w:r>
    </w:p>
    <w:p w14:paraId="21153FB7" w14:textId="5BE2E3E1" w:rsidR="0065131D" w:rsidRDefault="41028EAA" w:rsidP="3C0BAC93">
      <w:pPr>
        <w:spacing w:before="112" w:after="0" w:line="281" w:lineRule="auto"/>
        <w:ind w:left="284" w:right="188"/>
        <w:jc w:val="both"/>
      </w:pPr>
      <w:r w:rsidRPr="3C0BAC93">
        <w:rPr>
          <w:rFonts w:ascii="Calibri" w:eastAsia="Calibri" w:hAnsi="Calibri" w:cs="Calibri"/>
          <w:sz w:val="22"/>
          <w:szCs w:val="22"/>
        </w:rPr>
        <w:t xml:space="preserve">Under the UAE AML-CFT legal and regulatory framework,  UAE is obliged to promptly report to the FIU suspicious transactions and any additional information when there are suspicions, or reasonable grounds to suspect, that the proceeds are related to a crime, or to the attempt or intention to use funds or proceeds for the purpose of committing, concealing, or benefitting from a crime. “Crime” </w:t>
      </w:r>
      <w:r w:rsidRPr="3C0BAC93">
        <w:rPr>
          <w:rFonts w:ascii="Calibri" w:eastAsia="Calibri" w:hAnsi="Calibri" w:cs="Calibri"/>
          <w:sz w:val="22"/>
          <w:szCs w:val="22"/>
        </w:rPr>
        <w:lastRenderedPageBreak/>
        <w:t xml:space="preserve">is defined in Article 1 of the AML-CFT Law as “money laundering crime and </w:t>
      </w:r>
      <w:r w:rsidRPr="3C0BAC93">
        <w:rPr>
          <w:rFonts w:ascii="Calibri" w:eastAsia="Calibri" w:hAnsi="Calibri" w:cs="Calibri"/>
          <w:i/>
          <w:iCs/>
          <w:sz w:val="22"/>
          <w:szCs w:val="22"/>
        </w:rPr>
        <w:t>related predicate offences</w:t>
      </w:r>
      <w:r w:rsidRPr="3C0BAC93">
        <w:rPr>
          <w:rFonts w:ascii="Calibri" w:eastAsia="Calibri" w:hAnsi="Calibri" w:cs="Calibri"/>
          <w:sz w:val="22"/>
          <w:szCs w:val="22"/>
        </w:rPr>
        <w:t>, or financing of terrorism or illegal organizations.” There is no minimum reporting threshold; all suspicious transactions, including attempted transactions, will be reported regardless of the amount of the transaction.  UAE is also required to put in place and update indicators that can be used to identify possible suspicious transactions.</w:t>
      </w:r>
    </w:p>
    <w:p w14:paraId="0EA4732A" w14:textId="654097F3" w:rsidR="0065131D" w:rsidRDefault="41028EAA" w:rsidP="3C0BAC93">
      <w:pPr>
        <w:spacing w:before="114" w:after="0" w:line="281" w:lineRule="auto"/>
        <w:ind w:left="284" w:right="188"/>
        <w:jc w:val="both"/>
      </w:pPr>
      <w:r w:rsidRPr="3C0BAC93">
        <w:rPr>
          <w:rFonts w:ascii="Calibri" w:eastAsia="Calibri" w:hAnsi="Calibri" w:cs="Calibri"/>
          <w:sz w:val="22"/>
          <w:szCs w:val="22"/>
        </w:rPr>
        <w:t xml:space="preserve">Although the AML-CFT Law uses the term “STRs” to mean both suspicious transactions and activity, for the purposes of this document, suspicious activity involving transactions will be reported (in the first instance) to the FIU as STRs; suspicious activity that does </w:t>
      </w:r>
      <w:r w:rsidRPr="3C0BAC93">
        <w:rPr>
          <w:rFonts w:ascii="Calibri" w:eastAsia="Calibri" w:hAnsi="Calibri" w:cs="Calibri"/>
          <w:sz w:val="22"/>
          <w:szCs w:val="22"/>
          <w:u w:val="single"/>
        </w:rPr>
        <w:t>not</w:t>
      </w:r>
      <w:r w:rsidRPr="3C0BAC93">
        <w:rPr>
          <w:rFonts w:ascii="Calibri" w:eastAsia="Calibri" w:hAnsi="Calibri" w:cs="Calibri"/>
          <w:sz w:val="22"/>
          <w:szCs w:val="22"/>
        </w:rPr>
        <w:t xml:space="preserve"> involve transactions, on the other hand, will be reported (in the first instance) to the FIU as Suspicious Activity Reports (“SARs”). Examples        of  scenarios that warrant a SAR filing include, but are not limited to: the customer is the subject of material adverse media; the customer alerts as a positive sanctions match; the prospective customer acts in a manner that is suspicious upon account opening (e.g., refusing to answer account opening questions; providing falsified or counterfeit documentation; exhibiting reluctance to provide detailed information about a business account, etc.); or the customer exhibits other suspicious behavior (e.g., inquiring about ways to circumvent certain reporting thresholds). STRs, SARs, and other report types (referenced in greater detail in Section 3.2 (“Basic Structure of an STR or SAR”)) align with the FIU’s current reporting regime and utilization of the goAML system.</w:t>
      </w:r>
    </w:p>
    <w:p w14:paraId="3D67722F" w14:textId="702D5E96" w:rsidR="0065131D" w:rsidRDefault="41028EAA" w:rsidP="3C0BAC93">
      <w:pPr>
        <w:spacing w:before="113" w:after="0" w:line="281" w:lineRule="auto"/>
        <w:ind w:left="284" w:right="192"/>
        <w:jc w:val="both"/>
      </w:pPr>
      <w:r w:rsidRPr="3C0BAC93">
        <w:rPr>
          <w:rFonts w:ascii="Calibri" w:eastAsia="Calibri" w:hAnsi="Calibri" w:cs="Calibri"/>
          <w:sz w:val="22"/>
          <w:szCs w:val="22"/>
        </w:rPr>
        <w:t>Under federal law and regulations, whether the  UAE operate in the mainland UAE or in a Financial or Commercial Free Zone, the designated competent authority for receiving report of suspicious transactions or activity is the FIU. The UAE’s minimum statutory obligations that apply to  UAE are covered in the following requirements:</w:t>
      </w:r>
    </w:p>
    <w:p w14:paraId="0428F4F4" w14:textId="29444BB4" w:rsidR="0065131D" w:rsidRDefault="41028EAA" w:rsidP="3C0BAC93">
      <w:pPr>
        <w:pStyle w:val="ListParagraph"/>
        <w:numPr>
          <w:ilvl w:val="1"/>
          <w:numId w:val="26"/>
        </w:numPr>
        <w:spacing w:after="0" w:line="276" w:lineRule="auto"/>
        <w:ind w:left="2095" w:right="195" w:hanging="346"/>
        <w:jc w:val="both"/>
        <w:rPr>
          <w:rFonts w:ascii="Calibri" w:eastAsia="Calibri" w:hAnsi="Calibri" w:cs="Calibri"/>
          <w:sz w:val="22"/>
          <w:szCs w:val="22"/>
        </w:rPr>
      </w:pPr>
      <w:r w:rsidRPr="3C0BAC93">
        <w:rPr>
          <w:rFonts w:ascii="Calibri" w:eastAsia="Calibri" w:hAnsi="Calibri" w:cs="Calibri"/>
          <w:sz w:val="22"/>
          <w:szCs w:val="22"/>
        </w:rPr>
        <w:t>To put in place indicators to identify suspicious transactions (AML-CFT Law Article 15, AML-CFT Decision Article 16).</w:t>
      </w:r>
    </w:p>
    <w:p w14:paraId="0834775E" w14:textId="1540E5D0" w:rsidR="0065131D" w:rsidRDefault="41028EAA" w:rsidP="3C0BAC93">
      <w:pPr>
        <w:pStyle w:val="ListParagraph"/>
        <w:numPr>
          <w:ilvl w:val="1"/>
          <w:numId w:val="26"/>
        </w:numPr>
        <w:spacing w:after="0" w:line="278" w:lineRule="auto"/>
        <w:ind w:left="2095" w:right="192" w:hanging="346"/>
        <w:jc w:val="both"/>
        <w:rPr>
          <w:rFonts w:ascii="Calibri" w:eastAsia="Calibri" w:hAnsi="Calibri" w:cs="Calibri"/>
          <w:sz w:val="22"/>
          <w:szCs w:val="22"/>
        </w:rPr>
      </w:pPr>
      <w:r w:rsidRPr="3C0BAC93">
        <w:rPr>
          <w:rFonts w:ascii="Calibri" w:eastAsia="Calibri" w:hAnsi="Calibri" w:cs="Calibri"/>
          <w:sz w:val="22"/>
          <w:szCs w:val="22"/>
        </w:rPr>
        <w:t>To report suspicious activity to the FIU and cooperate with relevant authorities, including to not disclose the information or data in an STR (AML-CFT Law Articles 9.1, 15, 24, 25, 27, AML-CFT Decision Articles 13.2, 17.1, 18.1, 20.2, 42.1/2).</w:t>
      </w:r>
    </w:p>
    <w:p w14:paraId="76EB47BD" w14:textId="35832980" w:rsidR="0065131D" w:rsidRDefault="41028EAA" w:rsidP="3C0BAC93">
      <w:pPr>
        <w:spacing w:after="0"/>
      </w:pPr>
      <w:r w:rsidRPr="3C0BAC93">
        <w:rPr>
          <w:rFonts w:ascii="Times New Roman" w:eastAsia="Times New Roman" w:hAnsi="Times New Roman" w:cs="Times New Roman"/>
        </w:rPr>
        <w:t xml:space="preserve"> </w:t>
      </w:r>
    </w:p>
    <w:p w14:paraId="150179FC" w14:textId="1184341F" w:rsidR="0065131D" w:rsidRDefault="41028EAA" w:rsidP="3C0BAC93">
      <w:pPr>
        <w:pStyle w:val="Heading1"/>
        <w:numPr>
          <w:ilvl w:val="0"/>
          <w:numId w:val="27"/>
        </w:numPr>
        <w:spacing w:before="0" w:after="0" w:line="360" w:lineRule="auto"/>
        <w:ind w:left="360" w:right="247"/>
        <w:rPr>
          <w:rFonts w:ascii="Calibri" w:eastAsia="Calibri" w:hAnsi="Calibri" w:cs="Calibri"/>
          <w:b/>
          <w:bCs/>
          <w:sz w:val="28"/>
          <w:szCs w:val="28"/>
        </w:rPr>
      </w:pPr>
      <w:r w:rsidRPr="3C0BAC93">
        <w:rPr>
          <w:rFonts w:ascii="Calibri" w:eastAsia="Calibri" w:hAnsi="Calibri" w:cs="Calibri"/>
          <w:b/>
          <w:bCs/>
          <w:sz w:val="28"/>
          <w:szCs w:val="28"/>
        </w:rPr>
        <w:t>Roles and Responsibilities</w:t>
      </w:r>
    </w:p>
    <w:p w14:paraId="6A26CC1D" w14:textId="19E95BA1"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Senior Management Commitment</w:t>
      </w:r>
    </w:p>
    <w:p w14:paraId="3C7B5414" w14:textId="097721EF" w:rsidR="0065131D" w:rsidRDefault="41028EAA" w:rsidP="3C0BAC93">
      <w:pPr>
        <w:pStyle w:val="ListParagraph"/>
        <w:numPr>
          <w:ilvl w:val="0"/>
          <w:numId w:val="24"/>
        </w:numPr>
        <w:spacing w:after="0"/>
        <w:ind w:left="1080"/>
        <w:rPr>
          <w:rFonts w:ascii="Calibri" w:eastAsia="Calibri" w:hAnsi="Calibri" w:cs="Calibri"/>
          <w:sz w:val="22"/>
          <w:szCs w:val="22"/>
        </w:rPr>
      </w:pPr>
      <w:r w:rsidRPr="3C0BAC93">
        <w:rPr>
          <w:rFonts w:ascii="Calibri" w:eastAsia="Calibri" w:hAnsi="Calibri" w:cs="Calibri"/>
          <w:sz w:val="22"/>
          <w:szCs w:val="22"/>
        </w:rPr>
        <w:t xml:space="preserve">Senior management is defined broadly to include senior leadership, executives, and the board of directors. Senior management’s commitment to, and support of, the  UAE AMLCFT/PF program is one of the most important factors in determining its success. </w:t>
      </w:r>
    </w:p>
    <w:p w14:paraId="2F340823" w14:textId="580C03A1" w:rsidR="0065131D" w:rsidRDefault="41028EAA" w:rsidP="3C0BAC93">
      <w:pPr>
        <w:pStyle w:val="ListParagraph"/>
        <w:numPr>
          <w:ilvl w:val="0"/>
          <w:numId w:val="24"/>
        </w:numPr>
        <w:spacing w:after="0"/>
        <w:ind w:left="1080"/>
        <w:rPr>
          <w:rFonts w:ascii="Calibri" w:eastAsia="Calibri" w:hAnsi="Calibri" w:cs="Calibri"/>
          <w:sz w:val="22"/>
          <w:szCs w:val="22"/>
        </w:rPr>
      </w:pPr>
      <w:r w:rsidRPr="3C0BAC93">
        <w:rPr>
          <w:rFonts w:ascii="Calibri" w:eastAsia="Calibri" w:hAnsi="Calibri" w:cs="Calibri"/>
          <w:sz w:val="22"/>
          <w:szCs w:val="22"/>
        </w:rPr>
        <w:t>In order to facilitate effective senior management commitment,  has:</w:t>
      </w:r>
    </w:p>
    <w:p w14:paraId="01C0987D" w14:textId="4294D042" w:rsidR="0065131D" w:rsidRDefault="41028EAA" w:rsidP="3C0BAC93">
      <w:pPr>
        <w:pStyle w:val="ListParagraph"/>
        <w:numPr>
          <w:ilvl w:val="0"/>
          <w:numId w:val="24"/>
        </w:numPr>
        <w:spacing w:after="0"/>
        <w:ind w:left="1080"/>
        <w:rPr>
          <w:rFonts w:ascii="Calibri" w:eastAsia="Calibri" w:hAnsi="Calibri" w:cs="Calibri"/>
          <w:sz w:val="22"/>
          <w:szCs w:val="22"/>
        </w:rPr>
      </w:pPr>
      <w:r w:rsidRPr="3C0BAC93">
        <w:rPr>
          <w:rFonts w:ascii="Calibri" w:eastAsia="Calibri" w:hAnsi="Calibri" w:cs="Calibri"/>
          <w:sz w:val="22"/>
          <w:szCs w:val="22"/>
        </w:rPr>
        <w:t>Ensured that senior management has reviewed and approved the organization’s AMLCFT/PF program.</w:t>
      </w:r>
    </w:p>
    <w:p w14:paraId="580608D2" w14:textId="4821E211" w:rsidR="0065131D" w:rsidRDefault="41028EAA" w:rsidP="3C0BAC93">
      <w:pPr>
        <w:pStyle w:val="ListParagraph"/>
        <w:numPr>
          <w:ilvl w:val="0"/>
          <w:numId w:val="24"/>
        </w:numPr>
        <w:spacing w:after="0"/>
        <w:ind w:left="1080"/>
        <w:rPr>
          <w:rFonts w:ascii="Calibri" w:eastAsia="Calibri" w:hAnsi="Calibri" w:cs="Calibri"/>
          <w:sz w:val="22"/>
          <w:szCs w:val="22"/>
        </w:rPr>
      </w:pPr>
      <w:r w:rsidRPr="3C0BAC93">
        <w:rPr>
          <w:rFonts w:ascii="Calibri" w:eastAsia="Calibri" w:hAnsi="Calibri" w:cs="Calibri"/>
          <w:sz w:val="22"/>
          <w:szCs w:val="22"/>
        </w:rPr>
        <w:t>Ensured that senior management has reviewed and approved the methodology used for undertaking the risk assessment and reviewed and approved the  UAE risk assessments at least on an annual basis.</w:t>
      </w:r>
    </w:p>
    <w:p w14:paraId="20775395" w14:textId="1211E590" w:rsidR="0065131D" w:rsidRDefault="41028EAA" w:rsidP="3C0BAC93">
      <w:pPr>
        <w:pStyle w:val="ListParagraph"/>
        <w:numPr>
          <w:ilvl w:val="0"/>
          <w:numId w:val="24"/>
        </w:numPr>
        <w:spacing w:after="0"/>
        <w:ind w:left="1080"/>
        <w:rPr>
          <w:rFonts w:ascii="Calibri" w:eastAsia="Calibri" w:hAnsi="Calibri" w:cs="Calibri"/>
          <w:sz w:val="22"/>
          <w:szCs w:val="22"/>
        </w:rPr>
      </w:pPr>
      <w:r w:rsidRPr="3C0BAC93">
        <w:rPr>
          <w:rFonts w:ascii="Calibri" w:eastAsia="Calibri" w:hAnsi="Calibri" w:cs="Calibri"/>
          <w:sz w:val="22"/>
          <w:szCs w:val="22"/>
        </w:rPr>
        <w:lastRenderedPageBreak/>
        <w:t>Clearly designated the personnel responsible for ensuring proper implementation of the AMLCFT/PF program, including day-to-day operations, and compliance with statutory obligations. These personnel should have the appropriate competencies and experience and appropriately trained, to perform the duties and responsibilities associated with this role, has sufficient seniority, and is delegated sufficient authority and autonomy in order to discharge the  UAE responsibilities. The personnel may have other responsibilities in the  UAE, provided that these responsibilities do not conflict with the role in implementing the AMLCFT/PF program.</w:t>
      </w:r>
    </w:p>
    <w:p w14:paraId="58469D20" w14:textId="5112A597" w:rsidR="0065131D" w:rsidRDefault="41028EAA" w:rsidP="3C0BAC93">
      <w:pPr>
        <w:pStyle w:val="ListParagraph"/>
        <w:numPr>
          <w:ilvl w:val="0"/>
          <w:numId w:val="24"/>
        </w:numPr>
        <w:spacing w:after="0"/>
        <w:ind w:left="1080"/>
        <w:rPr>
          <w:rFonts w:ascii="Calibri" w:eastAsia="Calibri" w:hAnsi="Calibri" w:cs="Calibri"/>
          <w:sz w:val="22"/>
          <w:szCs w:val="22"/>
        </w:rPr>
      </w:pPr>
      <w:r w:rsidRPr="3C0BAC93">
        <w:rPr>
          <w:rFonts w:ascii="Calibri" w:eastAsia="Calibri" w:hAnsi="Calibri" w:cs="Calibri"/>
          <w:sz w:val="22"/>
          <w:szCs w:val="22"/>
        </w:rPr>
        <w:t>Ensured the existence of direct reporting lines between the personnel responsible for the AMLCFT/PF program and senior management to facilitate the escalation of financial sanctions issues, including regular and periodic meetings.</w:t>
      </w:r>
    </w:p>
    <w:p w14:paraId="1E90F845" w14:textId="79DBF330" w:rsidR="0065131D" w:rsidRDefault="41028EAA" w:rsidP="3C0BAC93">
      <w:pPr>
        <w:pStyle w:val="ListParagraph"/>
        <w:numPr>
          <w:ilvl w:val="0"/>
          <w:numId w:val="24"/>
        </w:numPr>
        <w:spacing w:after="0"/>
        <w:ind w:left="1080"/>
        <w:rPr>
          <w:rFonts w:ascii="Calibri" w:eastAsia="Calibri" w:hAnsi="Calibri" w:cs="Calibri"/>
          <w:sz w:val="22"/>
          <w:szCs w:val="22"/>
        </w:rPr>
      </w:pPr>
      <w:r w:rsidRPr="3C0BAC93">
        <w:rPr>
          <w:rFonts w:ascii="Calibri" w:eastAsia="Calibri" w:hAnsi="Calibri" w:cs="Calibri"/>
          <w:sz w:val="22"/>
          <w:szCs w:val="22"/>
        </w:rPr>
        <w:t>Ensured that the AMLCFT/PF program is fully integrated into the organization’s daily operations and allocated adequate resources in the form of human capital, expertise, information technology, and other resources as appropriate.</w:t>
      </w:r>
    </w:p>
    <w:p w14:paraId="555DA24E" w14:textId="0694DF75" w:rsidR="0065131D" w:rsidRDefault="41028EAA" w:rsidP="3C0BAC93">
      <w:pPr>
        <w:pStyle w:val="ListParagraph"/>
        <w:numPr>
          <w:ilvl w:val="0"/>
          <w:numId w:val="24"/>
        </w:numPr>
        <w:spacing w:after="0"/>
        <w:ind w:left="1080"/>
        <w:rPr>
          <w:rFonts w:ascii="Calibri" w:eastAsia="Calibri" w:hAnsi="Calibri" w:cs="Calibri"/>
          <w:sz w:val="22"/>
          <w:szCs w:val="22"/>
        </w:rPr>
      </w:pPr>
      <w:r w:rsidRPr="3C0BAC93">
        <w:rPr>
          <w:rFonts w:ascii="Calibri" w:eastAsia="Calibri" w:hAnsi="Calibri" w:cs="Calibri"/>
          <w:sz w:val="22"/>
          <w:szCs w:val="22"/>
        </w:rPr>
        <w:t>Recognized compliance failings and implement necessary measures to reduce future incidents, including through addressing root causes and implementing systemic solutions.</w:t>
      </w:r>
    </w:p>
    <w:p w14:paraId="3D4115F2" w14:textId="5906EA5C" w:rsidR="0065131D" w:rsidRDefault="41028EAA" w:rsidP="3C0BAC93">
      <w:pPr>
        <w:spacing w:after="0"/>
        <w:ind w:left="360"/>
      </w:pPr>
      <w:r w:rsidRPr="3C0BAC93">
        <w:rPr>
          <w:rFonts w:ascii="Calibri" w:eastAsia="Calibri" w:hAnsi="Calibri" w:cs="Calibri"/>
        </w:rPr>
        <w:t xml:space="preserve"> </w:t>
      </w:r>
    </w:p>
    <w:p w14:paraId="1689A01A" w14:textId="767597F7" w:rsidR="0065131D" w:rsidRDefault="41028EAA" w:rsidP="3C0BAC93">
      <w:pPr>
        <w:pStyle w:val="Heading1"/>
        <w:numPr>
          <w:ilvl w:val="0"/>
          <w:numId w:val="27"/>
        </w:numPr>
        <w:spacing w:before="0" w:after="0" w:line="360" w:lineRule="auto"/>
        <w:ind w:left="360" w:right="247"/>
        <w:rPr>
          <w:rFonts w:ascii="Calibri" w:eastAsia="Calibri" w:hAnsi="Calibri" w:cs="Calibri"/>
          <w:b/>
          <w:bCs/>
          <w:sz w:val="28"/>
          <w:szCs w:val="28"/>
        </w:rPr>
      </w:pPr>
      <w:r w:rsidRPr="3C0BAC93">
        <w:rPr>
          <w:rFonts w:ascii="Calibri" w:eastAsia="Calibri" w:hAnsi="Calibri" w:cs="Calibri"/>
          <w:b/>
          <w:bCs/>
          <w:sz w:val="28"/>
          <w:szCs w:val="28"/>
        </w:rPr>
        <w:t>Implementation</w:t>
      </w:r>
    </w:p>
    <w:p w14:paraId="6BF9CDF4" w14:textId="49F7C0ED" w:rsidR="0065131D" w:rsidRDefault="41028EAA" w:rsidP="3C0BAC93">
      <w:pPr>
        <w:spacing w:after="0"/>
        <w:ind w:firstLine="360"/>
      </w:pPr>
      <w:r w:rsidRPr="3C0BAC93">
        <w:rPr>
          <w:rFonts w:ascii="Times New Roman" w:eastAsia="Times New Roman" w:hAnsi="Times New Roman" w:cs="Times New Roman"/>
          <w:b/>
          <w:bCs/>
        </w:rPr>
        <w:t>Identification of Suspicious Transactions</w:t>
      </w:r>
    </w:p>
    <w:p w14:paraId="3301E677" w14:textId="299DAE56" w:rsidR="0065131D" w:rsidRDefault="41028EAA" w:rsidP="3C0BAC93">
      <w:pPr>
        <w:spacing w:after="0"/>
      </w:pPr>
      <w:r w:rsidRPr="3C0BAC93">
        <w:rPr>
          <w:rFonts w:ascii="Times New Roman" w:eastAsia="Times New Roman" w:hAnsi="Times New Roman" w:cs="Times New Roman"/>
        </w:rPr>
        <w:t xml:space="preserve"> </w:t>
      </w:r>
    </w:p>
    <w:p w14:paraId="4BBFDF30" w14:textId="72BCDF3B"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Role of the First Line of Defense</w:t>
      </w:r>
    </w:p>
    <w:p w14:paraId="07E3BDAF" w14:textId="67ED458C" w:rsidR="0065131D" w:rsidRDefault="41028EAA" w:rsidP="3C0BAC93">
      <w:pPr>
        <w:spacing w:after="0"/>
        <w:ind w:left="360"/>
      </w:pPr>
      <w:r w:rsidRPr="3C0BAC93">
        <w:rPr>
          <w:rFonts w:ascii="Calibri" w:eastAsia="Calibri" w:hAnsi="Calibri" w:cs="Calibri"/>
        </w:rPr>
        <w:t xml:space="preserve">Employees within the first line of defense (e.g., relationship managers, business executives, and back- office operations functions) should understand the AML/CFT risks posed to the business in which they work. First line of defense employees is central to the management of customer and third-party risk and the timely escalation of potentially suspicious activity. </w:t>
      </w:r>
    </w:p>
    <w:p w14:paraId="530344F0" w14:textId="64BF47B3" w:rsidR="0065131D" w:rsidRDefault="41028EAA" w:rsidP="3C0BAC93">
      <w:pPr>
        <w:spacing w:after="0"/>
        <w:ind w:left="360"/>
      </w:pPr>
      <w:r w:rsidRPr="3C0BAC93">
        <w:rPr>
          <w:rFonts w:ascii="Calibri" w:eastAsia="Calibri" w:hAnsi="Calibri" w:cs="Calibri"/>
        </w:rPr>
        <w:t xml:space="preserve"> </w:t>
      </w:r>
    </w:p>
    <w:p w14:paraId="052E522E" w14:textId="26302E99" w:rsidR="0065131D" w:rsidRDefault="41028EAA" w:rsidP="3C0BAC93">
      <w:pPr>
        <w:spacing w:after="0"/>
        <w:ind w:left="360"/>
      </w:pPr>
      <w:r w:rsidRPr="3C0BAC93">
        <w:rPr>
          <w:rFonts w:ascii="Calibri" w:eastAsia="Calibri" w:hAnsi="Calibri" w:cs="Calibri"/>
        </w:rPr>
        <w:t xml:space="preserve"> UAE is not relying solely on transaction monitoring systems to identify unusual and potentially suspicious activity in their customer population. First line of defense employees plays a critical role in the detection and prevention of money laundering and the financing of terrorism and illegal organizations. Appropriately trained employees are in fact well-placed to identify suspicious transactions and assess that information once deemed reasonable collected through interactions with a customer now appears suspicious. They are therefore trained regarding potential risk and risk mitigation and reporting within their business area. Employees should understand the regulatory requirements within the scope of their role; red flags associated with their customers, products, services, delivery channels, and geographies; and the appropriate escalation procedure both to their management and to the second line of defense without compromising their responsibility to report suspicious transactions.</w:t>
      </w:r>
    </w:p>
    <w:p w14:paraId="54B3F2B4" w14:textId="34FD47FA" w:rsidR="0065131D" w:rsidRDefault="41028EAA" w:rsidP="3C0BAC93">
      <w:pPr>
        <w:spacing w:after="0"/>
        <w:ind w:left="360"/>
      </w:pPr>
      <w:r w:rsidRPr="3C0BAC93">
        <w:rPr>
          <w:rFonts w:ascii="Calibri" w:eastAsia="Calibri" w:hAnsi="Calibri" w:cs="Calibri"/>
        </w:rPr>
        <w:t xml:space="preserve"> </w:t>
      </w:r>
    </w:p>
    <w:p w14:paraId="2829AE98" w14:textId="2A3BDF48"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lastRenderedPageBreak/>
        <w:t>Role of the Second Line of Defense</w:t>
      </w:r>
    </w:p>
    <w:p w14:paraId="750DF468" w14:textId="0FE002D6" w:rsidR="0065131D" w:rsidRDefault="41028EAA" w:rsidP="3C0BAC93">
      <w:pPr>
        <w:spacing w:after="0"/>
        <w:ind w:left="360"/>
      </w:pPr>
      <w:r w:rsidRPr="3C0BAC93">
        <w:rPr>
          <w:rFonts w:ascii="Calibri" w:eastAsia="Calibri" w:hAnsi="Calibri" w:cs="Calibri"/>
        </w:rPr>
        <w:t xml:space="preserve">The second line of defense (e.g., compliance employees) provides policy advice, guidance, assurance, oversight, and challenge to the first line of defense. While employees in Financial Crime Operations Units (possibly in the first line of defense) can investigate suspicious transactions and document the resultant investigation, the ultimate filing of the STR or SAR must be made by the Compliance Officer or the MLRO (in the second line of defense). To this end, the second line of defense is charged with overseeing the investigations program comprised of both automated and manual monitoring processes. </w:t>
      </w:r>
    </w:p>
    <w:p w14:paraId="773E802E" w14:textId="116EB655" w:rsidR="0065131D" w:rsidRDefault="41028EAA" w:rsidP="3C0BAC93">
      <w:pPr>
        <w:spacing w:after="0"/>
        <w:ind w:left="360"/>
      </w:pPr>
      <w:r w:rsidRPr="3C0BAC93">
        <w:rPr>
          <w:rFonts w:ascii="Calibri" w:eastAsia="Calibri" w:hAnsi="Calibri" w:cs="Calibri"/>
        </w:rPr>
        <w:t xml:space="preserve"> </w:t>
      </w:r>
    </w:p>
    <w:p w14:paraId="66714FB2" w14:textId="045AAA44" w:rsidR="0065131D" w:rsidRDefault="41028EAA" w:rsidP="3C0BAC93">
      <w:pPr>
        <w:spacing w:after="0"/>
        <w:ind w:left="360"/>
      </w:pPr>
      <w:r w:rsidRPr="3C0BAC93">
        <w:rPr>
          <w:rFonts w:ascii="Calibri" w:eastAsia="Calibri" w:hAnsi="Calibri" w:cs="Calibri"/>
        </w:rPr>
        <w:t>The second line of defense is also charged with monitoring risks facing the  UAE, such as noncompliance with UAE laws and regulations, and reporting directly to senior management on the  UAE risk exposure, including through financial crime-related metrics. Specifically, the second line of defense and first line of defense (as applicable) are advised to generate financial crime-related metrics (e.g., STRs or SARs filed, alert backlogs) to provide senior management with an adequate overview of the  UAE compliance program, including the timeliness and quality of the  UAE handling and resolution of transaction monitoring alerts and the STR or SAR filing process. The second line of defense retains records of all information relating to transaction monitoring and suspicious activity reporting for a period of no less than five (5) years as provided in Article24 of the AML-CFT Decision.</w:t>
      </w:r>
    </w:p>
    <w:p w14:paraId="7F6971D3" w14:textId="5387E6CE" w:rsidR="0065131D" w:rsidRDefault="41028EAA" w:rsidP="3C0BAC93">
      <w:pPr>
        <w:spacing w:after="0"/>
        <w:ind w:left="360"/>
      </w:pPr>
      <w:r w:rsidRPr="3C0BAC93">
        <w:rPr>
          <w:rFonts w:ascii="Calibri" w:eastAsia="Calibri" w:hAnsi="Calibri" w:cs="Calibri"/>
        </w:rPr>
        <w:t xml:space="preserve"> </w:t>
      </w:r>
    </w:p>
    <w:p w14:paraId="412152F4" w14:textId="005A1D59"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 xml:space="preserve"> Role of the Compliance Officer / MLRO</w:t>
      </w:r>
    </w:p>
    <w:p w14:paraId="7EAB5973" w14:textId="62E10C26" w:rsidR="0065131D" w:rsidRDefault="41028EAA" w:rsidP="3C0BAC93">
      <w:pPr>
        <w:spacing w:after="0"/>
        <w:ind w:left="426"/>
      </w:pPr>
      <w:r w:rsidRPr="3C0BAC93">
        <w:rPr>
          <w:rFonts w:ascii="Calibri" w:eastAsia="Calibri" w:hAnsi="Calibri" w:cs="Calibri"/>
        </w:rPr>
        <w:t>According to Article 21 of the AML-CFT Decision,  UAE is are required to appoint a Compliance Officer with the appropriate competencies and experience to perform the necessary tasks to:</w:t>
      </w:r>
    </w:p>
    <w:p w14:paraId="60B7256D" w14:textId="3C21D32B" w:rsidR="0065131D" w:rsidRDefault="41028EAA" w:rsidP="3C0BAC93">
      <w:pPr>
        <w:spacing w:after="0"/>
        <w:ind w:left="426"/>
      </w:pPr>
      <w:r w:rsidRPr="3C0BAC93">
        <w:rPr>
          <w:rFonts w:ascii="Calibri" w:eastAsia="Calibri" w:hAnsi="Calibri" w:cs="Calibri"/>
        </w:rPr>
        <w:t xml:space="preserve"> </w:t>
      </w:r>
    </w:p>
    <w:p w14:paraId="02433D60" w14:textId="59A01C56" w:rsidR="0065131D" w:rsidRDefault="41028EAA" w:rsidP="3C0BAC93">
      <w:pPr>
        <w:pStyle w:val="ListParagraph"/>
        <w:numPr>
          <w:ilvl w:val="0"/>
          <w:numId w:val="22"/>
        </w:numPr>
        <w:spacing w:after="0"/>
        <w:rPr>
          <w:rFonts w:ascii="Calibri" w:eastAsia="Calibri" w:hAnsi="Calibri" w:cs="Calibri"/>
          <w:sz w:val="22"/>
          <w:szCs w:val="22"/>
        </w:rPr>
      </w:pPr>
      <w:r w:rsidRPr="3C0BAC93">
        <w:rPr>
          <w:rFonts w:ascii="Calibri" w:eastAsia="Calibri" w:hAnsi="Calibri" w:cs="Calibri"/>
          <w:sz w:val="22"/>
          <w:szCs w:val="22"/>
        </w:rPr>
        <w:t>Detect transactions relating to any crime as defined in Article 1 of the AML-CFT Decision.</w:t>
      </w:r>
    </w:p>
    <w:p w14:paraId="78E5347A" w14:textId="6C3681E9" w:rsidR="0065131D" w:rsidRDefault="41028EAA" w:rsidP="3C0BAC93">
      <w:pPr>
        <w:pStyle w:val="ListParagraph"/>
        <w:numPr>
          <w:ilvl w:val="0"/>
          <w:numId w:val="22"/>
        </w:numPr>
        <w:spacing w:after="0"/>
        <w:rPr>
          <w:rFonts w:ascii="Calibri" w:eastAsia="Calibri" w:hAnsi="Calibri" w:cs="Calibri"/>
          <w:sz w:val="22"/>
          <w:szCs w:val="22"/>
        </w:rPr>
      </w:pPr>
      <w:r w:rsidRPr="3C0BAC93">
        <w:rPr>
          <w:rFonts w:ascii="Calibri" w:eastAsia="Calibri" w:hAnsi="Calibri" w:cs="Calibri"/>
          <w:sz w:val="22"/>
          <w:szCs w:val="22"/>
        </w:rPr>
        <w:t>Review, scrutinize, and study records; receive data concerning suspicious transactions; and make decisions to either notify the FIU or maintain the transaction with a documented rationale for maintaining the transaction while upholding confidentiality requirements.</w:t>
      </w:r>
    </w:p>
    <w:p w14:paraId="11B1FB5F" w14:textId="4F1B8D72" w:rsidR="0065131D" w:rsidRDefault="41028EAA" w:rsidP="3C0BAC93">
      <w:pPr>
        <w:pStyle w:val="ListParagraph"/>
        <w:numPr>
          <w:ilvl w:val="0"/>
          <w:numId w:val="22"/>
        </w:numPr>
        <w:spacing w:after="0"/>
        <w:rPr>
          <w:rFonts w:ascii="Calibri" w:eastAsia="Calibri" w:hAnsi="Calibri" w:cs="Calibri"/>
          <w:sz w:val="22"/>
          <w:szCs w:val="22"/>
        </w:rPr>
      </w:pPr>
      <w:r w:rsidRPr="3C0BAC93">
        <w:rPr>
          <w:rFonts w:ascii="Calibri" w:eastAsia="Calibri" w:hAnsi="Calibri" w:cs="Calibri"/>
          <w:sz w:val="22"/>
          <w:szCs w:val="22"/>
        </w:rPr>
        <w:t>Review the internal rules and procedures relating to combating the crime and their consistency with relevant laws and regulations; assess the extent to which the  is committed to the application of these rules and procedures; propose what is needed to update and develop these rules and procedures; prepare and submit semi-annual reports on these points to senior management; and send a copy of that report to the relevant supervisory authority with senior management remarks and decisions.</w:t>
      </w:r>
    </w:p>
    <w:p w14:paraId="3C4957F5" w14:textId="625CE10F" w:rsidR="0065131D" w:rsidRDefault="41028EAA" w:rsidP="3C0BAC93">
      <w:pPr>
        <w:pStyle w:val="ListParagraph"/>
        <w:numPr>
          <w:ilvl w:val="0"/>
          <w:numId w:val="22"/>
        </w:numPr>
        <w:spacing w:after="0"/>
        <w:rPr>
          <w:rFonts w:ascii="Calibri" w:eastAsia="Calibri" w:hAnsi="Calibri" w:cs="Calibri"/>
          <w:sz w:val="22"/>
          <w:szCs w:val="22"/>
        </w:rPr>
      </w:pPr>
      <w:r w:rsidRPr="3C0BAC93">
        <w:rPr>
          <w:rFonts w:ascii="Calibri" w:eastAsia="Calibri" w:hAnsi="Calibri" w:cs="Calibri"/>
          <w:sz w:val="22"/>
          <w:szCs w:val="22"/>
        </w:rPr>
        <w:t>Prepare, execute, and document ongoing training and development programs and plans for the  UAE employees on money laundering and the financing of terrorism and financing of illegal organizations, and the means to combat them.</w:t>
      </w:r>
    </w:p>
    <w:p w14:paraId="6399B8BE" w14:textId="35E9B65E" w:rsidR="0065131D" w:rsidRDefault="41028EAA" w:rsidP="3C0BAC93">
      <w:pPr>
        <w:pStyle w:val="ListParagraph"/>
        <w:numPr>
          <w:ilvl w:val="0"/>
          <w:numId w:val="22"/>
        </w:numPr>
        <w:spacing w:after="0"/>
        <w:rPr>
          <w:rFonts w:ascii="Calibri" w:eastAsia="Calibri" w:hAnsi="Calibri" w:cs="Calibri"/>
          <w:sz w:val="22"/>
          <w:szCs w:val="22"/>
        </w:rPr>
      </w:pPr>
      <w:r w:rsidRPr="3C0BAC93">
        <w:rPr>
          <w:rFonts w:ascii="Calibri" w:eastAsia="Calibri" w:hAnsi="Calibri" w:cs="Calibri"/>
          <w:sz w:val="22"/>
          <w:szCs w:val="22"/>
        </w:rPr>
        <w:lastRenderedPageBreak/>
        <w:t>Collaborate with the supervisory authority and FIU, provide them with all requested data, and allow their authorized employees to view the necessary records and documents that will allow them to perform their duties.</w:t>
      </w:r>
    </w:p>
    <w:p w14:paraId="37F433D5" w14:textId="77FE3B8B" w:rsidR="0065131D" w:rsidRDefault="41028EAA" w:rsidP="3C0BAC93">
      <w:pPr>
        <w:spacing w:after="0"/>
        <w:ind w:left="426"/>
      </w:pPr>
      <w:r w:rsidRPr="3C0BAC93">
        <w:rPr>
          <w:rFonts w:ascii="Calibri" w:eastAsia="Calibri" w:hAnsi="Calibri" w:cs="Calibri"/>
        </w:rPr>
        <w:t xml:space="preserve"> </w:t>
      </w:r>
    </w:p>
    <w:p w14:paraId="2BAFB1CF" w14:textId="761A74D4" w:rsidR="0065131D" w:rsidRDefault="41028EAA" w:rsidP="3C0BAC93">
      <w:pPr>
        <w:spacing w:after="0"/>
        <w:ind w:left="426"/>
      </w:pPr>
      <w:r w:rsidRPr="3C0BAC93">
        <w:rPr>
          <w:rFonts w:ascii="Calibri" w:eastAsia="Calibri" w:hAnsi="Calibri" w:cs="Calibri"/>
        </w:rPr>
        <w:t xml:space="preserve">According to CBUAE’s Guidelines, the Compliance Officer is the  UAE money laundering reporting officer (“MLRO”) charged with reviewing, scrutinizing, and reporting STRs and other reports pertaining to suspicious activity. In this capacity, the  UAE Compliance Officer or MLRO is ultimately responsible for the detection of transactions related to money laundering and financing of terrorism and illegal organizations; for reporting suspicions to the FIU; implementing the appropriate actions following an STR, SAR, or other report filing (e.g., ensuring the STR or SAR subject is input into the relevant list for close monitoring or internal watch lists/blacklists; changing the customer risk rating; etc.); and for cooperating with the relevant </w:t>
      </w:r>
    </w:p>
    <w:p w14:paraId="30A9A5E1" w14:textId="722959AE" w:rsidR="0065131D" w:rsidRDefault="41028EAA" w:rsidP="3C0BAC93">
      <w:pPr>
        <w:spacing w:after="0"/>
        <w:ind w:left="426"/>
      </w:pPr>
      <w:r w:rsidRPr="3C0BAC93">
        <w:rPr>
          <w:rFonts w:ascii="Calibri" w:eastAsia="Calibri" w:hAnsi="Calibri" w:cs="Calibri"/>
        </w:rPr>
        <w:t>authorities on AML/CFT matters. The Compliance Officer or MLRO is ultimately responsible to ensure that an appropriate program exists in the  UAE and that the  UAE effectively deploys a risk-based approach to detect and report suspicious activity. The Compliance Officer or MLRO also act as the primary point of contact with law enforcement agencies for their requests and investigations. The Compliance Officer or MLRO is responsible for liaising with regulators and external bodies on financial crime issues in order to share knowledge, report cases, develop best practices, and where possible, to improve coordination within the financial sector.</w:t>
      </w:r>
    </w:p>
    <w:p w14:paraId="2DF3A3AD" w14:textId="78E7A365" w:rsidR="0065131D" w:rsidRDefault="41028EAA" w:rsidP="3C0BAC93">
      <w:pPr>
        <w:spacing w:after="0"/>
      </w:pPr>
      <w:r w:rsidRPr="3C0BAC93">
        <w:rPr>
          <w:rFonts w:ascii="Times New Roman" w:eastAsia="Times New Roman" w:hAnsi="Times New Roman" w:cs="Times New Roman"/>
        </w:rPr>
        <w:t xml:space="preserve"> </w:t>
      </w:r>
    </w:p>
    <w:p w14:paraId="74E1620E" w14:textId="5F7D34A9"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Role of the Third Line of Defense</w:t>
      </w:r>
    </w:p>
    <w:p w14:paraId="01CDB436" w14:textId="32C85C60" w:rsidR="0065131D" w:rsidRDefault="41028EAA" w:rsidP="3C0BAC93">
      <w:pPr>
        <w:spacing w:after="0"/>
        <w:ind w:left="426"/>
      </w:pPr>
      <w:r w:rsidRPr="3C0BAC93">
        <w:rPr>
          <w:rFonts w:ascii="Calibri" w:eastAsia="Calibri" w:hAnsi="Calibri" w:cs="Calibri"/>
        </w:rPr>
        <w:t xml:space="preserve">The independent testing function is responsible for evaluating the design and operational effectiveness of an  UAE compliance program controls, including technical compliance with AML/CFT policies and procedures. This function serves as a “third line of defense” to identify gaps, deficiencies, and weaknesses in operational controls owned or overseen by an  UAE business, operations, and compliance functions. Independent testing is conducted by an internal audit department, outside auditors, consultants, and/or other qualified, independent third parties. </w:t>
      </w:r>
    </w:p>
    <w:p w14:paraId="10D34BB6" w14:textId="074AA73A" w:rsidR="0065131D" w:rsidRDefault="41028EAA" w:rsidP="3C0BAC93">
      <w:pPr>
        <w:spacing w:after="0"/>
        <w:ind w:left="426"/>
      </w:pPr>
      <w:r w:rsidRPr="3C0BAC93">
        <w:rPr>
          <w:rFonts w:ascii="Calibri" w:eastAsia="Calibri" w:hAnsi="Calibri" w:cs="Calibri"/>
        </w:rPr>
        <w:t xml:space="preserve"> </w:t>
      </w:r>
    </w:p>
    <w:p w14:paraId="7CE707E6" w14:textId="54B0F8E4" w:rsidR="0065131D" w:rsidRDefault="41028EAA" w:rsidP="3C0BAC93">
      <w:pPr>
        <w:spacing w:after="0"/>
        <w:ind w:left="426"/>
      </w:pPr>
      <w:r w:rsidRPr="3C0BAC93">
        <w:rPr>
          <w:rFonts w:ascii="Calibri" w:eastAsia="Calibri" w:hAnsi="Calibri" w:cs="Calibri"/>
        </w:rPr>
        <w:t>At a minimum, employees responsible for conducting independent testing are not involved in the function being tested or in other AML/CFT functions that could compromise their independence. Risk-based auditing assists  UAE senior management in identifying areas of weakness, prioritizing those areas for remediation, and ensuring the provision of adequate resources, oversight, and training for affected employees.</w:t>
      </w:r>
    </w:p>
    <w:p w14:paraId="5324A384" w14:textId="19BE5461" w:rsidR="0065131D" w:rsidRDefault="41028EAA" w:rsidP="3C0BAC93">
      <w:pPr>
        <w:spacing w:after="0"/>
      </w:pPr>
      <w:r w:rsidRPr="3C0BAC93">
        <w:rPr>
          <w:rFonts w:ascii="Calibri" w:eastAsia="Calibri" w:hAnsi="Calibri" w:cs="Calibri"/>
        </w:rPr>
        <w:t xml:space="preserve"> </w:t>
      </w:r>
    </w:p>
    <w:p w14:paraId="73D5C1CE" w14:textId="6ADDC473"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lastRenderedPageBreak/>
        <w:t>Purpose of Transaction Monitoring</w:t>
      </w:r>
    </w:p>
    <w:p w14:paraId="0EBADBF5" w14:textId="05ECF890" w:rsidR="0065131D" w:rsidRDefault="41028EAA" w:rsidP="3C0BAC93">
      <w:pPr>
        <w:spacing w:after="0"/>
        <w:ind w:left="426"/>
      </w:pPr>
      <w:r w:rsidRPr="3C0BAC93">
        <w:rPr>
          <w:rFonts w:ascii="Calibri" w:eastAsia="Calibri" w:hAnsi="Calibri" w:cs="Calibri"/>
        </w:rPr>
        <w:t xml:space="preserve">The purpose of transaction monitoring is the ongoing, retrospective monitoring of customers’ and prospective customers’ transactions or activity to identify activity anomalous from normal behavior. This may, on further investigation, generate knowledge or reasonable suspicion of financial crime and thereby require reporting to the appropriate law enforcement and/or regulatory authority as an STR, SAR, or equivalent local report in line with AML/CFT regulatory and/or UAE FIU reporting requirements. </w:t>
      </w:r>
    </w:p>
    <w:p w14:paraId="4292B890" w14:textId="4F3E637E" w:rsidR="0065131D" w:rsidRDefault="41028EAA" w:rsidP="3C0BAC93">
      <w:pPr>
        <w:spacing w:after="0"/>
        <w:ind w:left="426"/>
      </w:pPr>
      <w:r w:rsidRPr="3C0BAC93">
        <w:rPr>
          <w:rFonts w:ascii="Calibri" w:eastAsia="Calibri" w:hAnsi="Calibri" w:cs="Calibri"/>
        </w:rPr>
        <w:t xml:space="preserve"> </w:t>
      </w:r>
    </w:p>
    <w:p w14:paraId="78BE9F39" w14:textId="4F71F587" w:rsidR="0065131D" w:rsidRDefault="41028EAA" w:rsidP="3C0BAC93">
      <w:pPr>
        <w:spacing w:after="0"/>
        <w:ind w:left="426"/>
      </w:pPr>
      <w:r w:rsidRPr="3C0BAC93">
        <w:rPr>
          <w:rFonts w:ascii="Calibri" w:eastAsia="Calibri" w:hAnsi="Calibri" w:cs="Calibri"/>
        </w:rPr>
        <w:t xml:space="preserve"> UAE has chosen to use a combination of automated transaction monitoring scenarios and exception-based (manual) transaction reports to monitor for potentially suspicious activity. The aim of the alert review process is to identify and respond to potential indicators of money laundering, associated predicate offenses, financing of terrorism and illegal organizations, financing of proliferation, and any potentially unusual activity that does not align to a customer’s or account's profile including by deploying a risk-based approach. </w:t>
      </w:r>
    </w:p>
    <w:p w14:paraId="0B24659F" w14:textId="1D1CC8BB" w:rsidR="0065131D" w:rsidRDefault="41028EAA" w:rsidP="3C0BAC93">
      <w:pPr>
        <w:spacing w:after="0"/>
        <w:ind w:left="426"/>
      </w:pPr>
      <w:r w:rsidRPr="3C0BAC93">
        <w:rPr>
          <w:rFonts w:ascii="Calibri" w:eastAsia="Calibri" w:hAnsi="Calibri" w:cs="Calibri"/>
        </w:rPr>
        <w:t xml:space="preserve"> </w:t>
      </w:r>
    </w:p>
    <w:p w14:paraId="67474A7E" w14:textId="5AE2A06E" w:rsidR="0065131D" w:rsidRDefault="41028EAA" w:rsidP="3C0BAC93">
      <w:pPr>
        <w:spacing w:after="0"/>
        <w:ind w:left="426"/>
      </w:pPr>
      <w:r w:rsidRPr="3C0BAC93">
        <w:rPr>
          <w:rFonts w:ascii="Calibri" w:eastAsia="Calibri" w:hAnsi="Calibri" w:cs="Calibri"/>
        </w:rPr>
        <w:t xml:space="preserve"> UAE transaction monitoring systems and manual processes are reviewed, assessed, and revised periodically—at least annually—and otherwise as appropriate, justified by the required circumstances. Additionally, this review includes both an evaluation of transaction monitoring system thresholds and a fine tuning of the  UAE transaction monitoring system as well as an evaluation of its effectiveness. The individuals responsible for the review have a proper understanding of the  UAE framework— including the  UAE business and customer base—to generate a meaningful output.</w:t>
      </w:r>
    </w:p>
    <w:p w14:paraId="04EEE2D6" w14:textId="6C8D2F59" w:rsidR="0065131D" w:rsidRDefault="41028EAA" w:rsidP="3C0BAC93">
      <w:pPr>
        <w:spacing w:after="0"/>
      </w:pPr>
      <w:r w:rsidRPr="3C0BAC93">
        <w:rPr>
          <w:rFonts w:ascii="Calibri" w:eastAsia="Calibri" w:hAnsi="Calibri" w:cs="Calibri"/>
        </w:rPr>
        <w:t xml:space="preserve"> </w:t>
      </w:r>
    </w:p>
    <w:p w14:paraId="0BEC92CA" w14:textId="59772762"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Internal Organization</w:t>
      </w:r>
    </w:p>
    <w:p w14:paraId="5EE5E5BC" w14:textId="00413D1D" w:rsidR="0065131D" w:rsidRDefault="41028EAA" w:rsidP="3C0BAC93">
      <w:pPr>
        <w:spacing w:after="0"/>
        <w:ind w:left="426"/>
      </w:pPr>
      <w:r w:rsidRPr="3C0BAC93">
        <w:rPr>
          <w:rFonts w:ascii="Calibri" w:eastAsia="Calibri" w:hAnsi="Calibri" w:cs="Calibri"/>
        </w:rPr>
        <w:t xml:space="preserve">In order for  UAE transaction monitoring and suspicious activity reporting program to be effective, it is based on the foundation of a sound governance structure. Namely, an  UAE internal organization is important to appropriately identifying unusual or potentially suspicious activity. Internal organization comprises  UAE policies, procedures, and processes designed to oversee and manage risks and to achieve compliance with UAE AML/CFT laws and regulations. </w:t>
      </w:r>
    </w:p>
    <w:p w14:paraId="16881DC5" w14:textId="46923AA2" w:rsidR="0065131D" w:rsidRDefault="41028EAA" w:rsidP="3C0BAC93">
      <w:pPr>
        <w:spacing w:after="0"/>
        <w:ind w:left="426"/>
      </w:pPr>
      <w:r w:rsidRPr="3C0BAC93">
        <w:rPr>
          <w:rFonts w:ascii="Calibri" w:eastAsia="Calibri" w:hAnsi="Calibri" w:cs="Calibri"/>
        </w:rPr>
        <w:t>In particular,  UAE internal organization addresses the core organizational elements of an  UAE compliance program: governance and management oversight; policies and procedures; clear lines of responsibility and reporting; and ongoing training to account for changes in the UAE’s legislative and regulatory frameworks.</w:t>
      </w:r>
    </w:p>
    <w:p w14:paraId="5B4006D4" w14:textId="730FC4A6" w:rsidR="0065131D" w:rsidRDefault="41028EAA" w:rsidP="3C0BAC93">
      <w:pPr>
        <w:spacing w:after="0"/>
        <w:ind w:left="426"/>
      </w:pPr>
      <w:r w:rsidRPr="3C0BAC93">
        <w:rPr>
          <w:rFonts w:ascii="Calibri" w:eastAsia="Calibri" w:hAnsi="Calibri" w:cs="Calibri"/>
        </w:rPr>
        <w:t xml:space="preserve"> </w:t>
      </w:r>
    </w:p>
    <w:p w14:paraId="0A10264C" w14:textId="1D53FB0D" w:rsidR="0065131D" w:rsidRDefault="41028EAA" w:rsidP="3C0BAC93">
      <w:pPr>
        <w:pStyle w:val="ListParagraph"/>
        <w:numPr>
          <w:ilvl w:val="0"/>
          <w:numId w:val="22"/>
        </w:numPr>
        <w:spacing w:after="0"/>
        <w:rPr>
          <w:rFonts w:ascii="Calibri" w:eastAsia="Calibri" w:hAnsi="Calibri" w:cs="Calibri"/>
          <w:sz w:val="22"/>
          <w:szCs w:val="22"/>
        </w:rPr>
      </w:pPr>
      <w:r w:rsidRPr="3C0BAC93">
        <w:rPr>
          <w:rFonts w:ascii="Calibri" w:eastAsia="Calibri" w:hAnsi="Calibri" w:cs="Calibri"/>
          <w:b/>
          <w:bCs/>
          <w:sz w:val="22"/>
          <w:szCs w:val="22"/>
        </w:rPr>
        <w:t>Governance and Management Oversight</w:t>
      </w:r>
      <w:r w:rsidRPr="3C0BAC93">
        <w:rPr>
          <w:rFonts w:ascii="Calibri" w:eastAsia="Calibri" w:hAnsi="Calibri" w:cs="Calibri"/>
          <w:sz w:val="22"/>
          <w:szCs w:val="22"/>
        </w:rPr>
        <w:t xml:space="preserve">: </w:t>
      </w:r>
    </w:p>
    <w:p w14:paraId="71CF64E3" w14:textId="63D26164" w:rsidR="0065131D" w:rsidRDefault="41028EAA" w:rsidP="3C0BAC93">
      <w:pPr>
        <w:spacing w:after="0"/>
        <w:ind w:left="720"/>
      </w:pPr>
      <w:r w:rsidRPr="3C0BAC93">
        <w:rPr>
          <w:rFonts w:ascii="Calibri" w:eastAsia="Calibri" w:hAnsi="Calibri" w:cs="Calibri"/>
          <w:sz w:val="22"/>
          <w:szCs w:val="22"/>
        </w:rPr>
        <w:t xml:space="preserve">Governance and management oversight help to ensure that  UAE compliance program is appropriately funded, staffed, and equipped with the requisite technology, including to identify </w:t>
      </w:r>
      <w:r w:rsidRPr="3C0BAC93">
        <w:rPr>
          <w:rFonts w:ascii="Calibri" w:eastAsia="Calibri" w:hAnsi="Calibri" w:cs="Calibri"/>
          <w:sz w:val="22"/>
          <w:szCs w:val="22"/>
        </w:rPr>
        <w:lastRenderedPageBreak/>
        <w:t xml:space="preserve">and report suspicious activity.  UAE senior management also ensures that the compliance program has an appropriately prominent status within the organization and is operationally independent. In this capacity, senior management, inclusive of the Compliance Officer, within a compliance program have the appropriate authority; independence; access to employees and information within the organization; and appropriate resources to conduct their activities—including the identification and reporting of suspicious activity—effectively. </w:t>
      </w:r>
    </w:p>
    <w:p w14:paraId="59AD8951" w14:textId="3A2AFFD0" w:rsidR="0065131D" w:rsidRDefault="41028EAA" w:rsidP="3C0BAC93">
      <w:pPr>
        <w:spacing w:after="0"/>
        <w:ind w:left="720"/>
      </w:pPr>
      <w:r w:rsidRPr="3C0BAC93">
        <w:rPr>
          <w:rFonts w:ascii="Calibri" w:eastAsia="Calibri" w:hAnsi="Calibri" w:cs="Calibri"/>
          <w:sz w:val="22"/>
          <w:szCs w:val="22"/>
        </w:rPr>
        <w:t xml:space="preserve"> </w:t>
      </w:r>
    </w:p>
    <w:p w14:paraId="64FE3357" w14:textId="3E6035E5" w:rsidR="0065131D" w:rsidRDefault="41028EAA" w:rsidP="3C0BAC93">
      <w:pPr>
        <w:spacing w:after="0"/>
        <w:ind w:left="720"/>
      </w:pPr>
      <w:r w:rsidRPr="3C0BAC93">
        <w:rPr>
          <w:rFonts w:ascii="Calibri" w:eastAsia="Calibri" w:hAnsi="Calibri" w:cs="Calibri"/>
          <w:sz w:val="22"/>
          <w:szCs w:val="22"/>
        </w:rPr>
        <w:t>The compliance program has access to the senior management and Head Office to raise any issues or risks; report on the status of ongoing compliance; and escalate any other pertinent AML/CFT-related information. As part of  UAE risk management framework, senior management and Head Office oversee the design, implementation, and maintenance of a transaction monitoring and suspicious activity reporting program based on  UAE AML/CFT risks and in accordance with all applicable laws and regulations. Senior management oversee a vendor selection process (as applicable) if a third-party vendor is used to acquire, install, implement, or test a transaction monitoring program or any aspect of identifying and reporting suspicious activity, among other responsibilities. The Compliance Officer (or MLRO) periodically updates senior management and Head Office on the overall capability framework (that includes technology and process aspects of suspicious activity identification, investigation and reporting aspects).</w:t>
      </w:r>
    </w:p>
    <w:p w14:paraId="4C9A5493" w14:textId="067ECE6C" w:rsidR="0065131D" w:rsidRDefault="41028EAA" w:rsidP="3C0BAC93">
      <w:pPr>
        <w:spacing w:after="0"/>
        <w:ind w:left="720"/>
      </w:pPr>
      <w:r w:rsidRPr="3C0BAC93">
        <w:rPr>
          <w:rFonts w:ascii="Calibri" w:eastAsia="Calibri" w:hAnsi="Calibri" w:cs="Calibri"/>
          <w:sz w:val="22"/>
          <w:szCs w:val="22"/>
        </w:rPr>
        <w:t xml:space="preserve"> </w:t>
      </w:r>
    </w:p>
    <w:p w14:paraId="4EE44DA7" w14:textId="746F274D" w:rsidR="0065131D" w:rsidRDefault="41028EAA" w:rsidP="3C0BAC93">
      <w:pPr>
        <w:spacing w:after="0"/>
        <w:ind w:left="720" w:hanging="360"/>
      </w:pPr>
      <w:r w:rsidRPr="3C0BAC93">
        <w:rPr>
          <w:rFonts w:ascii="Calibri" w:eastAsia="Calibri" w:hAnsi="Calibri" w:cs="Calibri"/>
        </w:rPr>
        <w:t>•</w:t>
      </w:r>
      <w:r w:rsidR="005E0C3C">
        <w:tab/>
      </w:r>
      <w:r w:rsidRPr="3C0BAC93">
        <w:rPr>
          <w:rFonts w:ascii="Calibri" w:eastAsia="Calibri" w:hAnsi="Calibri" w:cs="Calibri"/>
          <w:b/>
          <w:bCs/>
        </w:rPr>
        <w:t>Policies and Procedures:</w:t>
      </w:r>
      <w:r w:rsidRPr="3C0BAC93">
        <w:rPr>
          <w:rFonts w:ascii="Calibri" w:eastAsia="Calibri" w:hAnsi="Calibri" w:cs="Calibri"/>
        </w:rPr>
        <w:t xml:space="preserve"> </w:t>
      </w:r>
    </w:p>
    <w:p w14:paraId="54757CAC" w14:textId="082927FF" w:rsidR="0065131D" w:rsidRDefault="41028EAA" w:rsidP="3C0BAC93">
      <w:pPr>
        <w:spacing w:after="0"/>
        <w:ind w:left="720"/>
      </w:pPr>
      <w:r w:rsidRPr="3C0BAC93">
        <w:rPr>
          <w:rFonts w:ascii="Calibri" w:eastAsia="Calibri" w:hAnsi="Calibri" w:cs="Calibri"/>
        </w:rPr>
        <w:t xml:space="preserve"> UAE have policies and procedures that govern changes to its transaction monitoring program which ensures that changes are defined, managed, controlled, reported, and audited.  UAE have governance protocols surrounding the design and implementation of new detection scenarios; periodic assessment and validation of existing detection scenarios; and retiring of detection scenarios. </w:t>
      </w:r>
    </w:p>
    <w:p w14:paraId="0D94EF14" w14:textId="68C382FF" w:rsidR="0065131D" w:rsidRDefault="41028EAA" w:rsidP="3C0BAC93">
      <w:pPr>
        <w:spacing w:after="0"/>
        <w:ind w:left="720"/>
      </w:pPr>
      <w:r w:rsidRPr="3C0BAC93">
        <w:rPr>
          <w:rFonts w:ascii="Calibri" w:eastAsia="Calibri" w:hAnsi="Calibri" w:cs="Calibri"/>
        </w:rPr>
        <w:t xml:space="preserve"> </w:t>
      </w:r>
    </w:p>
    <w:p w14:paraId="512313A2" w14:textId="283DC40D" w:rsidR="0065131D" w:rsidRDefault="41028EAA" w:rsidP="3C0BAC93">
      <w:pPr>
        <w:spacing w:after="0"/>
        <w:ind w:left="720"/>
      </w:pPr>
      <w:r w:rsidRPr="3C0BAC93">
        <w:rPr>
          <w:rFonts w:ascii="Calibri" w:eastAsia="Calibri" w:hAnsi="Calibri" w:cs="Calibri"/>
        </w:rPr>
        <w:t>In addition,  UAE developed a procedure for the investigation and processing of transaction monitoring alerts in order to file an STR, SAR, or other report type promptly and qualitatively. These policies and procedures cover the key processes for drafting and filing an STR, SAR, or other report type and other regulatory reports. More broadly, policies and procedures work to manage key AML/CFT risks and create processes for adherence across  UAE.</w:t>
      </w:r>
    </w:p>
    <w:p w14:paraId="6E693790" w14:textId="4CD46FAA" w:rsidR="0065131D" w:rsidRDefault="41028EAA" w:rsidP="3C0BAC93">
      <w:pPr>
        <w:spacing w:after="0"/>
        <w:ind w:left="720"/>
      </w:pPr>
      <w:r w:rsidRPr="3C0BAC93">
        <w:rPr>
          <w:rFonts w:ascii="Calibri" w:eastAsia="Calibri" w:hAnsi="Calibri" w:cs="Calibri"/>
        </w:rPr>
        <w:t xml:space="preserve"> </w:t>
      </w:r>
    </w:p>
    <w:p w14:paraId="0F6F6420" w14:textId="485C3B3F" w:rsidR="0065131D" w:rsidRDefault="41028EAA" w:rsidP="3C0BAC93">
      <w:pPr>
        <w:spacing w:after="0"/>
        <w:ind w:left="720" w:hanging="360"/>
      </w:pPr>
      <w:r w:rsidRPr="3C0BAC93">
        <w:rPr>
          <w:rFonts w:ascii="Calibri" w:eastAsia="Calibri" w:hAnsi="Calibri" w:cs="Calibri"/>
        </w:rPr>
        <w:t>•</w:t>
      </w:r>
      <w:r w:rsidR="005E0C3C">
        <w:tab/>
      </w:r>
      <w:r w:rsidRPr="3C0BAC93">
        <w:rPr>
          <w:rFonts w:ascii="Calibri" w:eastAsia="Calibri" w:hAnsi="Calibri" w:cs="Calibri"/>
        </w:rPr>
        <w:t xml:space="preserve">Clear Lines of Responsibility and Reporting: In relation to suspicious transactions,  UAE have clear roles, responsibilities, and reporting lines, including reporting and escalations to the senior management and Head Office. These roles, responsibilities, and reporting lines are clearly documented across all three lines of defense. </w:t>
      </w:r>
    </w:p>
    <w:p w14:paraId="5CCDE41F" w14:textId="2F801273" w:rsidR="0065131D" w:rsidRDefault="41028EAA" w:rsidP="3C0BAC93">
      <w:pPr>
        <w:spacing w:after="0"/>
        <w:ind w:left="720"/>
      </w:pPr>
      <w:r w:rsidRPr="3C0BAC93">
        <w:rPr>
          <w:rFonts w:ascii="Calibri" w:eastAsia="Calibri" w:hAnsi="Calibri" w:cs="Calibri"/>
        </w:rPr>
        <w:t xml:space="preserve"> </w:t>
      </w:r>
    </w:p>
    <w:p w14:paraId="6040DE9C" w14:textId="75AF8966" w:rsidR="0065131D" w:rsidRDefault="41028EAA" w:rsidP="3C0BAC93">
      <w:pPr>
        <w:spacing w:after="0"/>
        <w:ind w:left="720"/>
      </w:pPr>
      <w:r w:rsidRPr="3C0BAC93">
        <w:rPr>
          <w:rFonts w:ascii="Calibri" w:eastAsia="Calibri" w:hAnsi="Calibri" w:cs="Calibri"/>
        </w:rPr>
        <w:lastRenderedPageBreak/>
        <w:t>Clear lines of responsibility help with effectively identifying and reporting suspicious activity in a timely manner while ensuring that there is appropriate and effective oversight of employees who engage in activities which may pose greater AML/CFT risk.  UAE also have a mechanism to inform senior management and the Head Office of compliance initiatives, compliance deficiencies, STRs or SARs (or other reports) filed, and corrective actions taken.</w:t>
      </w:r>
    </w:p>
    <w:p w14:paraId="4B4738F4" w14:textId="15C26456" w:rsidR="0065131D" w:rsidRDefault="41028EAA" w:rsidP="3C0BAC93">
      <w:pPr>
        <w:spacing w:after="0"/>
        <w:ind w:left="720" w:hanging="360"/>
      </w:pPr>
      <w:r w:rsidRPr="3C0BAC93">
        <w:rPr>
          <w:rFonts w:ascii="Calibri" w:eastAsia="Calibri" w:hAnsi="Calibri" w:cs="Calibri"/>
        </w:rPr>
        <w:t>•</w:t>
      </w:r>
      <w:r w:rsidR="005E0C3C">
        <w:tab/>
      </w:r>
      <w:r w:rsidRPr="3C0BAC93">
        <w:rPr>
          <w:rFonts w:ascii="Calibri" w:eastAsia="Calibri" w:hAnsi="Calibri" w:cs="Calibri"/>
        </w:rPr>
        <w:t>Ongoing Training: Training is provided on an ongoing basis to  UAE employees and includes changes to the UAE’s legislative and regulatory frameworks; internal policies or procedures; and understanding of evolving risk issues with respect to  UAE transaction monitoring and suspicious activity reporting program. Training topics include, but are not limited to, thematic analysis of STRs or SARs; regulatory requirements and best practices related to STR or SAR reporting; noteworthy STRs or SARs (or other reports) filed during the prior quarter; and controls related to emerging financial crime risks. Trainings are also customized to include any other internal data that would be beneficial to both the first line and second line of defense.</w:t>
      </w:r>
    </w:p>
    <w:p w14:paraId="3831178E" w14:textId="758AAC3C" w:rsidR="0065131D" w:rsidRDefault="41028EAA" w:rsidP="3C0BAC93">
      <w:pPr>
        <w:spacing w:after="0"/>
        <w:ind w:left="720" w:hanging="360"/>
      </w:pPr>
      <w:r w:rsidRPr="3C0BAC93">
        <w:rPr>
          <w:rFonts w:ascii="Calibri" w:eastAsia="Calibri" w:hAnsi="Calibri" w:cs="Calibri"/>
        </w:rPr>
        <w:t xml:space="preserve"> </w:t>
      </w:r>
    </w:p>
    <w:p w14:paraId="487359CF" w14:textId="3D8E8BBE"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Considerations for  UAE as a Foreign Branch</w:t>
      </w:r>
    </w:p>
    <w:p w14:paraId="73BDF079" w14:textId="1784E391" w:rsidR="0065131D" w:rsidRDefault="41028EAA" w:rsidP="3C0BAC93">
      <w:pPr>
        <w:spacing w:after="0"/>
        <w:ind w:left="709"/>
      </w:pPr>
      <w:r w:rsidRPr="3C0BAC93">
        <w:rPr>
          <w:rFonts w:ascii="Calibri" w:eastAsia="Calibri" w:hAnsi="Calibri" w:cs="Calibri"/>
        </w:rPr>
        <w:t xml:space="preserve">For  UAE operating in an international context, FATF Recommendation 18 recommends that financial groups are required to implement group-wide AML/CFT programs applicable to foreign branches and majority- owned subsidiaries. Recent major enforcement actions taken by supervisors in key jurisdictions have highlighted the need to ensure that systems and controls are aligned across a financial group and that foreign branches and majority-owned subsidiaries align AML/CFT measures with a financial group’s home country requirements. As a result,  UAE have implemented global AML/CFT policies that outline a group risk appetite and are managed in each jurisdiction to align to local regulatory or legislative requirements. </w:t>
      </w:r>
    </w:p>
    <w:p w14:paraId="7E4ADF8D" w14:textId="7404DFF9" w:rsidR="0065131D" w:rsidRDefault="41028EAA" w:rsidP="3C0BAC93">
      <w:pPr>
        <w:spacing w:after="0"/>
        <w:ind w:left="709"/>
      </w:pPr>
      <w:r w:rsidRPr="3C0BAC93">
        <w:rPr>
          <w:rFonts w:ascii="Calibri" w:eastAsia="Calibri" w:hAnsi="Calibri" w:cs="Calibri"/>
        </w:rPr>
        <w:t xml:space="preserve"> </w:t>
      </w:r>
    </w:p>
    <w:p w14:paraId="29B92F15" w14:textId="7FF183C2" w:rsidR="0065131D" w:rsidRDefault="41028EAA" w:rsidP="3C0BAC93">
      <w:pPr>
        <w:spacing w:after="0"/>
        <w:ind w:left="709"/>
      </w:pPr>
      <w:r w:rsidRPr="3C0BAC93">
        <w:rPr>
          <w:rFonts w:ascii="Calibri" w:eastAsia="Calibri" w:hAnsi="Calibri" w:cs="Calibri"/>
        </w:rPr>
        <w:t>To support alignment of controls,  UAE operating across jurisdictions seek to leverage the same control solutions for key processes, such as customer screening or transaction monitoring, though there may be different rules for different jurisdictions. For example, if the  UAE operates in an economy which is known to be more cash-based than another, the cash trigger rules in transaction monitoring may vary appropriately. Centralized controls with operational centers of excellence also provide a means of ensuring alignment across the group around systems and controls.</w:t>
      </w:r>
    </w:p>
    <w:p w14:paraId="732B1F6F" w14:textId="77C4605B" w:rsidR="0065131D" w:rsidRDefault="41028EAA" w:rsidP="3C0BAC93">
      <w:pPr>
        <w:spacing w:after="0"/>
      </w:pPr>
      <w:r w:rsidRPr="3C0BAC93">
        <w:rPr>
          <w:rFonts w:ascii="Calibri" w:eastAsia="Calibri" w:hAnsi="Calibri" w:cs="Calibri"/>
        </w:rPr>
        <w:t xml:space="preserve"> </w:t>
      </w:r>
    </w:p>
    <w:p w14:paraId="7AF7D60E" w14:textId="6B0FA7E8"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Transaction Monitoring Methods</w:t>
      </w:r>
    </w:p>
    <w:p w14:paraId="6A72456E" w14:textId="02AD85CA" w:rsidR="0065131D" w:rsidRDefault="41028EAA" w:rsidP="3C0BAC93">
      <w:pPr>
        <w:spacing w:after="0"/>
        <w:ind w:left="709"/>
      </w:pPr>
      <w:r w:rsidRPr="3C0BAC93">
        <w:rPr>
          <w:rFonts w:ascii="Calibri" w:eastAsia="Calibri" w:hAnsi="Calibri" w:cs="Calibri"/>
        </w:rPr>
        <w:t xml:space="preserve">The five key components to an effective transaction monitoring and reporting system are: </w:t>
      </w:r>
    </w:p>
    <w:p w14:paraId="4A3ED480" w14:textId="0349B1A2" w:rsidR="0065131D" w:rsidRDefault="41028EAA" w:rsidP="3C0BAC93">
      <w:pPr>
        <w:pStyle w:val="ListParagraph"/>
        <w:numPr>
          <w:ilvl w:val="0"/>
          <w:numId w:val="18"/>
        </w:numPr>
        <w:spacing w:after="0"/>
        <w:ind w:left="1429" w:hanging="720"/>
        <w:rPr>
          <w:rFonts w:ascii="Calibri" w:eastAsia="Calibri" w:hAnsi="Calibri" w:cs="Calibri"/>
          <w:sz w:val="22"/>
          <w:szCs w:val="22"/>
        </w:rPr>
      </w:pPr>
      <w:r w:rsidRPr="3C0BAC93">
        <w:rPr>
          <w:rFonts w:ascii="Calibri" w:eastAsia="Calibri" w:hAnsi="Calibri" w:cs="Calibri"/>
          <w:sz w:val="22"/>
          <w:szCs w:val="22"/>
        </w:rPr>
        <w:lastRenderedPageBreak/>
        <w:t xml:space="preserve">identification of unusual or suspicious activity; </w:t>
      </w:r>
    </w:p>
    <w:p w14:paraId="08693024" w14:textId="6D65A7A0" w:rsidR="0065131D" w:rsidRDefault="41028EAA" w:rsidP="3C0BAC93">
      <w:pPr>
        <w:pStyle w:val="ListParagraph"/>
        <w:numPr>
          <w:ilvl w:val="0"/>
          <w:numId w:val="18"/>
        </w:numPr>
        <w:spacing w:after="0"/>
        <w:ind w:left="1429" w:hanging="720"/>
        <w:rPr>
          <w:rFonts w:ascii="Calibri" w:eastAsia="Calibri" w:hAnsi="Calibri" w:cs="Calibri"/>
          <w:sz w:val="22"/>
          <w:szCs w:val="22"/>
        </w:rPr>
      </w:pPr>
      <w:r w:rsidRPr="3C0BAC93">
        <w:rPr>
          <w:rFonts w:ascii="Calibri" w:eastAsia="Calibri" w:hAnsi="Calibri" w:cs="Calibri"/>
          <w:sz w:val="22"/>
          <w:szCs w:val="22"/>
        </w:rPr>
        <w:t xml:space="preserve">managing alerts with an alert risk scoring model; </w:t>
      </w:r>
    </w:p>
    <w:p w14:paraId="37C22722" w14:textId="6168E4B1" w:rsidR="0065131D" w:rsidRDefault="41028EAA" w:rsidP="3C0BAC93">
      <w:pPr>
        <w:pStyle w:val="ListParagraph"/>
        <w:numPr>
          <w:ilvl w:val="0"/>
          <w:numId w:val="18"/>
        </w:numPr>
        <w:spacing w:after="0"/>
        <w:ind w:left="1429" w:hanging="720"/>
        <w:rPr>
          <w:rFonts w:ascii="Calibri" w:eastAsia="Calibri" w:hAnsi="Calibri" w:cs="Calibri"/>
          <w:sz w:val="22"/>
          <w:szCs w:val="22"/>
        </w:rPr>
      </w:pPr>
      <w:r w:rsidRPr="3C0BAC93">
        <w:rPr>
          <w:rFonts w:ascii="Calibri" w:eastAsia="Calibri" w:hAnsi="Calibri" w:cs="Calibri"/>
          <w:sz w:val="22"/>
          <w:szCs w:val="22"/>
        </w:rPr>
        <w:t xml:space="preserve">STR or SAR decision making; </w:t>
      </w:r>
    </w:p>
    <w:p w14:paraId="02593E34" w14:textId="252DA4B6" w:rsidR="0065131D" w:rsidRDefault="41028EAA" w:rsidP="3C0BAC93">
      <w:pPr>
        <w:pStyle w:val="ListParagraph"/>
        <w:numPr>
          <w:ilvl w:val="0"/>
          <w:numId w:val="18"/>
        </w:numPr>
        <w:spacing w:after="0"/>
        <w:ind w:left="1429" w:hanging="720"/>
        <w:rPr>
          <w:rFonts w:ascii="Calibri" w:eastAsia="Calibri" w:hAnsi="Calibri" w:cs="Calibri"/>
          <w:sz w:val="22"/>
          <w:szCs w:val="22"/>
        </w:rPr>
      </w:pPr>
      <w:r w:rsidRPr="3C0BAC93">
        <w:rPr>
          <w:rFonts w:ascii="Calibri" w:eastAsia="Calibri" w:hAnsi="Calibri" w:cs="Calibri"/>
          <w:sz w:val="22"/>
          <w:szCs w:val="22"/>
        </w:rPr>
        <w:t xml:space="preserve">STR or SAR completion and filing; and </w:t>
      </w:r>
    </w:p>
    <w:p w14:paraId="28E0A079" w14:textId="581E8A2C" w:rsidR="0065131D" w:rsidRDefault="41028EAA" w:rsidP="3C0BAC93">
      <w:pPr>
        <w:pStyle w:val="ListParagraph"/>
        <w:numPr>
          <w:ilvl w:val="0"/>
          <w:numId w:val="18"/>
        </w:numPr>
        <w:spacing w:after="0"/>
        <w:ind w:left="1429" w:hanging="720"/>
        <w:rPr>
          <w:rFonts w:ascii="Calibri" w:eastAsia="Calibri" w:hAnsi="Calibri" w:cs="Calibri"/>
          <w:sz w:val="22"/>
          <w:szCs w:val="22"/>
        </w:rPr>
      </w:pPr>
      <w:r w:rsidRPr="3C0BAC93">
        <w:rPr>
          <w:rFonts w:ascii="Calibri" w:eastAsia="Calibri" w:hAnsi="Calibri" w:cs="Calibri"/>
          <w:sz w:val="22"/>
          <w:szCs w:val="22"/>
        </w:rPr>
        <w:t xml:space="preserve">monitoring and STR or SAR filing on continuing activity. </w:t>
      </w:r>
    </w:p>
    <w:p w14:paraId="54150759" w14:textId="3637DD8E" w:rsidR="0065131D" w:rsidRDefault="41028EAA" w:rsidP="3C0BAC93">
      <w:pPr>
        <w:spacing w:after="0"/>
        <w:ind w:left="709"/>
      </w:pPr>
      <w:r w:rsidRPr="3C0BAC93">
        <w:rPr>
          <w:rFonts w:ascii="Calibri" w:eastAsia="Calibri" w:hAnsi="Calibri" w:cs="Calibri"/>
        </w:rPr>
        <w:t xml:space="preserve"> </w:t>
      </w:r>
    </w:p>
    <w:p w14:paraId="457A6B26" w14:textId="422E35BA" w:rsidR="0065131D" w:rsidRDefault="41028EAA" w:rsidP="3C0BAC93">
      <w:pPr>
        <w:spacing w:after="0"/>
        <w:ind w:left="709"/>
      </w:pPr>
      <w:r w:rsidRPr="3C0BAC93">
        <w:rPr>
          <w:rFonts w:ascii="Calibri" w:eastAsia="Calibri" w:hAnsi="Calibri" w:cs="Calibri"/>
        </w:rPr>
        <w:t xml:space="preserve">To effectively identify unusual or potentially suspicious activity,  UAE maintain a transaction monitoring program/system based on an underlying AMLCFT/PF risk-based assessment. The transaction monitoring program considers the AMLCFT/PF risks of the  UAE customers, prospective customers, counterparties, businesses, products, services, delivery channels, and geographic markets in addition to helping prioritize high-risk alerts. </w:t>
      </w:r>
    </w:p>
    <w:p w14:paraId="5AE67BA6" w14:textId="6AB07152" w:rsidR="0065131D" w:rsidRDefault="41028EAA" w:rsidP="3C0BAC93">
      <w:pPr>
        <w:spacing w:after="0"/>
        <w:ind w:left="709"/>
      </w:pPr>
      <w:r w:rsidRPr="3C0BAC93">
        <w:rPr>
          <w:rFonts w:ascii="Calibri" w:eastAsia="Calibri" w:hAnsi="Calibri" w:cs="Calibri"/>
        </w:rPr>
        <w:t xml:space="preserve"> </w:t>
      </w:r>
    </w:p>
    <w:p w14:paraId="69A1EC15" w14:textId="4A192A62" w:rsidR="0065131D" w:rsidRDefault="41028EAA" w:rsidP="3C0BAC93">
      <w:pPr>
        <w:spacing w:after="0"/>
        <w:ind w:left="709"/>
      </w:pPr>
      <w:r w:rsidRPr="3C0BAC93">
        <w:rPr>
          <w:rFonts w:ascii="Calibri" w:eastAsia="Calibri" w:hAnsi="Calibri" w:cs="Calibri"/>
        </w:rPr>
        <w:t xml:space="preserve">However, the sophistication of monitoring systems can differ based on an  UAE AMLCFT/PF risks. Monitoring systems typically includes employee identification or referrals, transaction-based (manual) systems, surveillance (automated) systems, or a combination of these. Overall,  UAE adopts monitoring processes and procedures to monitor customer activity that are commensurate with the size and nature of the line of business and the money laundering and the financing of terrorism and illegal organizations’ risks posed by their relevant customer base. </w:t>
      </w:r>
    </w:p>
    <w:p w14:paraId="175ACA32" w14:textId="59C62F87" w:rsidR="0065131D" w:rsidRDefault="41028EAA" w:rsidP="3C0BAC93">
      <w:pPr>
        <w:spacing w:after="0"/>
        <w:ind w:left="709"/>
      </w:pPr>
      <w:r w:rsidRPr="3C0BAC93">
        <w:rPr>
          <w:rFonts w:ascii="Calibri" w:eastAsia="Calibri" w:hAnsi="Calibri" w:cs="Calibri"/>
        </w:rPr>
        <w:t xml:space="preserve"> </w:t>
      </w:r>
    </w:p>
    <w:p w14:paraId="2D082D20" w14:textId="1CE336CF" w:rsidR="0065131D" w:rsidRDefault="41028EAA" w:rsidP="3C0BAC93">
      <w:pPr>
        <w:spacing w:after="0"/>
        <w:ind w:left="709"/>
      </w:pPr>
      <w:r w:rsidRPr="3C0BAC93">
        <w:rPr>
          <w:rFonts w:ascii="Calibri" w:eastAsia="Calibri" w:hAnsi="Calibri" w:cs="Calibri"/>
        </w:rPr>
        <w:t xml:space="preserve">The monitoring system and/or manual processes reasonably demonstrate that transactions that carry the highest risk of money laundering and financing of terrorism and illegal organizations are subject to </w:t>
      </w:r>
    </w:p>
    <w:p w14:paraId="233A3A29" w14:textId="5FCB7BEB" w:rsidR="0065131D" w:rsidRDefault="41028EAA" w:rsidP="3C0BAC93">
      <w:pPr>
        <w:spacing w:after="0"/>
        <w:ind w:left="709"/>
      </w:pPr>
      <w:r w:rsidRPr="3C0BAC93">
        <w:rPr>
          <w:rFonts w:ascii="Calibri" w:eastAsia="Calibri" w:hAnsi="Calibri" w:cs="Calibri"/>
        </w:rPr>
        <w:t xml:space="preserve"> </w:t>
      </w:r>
    </w:p>
    <w:p w14:paraId="004A6C67" w14:textId="6B6C1F70" w:rsidR="0065131D" w:rsidRDefault="41028EAA" w:rsidP="3C0BAC93">
      <w:pPr>
        <w:spacing w:after="0"/>
        <w:ind w:left="709"/>
      </w:pPr>
      <w:r w:rsidRPr="3C0BAC93">
        <w:rPr>
          <w:rFonts w:ascii="Calibri" w:eastAsia="Calibri" w:hAnsi="Calibri" w:cs="Calibri"/>
        </w:rPr>
        <w:t>enhanced scrutiny.</w:t>
      </w:r>
    </w:p>
    <w:p w14:paraId="0326445A" w14:textId="3EA579AB" w:rsidR="0065131D" w:rsidRDefault="41028EAA" w:rsidP="3C0BAC93">
      <w:pPr>
        <w:spacing w:after="0"/>
        <w:ind w:left="709"/>
      </w:pPr>
      <w:r w:rsidRPr="3C0BAC93">
        <w:rPr>
          <w:rFonts w:ascii="Calibri" w:eastAsia="Calibri" w:hAnsi="Calibri" w:cs="Calibri"/>
        </w:rPr>
        <w:t xml:space="preserve"> </w:t>
      </w:r>
    </w:p>
    <w:p w14:paraId="3CD9151D" w14:textId="75646283" w:rsidR="0065131D" w:rsidRDefault="41028EAA" w:rsidP="3C0BAC93">
      <w:pPr>
        <w:spacing w:after="0"/>
        <w:ind w:left="709"/>
      </w:pPr>
      <w:r w:rsidRPr="3C0BAC93">
        <w:rPr>
          <w:rFonts w:ascii="Calibri" w:eastAsia="Calibri" w:hAnsi="Calibri" w:cs="Calibri"/>
        </w:rPr>
        <w:t>As part of a risk-based approach to AML/CFT, in the case of customers or Business Relationships identified as high-risk,  UAE investigates and obtain more information about the purpose of transactions, and to enhance ongoing monitoring and review of transactions in order to identify potentially unusual or suspicious activities. In the case of customers or Business Relationships that are identified as low-risk,  UAE consider monitoring and reviewing transactions at a reduced frequency.</w:t>
      </w:r>
    </w:p>
    <w:p w14:paraId="09E3EC48" w14:textId="37C95FBE" w:rsidR="0065131D" w:rsidRDefault="41028EAA" w:rsidP="3C0BAC93">
      <w:pPr>
        <w:spacing w:after="0"/>
        <w:ind w:left="709"/>
      </w:pPr>
      <w:r w:rsidRPr="3C0BAC93">
        <w:rPr>
          <w:rFonts w:ascii="Calibri" w:eastAsia="Calibri" w:hAnsi="Calibri" w:cs="Calibri"/>
        </w:rPr>
        <w:t>Examples of some of the methods that are employed for the ongoing monitoring of transactions include, but are not limited to:</w:t>
      </w:r>
    </w:p>
    <w:p w14:paraId="19092D58" w14:textId="3322B6D0" w:rsidR="0065131D" w:rsidRDefault="41028EAA" w:rsidP="3C0BAC93">
      <w:pPr>
        <w:spacing w:after="0"/>
        <w:ind w:left="709"/>
      </w:pPr>
      <w:r w:rsidRPr="3C0BAC93">
        <w:rPr>
          <w:rFonts w:ascii="Calibri" w:eastAsia="Calibri" w:hAnsi="Calibri" w:cs="Calibri"/>
        </w:rPr>
        <w:t xml:space="preserve"> </w:t>
      </w:r>
    </w:p>
    <w:p w14:paraId="78B63FDC" w14:textId="091BBBCD" w:rsidR="0065131D" w:rsidRDefault="41028EAA" w:rsidP="3C0BAC93">
      <w:pPr>
        <w:pStyle w:val="ListParagraph"/>
        <w:numPr>
          <w:ilvl w:val="0"/>
          <w:numId w:val="22"/>
        </w:numPr>
        <w:spacing w:after="0"/>
        <w:rPr>
          <w:rFonts w:ascii="Calibri" w:eastAsia="Calibri" w:hAnsi="Calibri" w:cs="Calibri"/>
          <w:sz w:val="22"/>
          <w:szCs w:val="22"/>
        </w:rPr>
      </w:pPr>
      <w:r w:rsidRPr="3C0BAC93">
        <w:rPr>
          <w:rFonts w:ascii="Calibri" w:eastAsia="Calibri" w:hAnsi="Calibri" w:cs="Calibri"/>
          <w:sz w:val="22"/>
          <w:szCs w:val="22"/>
        </w:rPr>
        <w:t>Threshold-based rules, in which transactions above certain pre-determined values, numerical volumes, or aggregate amounts are examined;</w:t>
      </w:r>
    </w:p>
    <w:p w14:paraId="784C4425" w14:textId="0BFC0249" w:rsidR="0065131D" w:rsidRDefault="41028EAA" w:rsidP="3C0BAC93">
      <w:pPr>
        <w:pStyle w:val="ListParagraph"/>
        <w:numPr>
          <w:ilvl w:val="0"/>
          <w:numId w:val="22"/>
        </w:numPr>
        <w:spacing w:after="0"/>
        <w:rPr>
          <w:rFonts w:ascii="Calibri" w:eastAsia="Calibri" w:hAnsi="Calibri" w:cs="Calibri"/>
          <w:sz w:val="22"/>
          <w:szCs w:val="22"/>
        </w:rPr>
      </w:pPr>
      <w:r w:rsidRPr="3C0BAC93">
        <w:rPr>
          <w:rFonts w:ascii="Calibri" w:eastAsia="Calibri" w:hAnsi="Calibri" w:cs="Calibri"/>
          <w:sz w:val="22"/>
          <w:szCs w:val="22"/>
        </w:rPr>
        <w:lastRenderedPageBreak/>
        <w:t>Transaction-based rules, in which the transactions of a certain type are examined;</w:t>
      </w:r>
    </w:p>
    <w:p w14:paraId="501F3DCB" w14:textId="26645D3A" w:rsidR="0065131D" w:rsidRDefault="41028EAA" w:rsidP="3C0BAC93">
      <w:pPr>
        <w:pStyle w:val="ListParagraph"/>
        <w:numPr>
          <w:ilvl w:val="0"/>
          <w:numId w:val="22"/>
        </w:numPr>
        <w:spacing w:after="0"/>
        <w:rPr>
          <w:rFonts w:ascii="Calibri" w:eastAsia="Calibri" w:hAnsi="Calibri" w:cs="Calibri"/>
          <w:sz w:val="22"/>
          <w:szCs w:val="22"/>
        </w:rPr>
      </w:pPr>
      <w:r w:rsidRPr="3C0BAC93">
        <w:rPr>
          <w:rFonts w:ascii="Calibri" w:eastAsia="Calibri" w:hAnsi="Calibri" w:cs="Calibri"/>
          <w:sz w:val="22"/>
          <w:szCs w:val="22"/>
        </w:rPr>
        <w:t>Location-based rules, in which the transactions involving a specific location (either as origin or destination) are examined; and</w:t>
      </w:r>
    </w:p>
    <w:p w14:paraId="7BB40333" w14:textId="2766DE3E" w:rsidR="0065131D" w:rsidRDefault="41028EAA" w:rsidP="3C0BAC93">
      <w:pPr>
        <w:pStyle w:val="ListParagraph"/>
        <w:numPr>
          <w:ilvl w:val="0"/>
          <w:numId w:val="22"/>
        </w:numPr>
        <w:spacing w:after="0"/>
        <w:rPr>
          <w:rFonts w:ascii="Calibri" w:eastAsia="Calibri" w:hAnsi="Calibri" w:cs="Calibri"/>
          <w:sz w:val="22"/>
          <w:szCs w:val="22"/>
        </w:rPr>
      </w:pPr>
      <w:r w:rsidRPr="3C0BAC93">
        <w:rPr>
          <w:rFonts w:ascii="Calibri" w:eastAsia="Calibri" w:hAnsi="Calibri" w:cs="Calibri"/>
          <w:sz w:val="22"/>
          <w:szCs w:val="22"/>
        </w:rPr>
        <w:t>Customer-based rules, in which the transactions of particular customers are examined</w:t>
      </w:r>
    </w:p>
    <w:p w14:paraId="427CCCA4" w14:textId="0B680B01" w:rsidR="0065131D" w:rsidRDefault="41028EAA" w:rsidP="3C0BAC93">
      <w:pPr>
        <w:spacing w:after="0"/>
        <w:ind w:left="720"/>
      </w:pPr>
      <w:r w:rsidRPr="3C0BAC93">
        <w:rPr>
          <w:rFonts w:ascii="Calibri" w:eastAsia="Calibri" w:hAnsi="Calibri" w:cs="Calibri"/>
          <w:sz w:val="22"/>
          <w:szCs w:val="22"/>
        </w:rPr>
        <w:t xml:space="preserve"> </w:t>
      </w:r>
    </w:p>
    <w:p w14:paraId="55E3631A" w14:textId="2AB1F5D9"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 xml:space="preserve"> Manual Monitoring </w:t>
      </w:r>
    </w:p>
    <w:p w14:paraId="4CBFBDA4" w14:textId="5E463B86" w:rsidR="0065131D" w:rsidRDefault="41028EAA" w:rsidP="3C0BAC93">
      <w:pPr>
        <w:spacing w:after="0"/>
        <w:ind w:left="709"/>
      </w:pPr>
      <w:r w:rsidRPr="3C0BAC93">
        <w:rPr>
          <w:rFonts w:ascii="Calibri" w:eastAsia="Calibri" w:hAnsi="Calibri" w:cs="Calibri"/>
        </w:rPr>
        <w:t xml:space="preserve"> UAE seek to utilize a manual transaction monitoring system, which typically targets specific categories of transactions (e.g., those involving large amounts of cash, those to or from certain geographies) and includes a manual review of various reports generated by the  UAE systems in order to identify unusual activity. </w:t>
      </w:r>
    </w:p>
    <w:p w14:paraId="10B801FE" w14:textId="685943CB" w:rsidR="0065131D" w:rsidRDefault="41028EAA" w:rsidP="3C0BAC93">
      <w:pPr>
        <w:spacing w:after="0"/>
        <w:ind w:left="709"/>
      </w:pPr>
      <w:r w:rsidRPr="3C0BAC93">
        <w:rPr>
          <w:rFonts w:ascii="Calibri" w:eastAsia="Calibri" w:hAnsi="Calibri" w:cs="Calibri"/>
        </w:rPr>
        <w:t xml:space="preserve"> </w:t>
      </w:r>
    </w:p>
    <w:p w14:paraId="15D9D711" w14:textId="78D64A1E" w:rsidR="0065131D" w:rsidRDefault="41028EAA" w:rsidP="3C0BAC93">
      <w:pPr>
        <w:spacing w:after="0"/>
        <w:ind w:left="709"/>
      </w:pPr>
      <w:r w:rsidRPr="3C0BAC93">
        <w:rPr>
          <w:rFonts w:ascii="Calibri" w:eastAsia="Calibri" w:hAnsi="Calibri" w:cs="Calibri"/>
        </w:rPr>
        <w:t xml:space="preserve">The type and frequency of reviews and resulting reports used are commensurate with the ’s AML/CFT risk profile—including the nature, size, and complexity of its operations—and properly cover customers, counterparties, businesses, products, services, delivery channels, and geographic markets. </w:t>
      </w:r>
    </w:p>
    <w:p w14:paraId="77831576" w14:textId="27AB570C" w:rsidR="0065131D" w:rsidRDefault="41028EAA" w:rsidP="3C0BAC93">
      <w:pPr>
        <w:spacing w:after="0"/>
        <w:ind w:left="709"/>
      </w:pPr>
      <w:r w:rsidRPr="3C0BAC93">
        <w:rPr>
          <w:rFonts w:ascii="Calibri" w:eastAsia="Calibri" w:hAnsi="Calibri" w:cs="Calibri"/>
        </w:rPr>
        <w:t xml:space="preserve"> </w:t>
      </w:r>
    </w:p>
    <w:p w14:paraId="3BBF6C3E" w14:textId="606ADD69" w:rsidR="0065131D" w:rsidRDefault="41028EAA" w:rsidP="3C0BAC93">
      <w:pPr>
        <w:spacing w:after="0"/>
        <w:ind w:left="709"/>
      </w:pPr>
      <w:r w:rsidRPr="3C0BAC93">
        <w:rPr>
          <w:rFonts w:ascii="Calibri" w:eastAsia="Calibri" w:hAnsi="Calibri" w:cs="Calibri"/>
        </w:rPr>
        <w:t>System-generated reports typically use a certain currency threshold to detect unusual activity.  UAE responsible senior employee periodically evaluate the appropriateness of filtering criteria and thresholds used in the monitoring process and periodically appraise Senior Management and where required, notify Head Office, on the appropriateness of design of manual monitoring reports.  UAE is aware to the fact that complex and evolving financial crime risks can undermine the effectiveness of manual monitoring systems, and therefore, manual monitoring systems is also independently reviewed for reasonable filtering criteria.</w:t>
      </w:r>
    </w:p>
    <w:p w14:paraId="534A67A2" w14:textId="52EE9B08" w:rsidR="0065131D" w:rsidRDefault="41028EAA" w:rsidP="3C0BAC93">
      <w:pPr>
        <w:spacing w:after="0"/>
      </w:pPr>
      <w:r w:rsidRPr="3C0BAC93">
        <w:rPr>
          <w:rFonts w:ascii="Calibri" w:eastAsia="Calibri" w:hAnsi="Calibri" w:cs="Calibri"/>
        </w:rPr>
        <w:t xml:space="preserve"> </w:t>
      </w:r>
    </w:p>
    <w:p w14:paraId="4D0199D0" w14:textId="182878CF"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Automated Transaction Monitoring</w:t>
      </w:r>
    </w:p>
    <w:p w14:paraId="796D903E" w14:textId="5D0415F8" w:rsidR="0065131D" w:rsidRDefault="41028EAA" w:rsidP="3C0BAC93">
      <w:pPr>
        <w:spacing w:after="0"/>
        <w:ind w:left="709"/>
      </w:pPr>
      <w:r w:rsidRPr="3C0BAC93">
        <w:rPr>
          <w:rFonts w:ascii="Calibri" w:eastAsia="Calibri" w:hAnsi="Calibri" w:cs="Calibri"/>
        </w:rPr>
        <w:t>Automated transaction monitoring systems can cover multiple types of transactions and use different rules to identify potentially suspicious activity. In addition, many systems can adapt over time based on historical activity, trends, or internal peer comparison. After parameters and filters have been developed, they are reviewed before implementation to identify any gaps in coverage to address potential financial crime schemes that may not have been addressed.</w:t>
      </w:r>
    </w:p>
    <w:p w14:paraId="4D40DC7F" w14:textId="0CC6D872" w:rsidR="0065131D" w:rsidRDefault="41028EAA" w:rsidP="3C0BAC93">
      <w:pPr>
        <w:spacing w:after="0"/>
      </w:pPr>
      <w:r w:rsidRPr="3C0BAC93">
        <w:rPr>
          <w:rFonts w:ascii="Calibri" w:eastAsia="Calibri" w:hAnsi="Calibri" w:cs="Calibri"/>
        </w:rPr>
        <w:t xml:space="preserve"> </w:t>
      </w:r>
    </w:p>
    <w:p w14:paraId="7E7C8E44" w14:textId="2879F02C" w:rsidR="0065131D" w:rsidRDefault="41028EAA" w:rsidP="3C0BAC93">
      <w:pPr>
        <w:spacing w:after="0"/>
        <w:ind w:left="709"/>
      </w:pPr>
      <w:r w:rsidRPr="3C0BAC93">
        <w:rPr>
          <w:rFonts w:ascii="Calibri" w:eastAsia="Calibri" w:hAnsi="Calibri" w:cs="Calibri"/>
        </w:rPr>
        <w:t xml:space="preserve"> UAE also seek to have appropriate case management systems so that such funds or transactions are scrutinized in a timely manner and a determination is made as to whether the funds or transaction are suspicious</w:t>
      </w:r>
    </w:p>
    <w:p w14:paraId="13B82A04" w14:textId="4A5CD4D6" w:rsidR="0065131D" w:rsidRDefault="41028EAA" w:rsidP="3C0BAC93">
      <w:pPr>
        <w:spacing w:after="0"/>
      </w:pPr>
      <w:r w:rsidRPr="3C0BAC93">
        <w:rPr>
          <w:rFonts w:ascii="Calibri" w:eastAsia="Calibri" w:hAnsi="Calibri" w:cs="Calibri"/>
        </w:rPr>
        <w:t xml:space="preserve"> </w:t>
      </w:r>
    </w:p>
    <w:p w14:paraId="03FD2D2A" w14:textId="38BE5100" w:rsidR="0065131D" w:rsidRDefault="41028EAA" w:rsidP="3C0BAC93">
      <w:pPr>
        <w:spacing w:after="0"/>
        <w:ind w:left="709"/>
      </w:pPr>
      <w:r w:rsidRPr="3C0BAC93">
        <w:rPr>
          <w:rFonts w:ascii="Calibri" w:eastAsia="Calibri" w:hAnsi="Calibri" w:cs="Calibri"/>
        </w:rPr>
        <w:lastRenderedPageBreak/>
        <w:t xml:space="preserve"> review and test system capabilities and thresholds on a periodic basis, commensurate to its risk profile. This is focused on specific parameters or filters in order to ensure that intended information is accurately captured, and that the parameter or filter is appropriate for the  UAE particular risk profile, including the applicability of the detection scenarios, underlying rules, threshold values, and assumptions used.</w:t>
      </w:r>
    </w:p>
    <w:p w14:paraId="7A3CC0A7" w14:textId="01596CF8" w:rsidR="0065131D" w:rsidRDefault="41028EAA" w:rsidP="3C0BAC93">
      <w:pPr>
        <w:spacing w:after="0"/>
        <w:ind w:left="709"/>
      </w:pPr>
      <w:r w:rsidRPr="3C0BAC93">
        <w:rPr>
          <w:rFonts w:ascii="Calibri" w:eastAsia="Calibri" w:hAnsi="Calibri" w:cs="Calibri"/>
        </w:rPr>
        <w:t xml:space="preserve"> </w:t>
      </w:r>
    </w:p>
    <w:p w14:paraId="4FAD2766" w14:textId="13508DD9" w:rsidR="0065131D" w:rsidRDefault="41028EAA" w:rsidP="3C0BAC93">
      <w:pPr>
        <w:spacing w:after="0"/>
        <w:ind w:left="709"/>
      </w:pPr>
      <w:r w:rsidRPr="3C0BAC93">
        <w:rPr>
          <w:rFonts w:ascii="Calibri" w:eastAsia="Calibri" w:hAnsi="Calibri" w:cs="Calibri"/>
        </w:rPr>
        <w:t xml:space="preserve"> UAE also aim to review its transaction monitoring program as part of AML/CFT program at least annually to account for changes in the  UAE internal procedures; local laws and regulations; and best practices.</w:t>
      </w:r>
    </w:p>
    <w:p w14:paraId="0EE59291" w14:textId="65E0CB88" w:rsidR="0065131D" w:rsidRDefault="41028EAA" w:rsidP="3C0BAC93">
      <w:pPr>
        <w:spacing w:after="0"/>
      </w:pPr>
      <w:r w:rsidRPr="3C0BAC93">
        <w:rPr>
          <w:rFonts w:ascii="Calibri" w:eastAsia="Calibri" w:hAnsi="Calibri" w:cs="Calibri"/>
        </w:rPr>
        <w:t xml:space="preserve"> </w:t>
      </w:r>
    </w:p>
    <w:p w14:paraId="46B20ED9" w14:textId="300EABEC" w:rsidR="0065131D" w:rsidRDefault="41028EAA" w:rsidP="3C0BAC93">
      <w:pPr>
        <w:spacing w:after="0"/>
        <w:ind w:left="709"/>
      </w:pPr>
      <w:r w:rsidRPr="3C0BAC93">
        <w:rPr>
          <w:rFonts w:ascii="Calibri" w:eastAsia="Calibri" w:hAnsi="Calibri" w:cs="Calibri"/>
        </w:rPr>
        <w:t xml:space="preserve">Relatedly, the authorization to establish or alter expected activity profiles is clearly defined through policies and procedures.  UAE internal controls ensures limited access to the monitoring systems, and changes requires the approval of the Compliance Officer, MLRO, or senior management. </w:t>
      </w:r>
    </w:p>
    <w:p w14:paraId="0B145268" w14:textId="6E2BA8E8" w:rsidR="0065131D" w:rsidRDefault="41028EAA" w:rsidP="3C0BAC93">
      <w:pPr>
        <w:spacing w:after="0"/>
        <w:ind w:left="709"/>
      </w:pPr>
      <w:r w:rsidRPr="3C0BAC93">
        <w:rPr>
          <w:rFonts w:ascii="Calibri" w:eastAsia="Calibri" w:hAnsi="Calibri" w:cs="Calibri"/>
        </w:rPr>
        <w:t xml:space="preserve"> </w:t>
      </w:r>
    </w:p>
    <w:p w14:paraId="7248FD47" w14:textId="6D14A740" w:rsidR="0065131D" w:rsidRDefault="41028EAA" w:rsidP="3C0BAC93">
      <w:pPr>
        <w:spacing w:after="0"/>
        <w:ind w:left="709"/>
      </w:pPr>
      <w:r w:rsidRPr="3C0BAC93">
        <w:rPr>
          <w:rFonts w:ascii="Calibri" w:eastAsia="Calibri" w:hAnsi="Calibri" w:cs="Calibri"/>
        </w:rPr>
        <w:t xml:space="preserve"> UAE has implemented a robust end-to-end, pre- and post-implementation testing procedure of its transaction monitoring program with documentation detailing current detection scenarios and the underlying assumptions, parameters, and thresholds applied.</w:t>
      </w:r>
    </w:p>
    <w:p w14:paraId="23443A11" w14:textId="6DA3F4F9" w:rsidR="0065131D" w:rsidRDefault="41028EAA" w:rsidP="3C0BAC93">
      <w:pPr>
        <w:spacing w:after="0"/>
      </w:pPr>
      <w:r w:rsidRPr="3C0BAC93">
        <w:rPr>
          <w:rFonts w:ascii="Calibri" w:eastAsia="Calibri" w:hAnsi="Calibri" w:cs="Calibri"/>
        </w:rPr>
        <w:t xml:space="preserve"> </w:t>
      </w:r>
    </w:p>
    <w:p w14:paraId="3A2151C3" w14:textId="525592CD" w:rsidR="0065131D" w:rsidRDefault="41028EAA" w:rsidP="3C0BAC93">
      <w:pPr>
        <w:spacing w:after="0"/>
        <w:ind w:left="709"/>
      </w:pPr>
      <w:r w:rsidRPr="3C0BAC93">
        <w:rPr>
          <w:rFonts w:ascii="Calibri" w:eastAsia="Calibri" w:hAnsi="Calibri" w:cs="Calibri"/>
        </w:rPr>
        <w:t xml:space="preserve">Employees appointed by the  UAE are also responsible for the design, planning, implementation, operation, testing, validation, and on-going analysis of the transaction monitoring program, which may extend to assessing the timely review and decision-making of generated alerts and potential STR or SAR filings. Such employees are responsible for independently validating an  UAE transaction monitoring system's programming methodology and effectiveness to ensure that the  UAE automated transaction monitoring system is effectively detecting potentially suspicious activity. These appointed employees also ensure that customer segments, customer types, and transactions/transaction codes are mapped into the transaction monitoring system, and that the transaction monitoring system is integrated with the  UAE core banking and other relevant systems. Independent validation also takes place of  UAE policies with an aim to assess if employees are adhering to these policies. </w:t>
      </w:r>
    </w:p>
    <w:p w14:paraId="19887509" w14:textId="1FC95C69" w:rsidR="0065131D" w:rsidRDefault="41028EAA" w:rsidP="3C0BAC93">
      <w:pPr>
        <w:spacing w:after="0"/>
      </w:pPr>
      <w:r w:rsidRPr="3C0BAC93">
        <w:rPr>
          <w:rFonts w:ascii="Calibri" w:eastAsia="Calibri" w:hAnsi="Calibri" w:cs="Calibri"/>
        </w:rPr>
        <w:t xml:space="preserve"> </w:t>
      </w:r>
    </w:p>
    <w:p w14:paraId="7E168F32" w14:textId="308C1464" w:rsidR="0065131D" w:rsidRDefault="41028EAA" w:rsidP="3C0BAC93">
      <w:pPr>
        <w:spacing w:after="0"/>
        <w:ind w:left="709"/>
      </w:pPr>
      <w:r w:rsidRPr="3C0BAC93">
        <w:rPr>
          <w:rFonts w:ascii="Calibri" w:eastAsia="Calibri" w:hAnsi="Calibri" w:cs="Calibri"/>
        </w:rPr>
        <w:t xml:space="preserve">This is especially important to validate the proper use of automated tools and to ensure that the application of information technology instruments or algorithms—often leveraged by  UAE to reduce the number of false positives in their transaction monitoring programs—is not inadvertently suppressing instances of reportable suspicious activity. Where appropriate, the  UAE, in lieu of maintaining full time </w:t>
      </w:r>
      <w:r w:rsidRPr="3C0BAC93">
        <w:rPr>
          <w:rFonts w:ascii="Calibri" w:eastAsia="Calibri" w:hAnsi="Calibri" w:cs="Calibri"/>
        </w:rPr>
        <w:lastRenderedPageBreak/>
        <w:t>employees to perform aforementioned functions, may hire qualified specialist consultants or external vendors to provide such review services.</w:t>
      </w:r>
    </w:p>
    <w:p w14:paraId="7BDEC4F5" w14:textId="105EE9B6" w:rsidR="0065131D" w:rsidRDefault="41028EAA" w:rsidP="3C0BAC93">
      <w:pPr>
        <w:spacing w:after="0"/>
        <w:ind w:left="709"/>
      </w:pPr>
      <w:r w:rsidRPr="3C0BAC93">
        <w:rPr>
          <w:rFonts w:ascii="Calibri" w:eastAsia="Calibri" w:hAnsi="Calibri" w:cs="Calibri"/>
        </w:rPr>
        <w:t xml:space="preserve"> </w:t>
      </w:r>
    </w:p>
    <w:p w14:paraId="1DABA845" w14:textId="205044C4"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 xml:space="preserve">  Intelligence-led Transaction Monitoring Approach</w:t>
      </w:r>
    </w:p>
    <w:p w14:paraId="5253A22D" w14:textId="213BDE8F" w:rsidR="0065131D" w:rsidRDefault="41028EAA" w:rsidP="3C0BAC93">
      <w:pPr>
        <w:spacing w:after="0"/>
        <w:ind w:left="709"/>
      </w:pPr>
      <w:r w:rsidRPr="3C0BAC93">
        <w:rPr>
          <w:rFonts w:ascii="Calibri" w:eastAsia="Calibri" w:hAnsi="Calibri" w:cs="Calibri"/>
        </w:rPr>
        <w:t xml:space="preserve"> UAE has invested in forming and developing intelligence units or capabilities. This has led  UAE to shift from a pure transaction-level monitoring approach towards adopting a “customer-level” or “network” monitoring approach. Under this approach, previous investigations can be applied to inform and refine risk models, which can then be used to customize monitoring for different business lines and customer types. These enhancements are focused on looking beyond single transactions or single customers to identify the wider network in which a customer operates—looking at the customer as an entity—enabling  UAE to manage networks of accounts and report on these networks that in turn, increases opportunities to disrupt that network. This model moves reporting away from reports of single suspicious transactions towards suspicious entities and networks with a view on how the funds flow between them.</w:t>
      </w:r>
    </w:p>
    <w:p w14:paraId="45BF650A" w14:textId="179A7958" w:rsidR="0065131D" w:rsidRDefault="41028EAA" w:rsidP="3C0BAC93">
      <w:pPr>
        <w:spacing w:after="0"/>
      </w:pPr>
      <w:r w:rsidRPr="3C0BAC93">
        <w:rPr>
          <w:rFonts w:ascii="Times New Roman" w:eastAsia="Times New Roman" w:hAnsi="Times New Roman" w:cs="Times New Roman"/>
        </w:rPr>
        <w:t xml:space="preserve"> </w:t>
      </w:r>
    </w:p>
    <w:p w14:paraId="056BC008" w14:textId="33A8F4D3"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 xml:space="preserve">  Transaction monitoring tuning process</w:t>
      </w:r>
    </w:p>
    <w:p w14:paraId="46FA9E90" w14:textId="2549340B" w:rsidR="0065131D" w:rsidRDefault="41028EAA" w:rsidP="3C0BAC93">
      <w:pPr>
        <w:spacing w:after="0"/>
        <w:ind w:left="709"/>
      </w:pPr>
      <w:r w:rsidRPr="3C0BAC93">
        <w:rPr>
          <w:rFonts w:ascii="Calibri" w:eastAsia="Calibri" w:hAnsi="Calibri" w:cs="Calibri"/>
        </w:rPr>
        <w:t xml:space="preserve"> UAE will track TM alert outputs in order to identify and address any technical or operational issues and understand key risks or trends over time. Irregularities in TM system performance, including significant changes in the productivity of TM rules over time, is indicative of underlying data quality or data integrity issues or of the need to recalibrate rule thresholds or parameters.</w:t>
      </w:r>
    </w:p>
    <w:p w14:paraId="46666012" w14:textId="2272A7A3" w:rsidR="0065131D" w:rsidRDefault="41028EAA" w:rsidP="3C0BAC93">
      <w:pPr>
        <w:spacing w:after="0"/>
        <w:ind w:left="709"/>
      </w:pPr>
      <w:r w:rsidRPr="3C0BAC93">
        <w:rPr>
          <w:rFonts w:ascii="Calibri" w:eastAsia="Calibri" w:hAnsi="Calibri" w:cs="Calibri"/>
        </w:rPr>
        <w:t>Identified data quality or integrity issues will be reported back to designated data or owners, and apparent rule calibration issues (such as unproductive rules or those producing excessive volumes of false positive alerts) will be reported back to model owners for tuning and optimization. Where TM outcomes analysis reveals that certain transaction types or patterns are repeatedly flagged by the TM system and then consistently cleared as false positives by TM investigators,  UAE will consider employing a risk-based suppression logic or other “whitelisting” process to prevent the generation of alerts on activity repeatedly deemed not to be suspicious.</w:t>
      </w:r>
    </w:p>
    <w:p w14:paraId="5F55A241" w14:textId="3F37DC49" w:rsidR="0065131D" w:rsidRDefault="41028EAA" w:rsidP="3C0BAC93">
      <w:pPr>
        <w:spacing w:after="0"/>
      </w:pPr>
      <w:r w:rsidRPr="3C0BAC93">
        <w:rPr>
          <w:rFonts w:ascii="Calibri" w:eastAsia="Calibri" w:hAnsi="Calibri" w:cs="Calibri"/>
        </w:rPr>
        <w:t xml:space="preserve"> </w:t>
      </w:r>
    </w:p>
    <w:p w14:paraId="12334C27" w14:textId="02B1C3EF" w:rsidR="0065131D" w:rsidRDefault="41028EAA" w:rsidP="3C0BAC93">
      <w:pPr>
        <w:spacing w:after="0"/>
        <w:ind w:left="709"/>
      </w:pPr>
      <w:r w:rsidRPr="3C0BAC93">
        <w:rPr>
          <w:rFonts w:ascii="Calibri" w:eastAsia="Calibri" w:hAnsi="Calibri" w:cs="Calibri"/>
        </w:rPr>
        <w:t>Such methods, however, will not be applied to higher-risk customer or transaction types and will be carefully monitored and subject to periodic and event-driven testing, tuning, and validation, as described below.</w:t>
      </w:r>
    </w:p>
    <w:p w14:paraId="5F3563C1" w14:textId="482B15EE" w:rsidR="0065131D" w:rsidRDefault="41028EAA" w:rsidP="3C0BAC93">
      <w:pPr>
        <w:spacing w:after="0"/>
      </w:pPr>
      <w:r w:rsidRPr="3C0BAC93">
        <w:rPr>
          <w:rFonts w:ascii="Calibri" w:eastAsia="Calibri" w:hAnsi="Calibri" w:cs="Calibri"/>
        </w:rPr>
        <w:t xml:space="preserve"> </w:t>
      </w:r>
    </w:p>
    <w:p w14:paraId="7293C097" w14:textId="2E86393E" w:rsidR="0065131D" w:rsidRDefault="41028EAA" w:rsidP="3C0BAC93">
      <w:pPr>
        <w:spacing w:after="0"/>
        <w:ind w:left="709"/>
      </w:pPr>
      <w:r w:rsidRPr="3C0BAC93">
        <w:rPr>
          <w:rFonts w:ascii="Calibri" w:eastAsia="Calibri" w:hAnsi="Calibri" w:cs="Calibri"/>
        </w:rPr>
        <w:t xml:space="preserve"> UAE Compliance department will ensure that senior management is regularly updated on the performance and output of TM program, including through the provision of metrics, trends, and other MIS reporting generated by TM systems or produced by TM </w:t>
      </w:r>
      <w:r w:rsidRPr="3C0BAC93">
        <w:rPr>
          <w:rFonts w:ascii="Calibri" w:eastAsia="Calibri" w:hAnsi="Calibri" w:cs="Calibri"/>
        </w:rPr>
        <w:lastRenderedPageBreak/>
        <w:t>alert review and investigation teams. Such reporting may include an analysis of the number of alerts produced by each TM rule and the proportion of such alerts that are cleared as false positives, that require further investigation, and that ultimately result in the filing of an STR/SAR TM-related reporting and analysis will feed back into an  UAE’s financial crimes risk assessment, and  UAE management will use this information to ensure that the institution’s customers and transaction remain within the  UAE’s risk appetite and that activity exceeding its risk appetite is addressed through appropriate risk mitigation measures, including but not limited to the use of account- or customer-based risk markers and/or activity, product, or service restrictions.</w:t>
      </w:r>
    </w:p>
    <w:p w14:paraId="485CC625" w14:textId="060E48F9" w:rsidR="0065131D" w:rsidRDefault="41028EAA" w:rsidP="3C0BAC93">
      <w:pPr>
        <w:spacing w:after="0"/>
      </w:pPr>
      <w:r w:rsidRPr="3C0BAC93">
        <w:rPr>
          <w:rFonts w:ascii="Calibri" w:eastAsia="Calibri" w:hAnsi="Calibri" w:cs="Calibri"/>
        </w:rPr>
        <w:t xml:space="preserve"> </w:t>
      </w:r>
    </w:p>
    <w:p w14:paraId="4C2D3D60" w14:textId="4363EA18" w:rsidR="0065131D" w:rsidRDefault="41028EAA" w:rsidP="3C0BAC93">
      <w:pPr>
        <w:spacing w:after="0"/>
        <w:ind w:left="709"/>
      </w:pPr>
      <w:r w:rsidRPr="3C0BAC93">
        <w:rPr>
          <w:rFonts w:ascii="Calibri" w:eastAsia="Calibri" w:hAnsi="Calibri" w:cs="Calibri"/>
        </w:rPr>
        <w:t>On a periodic basis and in the event of material system output or operational irregularities,  UAE will reassess the functionality of TM systems and processes, including the continued relevancy of detection scenarios and assumptions and the calibration of rule threshold values and parameters. As with pre-implementation testing, post-implementation testing will also include checks for system integration, data quality, and operational functionality, and will additionally include back-testing of TM rules to ensure it remain current and effective in targeting riskier transactions and activity. Any proposed tuning or adjustment to TM rules, particularly material adjustments, will be subject to pre-implementation testing using sample or historical data to ensure the proper functioning of the new or revised rules, and will be recorded and updated TM for future reference.</w:t>
      </w:r>
    </w:p>
    <w:p w14:paraId="7773EFEC" w14:textId="7586AC6D" w:rsidR="0065131D" w:rsidRDefault="41028EAA" w:rsidP="3C0BAC93">
      <w:pPr>
        <w:spacing w:after="0"/>
      </w:pPr>
      <w:r w:rsidRPr="3C0BAC93">
        <w:rPr>
          <w:rFonts w:ascii="Calibri" w:eastAsia="Calibri" w:hAnsi="Calibri" w:cs="Calibri"/>
        </w:rPr>
        <w:t xml:space="preserve"> </w:t>
      </w:r>
    </w:p>
    <w:p w14:paraId="1C4F99EB" w14:textId="7385008B" w:rsidR="0065131D" w:rsidRDefault="41028EAA" w:rsidP="3C0BAC93">
      <w:pPr>
        <w:spacing w:after="0"/>
        <w:ind w:left="709"/>
      </w:pPr>
      <w:r w:rsidRPr="3C0BAC93">
        <w:rPr>
          <w:rFonts w:ascii="Calibri" w:eastAsia="Calibri" w:hAnsi="Calibri" w:cs="Calibri"/>
        </w:rPr>
        <w:t>TM model testing and validation will be performed by  UAE compliance department who has sufficient expertise and appropriate level of independence from the model’s development and implementation. Generally, validation will be done by people (Group Compliance on annual basis) who are not responsible for the development or use of the TM model and do not have a stake in whether a model is determined to be valid.</w:t>
      </w:r>
    </w:p>
    <w:p w14:paraId="14E25EF7" w14:textId="34945C4A" w:rsidR="0065131D" w:rsidRDefault="41028EAA" w:rsidP="3C0BAC93">
      <w:pPr>
        <w:spacing w:after="0"/>
      </w:pPr>
      <w:r w:rsidRPr="3C0BAC93">
        <w:rPr>
          <w:rFonts w:ascii="Calibri" w:eastAsia="Calibri" w:hAnsi="Calibri" w:cs="Calibri"/>
        </w:rPr>
        <w:t xml:space="preserve"> </w:t>
      </w:r>
    </w:p>
    <w:p w14:paraId="3ED01573" w14:textId="19984908" w:rsidR="0065131D" w:rsidRDefault="41028EAA" w:rsidP="3C0BAC93">
      <w:pPr>
        <w:spacing w:after="0"/>
        <w:ind w:left="709"/>
      </w:pPr>
      <w:r w:rsidRPr="3C0BAC93">
        <w:rPr>
          <w:rFonts w:ascii="Calibri" w:eastAsia="Calibri" w:hAnsi="Calibri" w:cs="Calibri"/>
        </w:rPr>
        <w:t>All such assessment activities and identified issues will be clearly documented, and management will take prompt action to address model issues.</w:t>
      </w:r>
    </w:p>
    <w:p w14:paraId="7AFC1081" w14:textId="64F61E27" w:rsidR="0065131D" w:rsidRDefault="41028EAA" w:rsidP="3C0BAC93">
      <w:pPr>
        <w:spacing w:after="0"/>
      </w:pPr>
      <w:r w:rsidRPr="3C0BAC93">
        <w:rPr>
          <w:rFonts w:ascii="Calibri" w:eastAsia="Calibri" w:hAnsi="Calibri" w:cs="Calibri"/>
        </w:rPr>
        <w:t xml:space="preserve"> </w:t>
      </w:r>
    </w:p>
    <w:p w14:paraId="3F96B0B7" w14:textId="389CC31F"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 xml:space="preserve"> Data Identification and Management</w:t>
      </w:r>
    </w:p>
    <w:p w14:paraId="4130C212" w14:textId="3B53868C" w:rsidR="0065131D" w:rsidRDefault="41028EAA" w:rsidP="3C0BAC93">
      <w:pPr>
        <w:spacing w:after="0"/>
        <w:ind w:left="709"/>
      </w:pPr>
      <w:r w:rsidRPr="3C0BAC93">
        <w:rPr>
          <w:rFonts w:ascii="Calibri" w:eastAsia="Calibri" w:hAnsi="Calibri" w:cs="Calibri"/>
        </w:rPr>
        <w:t xml:space="preserve"> UAE has put in place adequate checking points in RCSA to ensure that customer and transactional data feeding into their TM systems meets established data quality standards, that data is subject to testing and validation at risk-based intervals, and that identified data quality and completeness issues are remediated in a timely manner.</w:t>
      </w:r>
    </w:p>
    <w:p w14:paraId="6D40CB80" w14:textId="0E8B9503" w:rsidR="0065131D" w:rsidRDefault="41028EAA" w:rsidP="3C0BAC93">
      <w:pPr>
        <w:spacing w:after="0"/>
      </w:pPr>
      <w:r w:rsidRPr="3C0BAC93">
        <w:rPr>
          <w:rFonts w:ascii="Calibri" w:eastAsia="Calibri" w:hAnsi="Calibri" w:cs="Calibri"/>
        </w:rPr>
        <w:t xml:space="preserve"> </w:t>
      </w:r>
    </w:p>
    <w:p w14:paraId="1CA71A10" w14:textId="470D627C" w:rsidR="0065131D" w:rsidRDefault="41028EAA" w:rsidP="3C0BAC93">
      <w:pPr>
        <w:spacing w:after="0"/>
        <w:ind w:left="709"/>
      </w:pPr>
      <w:r w:rsidRPr="3C0BAC93">
        <w:rPr>
          <w:rFonts w:ascii="Calibri" w:eastAsia="Calibri" w:hAnsi="Calibri" w:cs="Calibri"/>
        </w:rPr>
        <w:lastRenderedPageBreak/>
        <w:t xml:space="preserve"> UAE will identify that all data sources that serve as inputs into TM system.  Data sources may include both internal customer databases, core banking or other transaction processing systems, and applicable “flat-file” databases, as well as external sources such as Society for Worldwide Interbank Financial Telecommunication (“SWIFT”) message data. Source system will include the identification of a system owner or primary party responsible for overseeing the quality of source data and addressing identified data issues</w:t>
      </w:r>
    </w:p>
    <w:p w14:paraId="6AAA1783" w14:textId="76226E7D" w:rsidR="0065131D" w:rsidRDefault="41028EAA" w:rsidP="3C0BAC93">
      <w:pPr>
        <w:spacing w:after="0"/>
      </w:pPr>
      <w:r w:rsidRPr="3C0BAC93">
        <w:rPr>
          <w:rFonts w:ascii="Calibri" w:eastAsia="Calibri" w:hAnsi="Calibri" w:cs="Calibri"/>
        </w:rPr>
        <w:t xml:space="preserve"> </w:t>
      </w:r>
    </w:p>
    <w:p w14:paraId="5F12AE43" w14:textId="533CB5CD" w:rsidR="0065131D" w:rsidRDefault="41028EAA" w:rsidP="3C0BAC93">
      <w:pPr>
        <w:spacing w:after="0"/>
        <w:ind w:left="709"/>
      </w:pPr>
      <w:r w:rsidRPr="3C0BAC93">
        <w:rPr>
          <w:rFonts w:ascii="Calibri" w:eastAsia="Calibri" w:hAnsi="Calibri" w:cs="Calibri"/>
        </w:rPr>
        <w:t xml:space="preserve"> UAE will institute data extraction and loading processes to ensure a complete, accurate, and fully traceable transfer of data from its source to TM systems.  UAE will also ensure that staff’s access rights to both source systems and TM are commensurate with their roles and responsibilities, so as to ensure that relevant staff can perform their duties effectively and that access is not extended to unauthorized persons or those no longer requiring system access</w:t>
      </w:r>
    </w:p>
    <w:p w14:paraId="6201116B" w14:textId="18C57435" w:rsidR="0065131D" w:rsidRDefault="41028EAA" w:rsidP="3C0BAC93">
      <w:pPr>
        <w:spacing w:after="0"/>
      </w:pPr>
      <w:r w:rsidRPr="3C0BAC93">
        <w:rPr>
          <w:rFonts w:ascii="Calibri" w:eastAsia="Calibri" w:hAnsi="Calibri" w:cs="Calibri"/>
        </w:rPr>
        <w:t xml:space="preserve"> </w:t>
      </w:r>
    </w:p>
    <w:p w14:paraId="06E301BD" w14:textId="65F64A5F" w:rsidR="0065131D" w:rsidRDefault="41028EAA" w:rsidP="3C0BAC93">
      <w:pPr>
        <w:spacing w:after="0"/>
        <w:ind w:left="709"/>
      </w:pPr>
      <w:r w:rsidRPr="3C0BAC93">
        <w:rPr>
          <w:rFonts w:ascii="Calibri" w:eastAsia="Calibri" w:hAnsi="Calibri" w:cs="Calibri"/>
        </w:rPr>
        <w:t>Both prior to the initial deployment of a TM system or process and at risk-based intervals thereafter,  UAE will test and validate the integrity, accuracy, and quality of data to ensure that accurate and complete data is flowing into TM systems. Data testing and validation will typically occur at minimum every 12 to 18 months, and the frequency of such activities will be clearly mandated and documented in the  UAE’s procedures. Such testing will include data integrity checks to ensure that data is being completely and accurately captured in source systems and transmitted to TM systems, as well as the reconciliation of transaction codes across core banking and TM systems. Testing may also utilize quantitative data quality standards or benchmarks to track data quality over time and specify a threshold or range beyond which data irregularities or other data quality issues will require corrective action</w:t>
      </w:r>
    </w:p>
    <w:p w14:paraId="12FA36D2" w14:textId="13F315A8" w:rsidR="0065131D" w:rsidRDefault="41028EAA" w:rsidP="3C0BAC93">
      <w:pPr>
        <w:spacing w:after="0"/>
      </w:pPr>
      <w:r w:rsidRPr="3C0BAC93">
        <w:rPr>
          <w:rFonts w:ascii="Calibri" w:eastAsia="Calibri" w:hAnsi="Calibri" w:cs="Calibri"/>
        </w:rPr>
        <w:t xml:space="preserve"> </w:t>
      </w:r>
    </w:p>
    <w:p w14:paraId="6E7DDB5B" w14:textId="1D4A7B87" w:rsidR="0065131D" w:rsidRDefault="41028EAA" w:rsidP="3C0BAC93">
      <w:pPr>
        <w:spacing w:after="0"/>
        <w:ind w:left="709"/>
      </w:pPr>
      <w:r w:rsidRPr="3C0BAC93">
        <w:rPr>
          <w:rFonts w:ascii="Calibri" w:eastAsia="Calibri" w:hAnsi="Calibri" w:cs="Calibri"/>
        </w:rPr>
        <w:t>In addition,  UAE has put in place appropriate detection controls, such as the analysis of trends observable through management information system (“MIS”) data and the generation of exception reports, to identify abnormally functioning TM rules or scenarios and ensure that any such irregularities caused by data integrity or other data quality issues are appropriately diagnosed and remediated. Where appropriate, a root cause analysis will be performed, and any findings and recommended remedial actions will be escalated to senior management to address the underlying issue in a timely manner.</w:t>
      </w:r>
    </w:p>
    <w:p w14:paraId="2D6E24CD" w14:textId="5FCCA0D7" w:rsidR="0065131D" w:rsidRDefault="41028EAA" w:rsidP="3C0BAC93">
      <w:pPr>
        <w:spacing w:after="0"/>
      </w:pPr>
      <w:r w:rsidRPr="3C0BAC93">
        <w:rPr>
          <w:rFonts w:ascii="Calibri" w:eastAsia="Calibri" w:hAnsi="Calibri" w:cs="Calibri"/>
        </w:rPr>
        <w:t xml:space="preserve"> </w:t>
      </w:r>
    </w:p>
    <w:p w14:paraId="7DF77AF4" w14:textId="2641160A"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lastRenderedPageBreak/>
        <w:t>Procedures for the Reporting of Suspicious Transactions</w:t>
      </w:r>
    </w:p>
    <w:p w14:paraId="45A940A4" w14:textId="06AE6D7F" w:rsidR="0065131D" w:rsidRDefault="41028EAA" w:rsidP="3C0BAC93">
      <w:pPr>
        <w:spacing w:after="0"/>
        <w:ind w:left="709"/>
      </w:pPr>
      <w:r w:rsidRPr="3C0BAC93">
        <w:rPr>
          <w:rFonts w:ascii="Calibri" w:eastAsia="Calibri" w:hAnsi="Calibri" w:cs="Calibri"/>
        </w:rPr>
        <w:t>All customers and accounts are subject to monitoring under a risk-based approach in order to identify potentially suspicious transactions, patterns, as well as behavior that is inconsistent with past behavior on the account or with the anticipated activity on the account as determined at onboarding. Alerts on such behavior are risk relevant indicators of potentially suspicious activity. Upon identifying unusual or potentially suspicious activity,  UAE employees has the duty to review and, as appropriate, escalate the activity for further investigation or immediate action.</w:t>
      </w:r>
    </w:p>
    <w:p w14:paraId="0514716F" w14:textId="06867558" w:rsidR="0065131D" w:rsidRDefault="41028EAA" w:rsidP="3C0BAC93">
      <w:pPr>
        <w:spacing w:after="0"/>
      </w:pPr>
      <w:r w:rsidRPr="3C0BAC93">
        <w:rPr>
          <w:rFonts w:ascii="Calibri" w:eastAsia="Calibri" w:hAnsi="Calibri" w:cs="Calibri"/>
        </w:rPr>
        <w:t xml:space="preserve"> </w:t>
      </w:r>
    </w:p>
    <w:p w14:paraId="4F1EED59" w14:textId="4E29460E" w:rsidR="0065131D" w:rsidRDefault="41028EAA" w:rsidP="3C0BAC93">
      <w:pPr>
        <w:spacing w:after="0"/>
        <w:ind w:left="709"/>
      </w:pPr>
      <w:r w:rsidRPr="3C0BAC93">
        <w:rPr>
          <w:rFonts w:ascii="Calibri" w:eastAsia="Calibri" w:hAnsi="Calibri" w:cs="Calibri"/>
        </w:rPr>
        <w:t xml:space="preserve"> has established this process to investigate such activity, including developing policies and procedures that document the process for deciding whether to close the alert or to promptly report the transaction as suspicious and includes guidance on capturing detailed descriptions for the manner in which the alerts were either disposed of by reporting or closure of the alerts. Best practices are discussed once activity is determined to meet one or more of the regulatory definitions of suspicious activity and when an  decides to report such activity to the FIU by filing an STR, SAR, or other report type.</w:t>
      </w:r>
    </w:p>
    <w:p w14:paraId="0E4A4A72" w14:textId="796EE29C" w:rsidR="0065131D" w:rsidRDefault="41028EAA" w:rsidP="3C0BAC93">
      <w:pPr>
        <w:spacing w:after="0"/>
      </w:pPr>
      <w:r w:rsidRPr="3C0BAC93">
        <w:rPr>
          <w:rFonts w:ascii="Calibri" w:eastAsia="Calibri" w:hAnsi="Calibri" w:cs="Calibri"/>
        </w:rPr>
        <w:t xml:space="preserve"> </w:t>
      </w:r>
    </w:p>
    <w:p w14:paraId="3A2E0E66" w14:textId="7F2DD878"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Importance of Filing an STR and SAR</w:t>
      </w:r>
    </w:p>
    <w:p w14:paraId="09655607" w14:textId="06E15DA1" w:rsidR="0065131D" w:rsidRDefault="41028EAA" w:rsidP="3C0BAC93">
      <w:pPr>
        <w:spacing w:after="0"/>
        <w:ind w:left="720"/>
      </w:pPr>
      <w:r w:rsidRPr="3C0BAC93">
        <w:rPr>
          <w:rFonts w:ascii="Calibri" w:eastAsia="Calibri" w:hAnsi="Calibri" w:cs="Calibri"/>
        </w:rPr>
        <w:t>The information generated from an STR, SAR, and other report type is important for identifying and combatting financial crime. First, the quality of STRs, SARs, and other report types is imperative for increasing the FIU’s analytical function to identify vulnerabilities and threats to the UAE financial system and develop an overall understanding of money laundering and the financing of terrorism and illegal organizations’ risks based on emerging trends and patterns. Relatedly, STRs, SARs, and other report types also assist law enforcement in detecting criminal actors and preventing the flow of illicit funds through the UAE financial system. Law enforcement uses the intelligence generated from STRs, SARs, and other report types to initiate and supplement money laundering or terrorist financing investigations and other criminal cases. As a result, it is critical that the information provided in all reports of suspicious activity be as accurate, timely, and complete as possible.</w:t>
      </w:r>
    </w:p>
    <w:p w14:paraId="6153FC5D" w14:textId="18D66FC9" w:rsidR="0065131D" w:rsidRDefault="41028EAA" w:rsidP="3C0BAC93">
      <w:pPr>
        <w:spacing w:after="0"/>
      </w:pPr>
      <w:r w:rsidRPr="3C0BAC93">
        <w:rPr>
          <w:rFonts w:ascii="Calibri" w:eastAsia="Calibri" w:hAnsi="Calibri" w:cs="Calibri"/>
        </w:rPr>
        <w:t xml:space="preserve"> </w:t>
      </w:r>
    </w:p>
    <w:p w14:paraId="7684465F" w14:textId="0D85AA00"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Basic Structure of an STR or SAR (GoAML Guidelines)</w:t>
      </w:r>
    </w:p>
    <w:p w14:paraId="7479C95D" w14:textId="1CD2A036" w:rsidR="0065131D" w:rsidRDefault="41028EAA" w:rsidP="3C0BAC93">
      <w:pPr>
        <w:spacing w:after="0"/>
        <w:ind w:left="720"/>
      </w:pPr>
      <w:r w:rsidRPr="3C0BAC93">
        <w:rPr>
          <w:rFonts w:ascii="Calibri" w:eastAsia="Calibri" w:hAnsi="Calibri" w:cs="Calibri"/>
        </w:rPr>
        <w:t xml:space="preserve">The Compliance Officer or MLRO and other concerned employees responsible for using the goAML system must be aware of the different report types. As such, the  should select the correct report type when filing a report through the goAML system. The STR and SAR are the primary (or first instance) reports which must be used to report a new suspicion, whereas Additional Information File without Transactions (“AIF”) and </w:t>
      </w:r>
      <w:r w:rsidRPr="3C0BAC93">
        <w:rPr>
          <w:rFonts w:ascii="Calibri" w:eastAsia="Calibri" w:hAnsi="Calibri" w:cs="Calibri"/>
        </w:rPr>
        <w:lastRenderedPageBreak/>
        <w:t>Additional Information File with Transactions (“AIFT”) report types are supplementary reports which can be used to escalate additional information or transactions that correspond to a previously filed STR or SAR. When filing an AIF or AIFT, the  UAE will input the Reference Number that corresponds to the STR or SAR.</w:t>
      </w:r>
    </w:p>
    <w:p w14:paraId="42A1E532" w14:textId="732B3E84" w:rsidR="0065131D" w:rsidRDefault="41028EAA" w:rsidP="3C0BAC93">
      <w:pPr>
        <w:spacing w:after="0"/>
        <w:ind w:left="720"/>
      </w:pPr>
      <w:r w:rsidRPr="3C0BAC93">
        <w:rPr>
          <w:rFonts w:ascii="Calibri" w:eastAsia="Calibri" w:hAnsi="Calibri" w:cs="Calibri"/>
        </w:rPr>
        <w:t xml:space="preserve"> </w:t>
      </w:r>
    </w:p>
    <w:p w14:paraId="3EE47724" w14:textId="6555A187" w:rsidR="0065131D" w:rsidRDefault="41028EAA" w:rsidP="3C0BAC93">
      <w:pPr>
        <w:spacing w:after="0"/>
        <w:ind w:left="720"/>
      </w:pPr>
      <w:r w:rsidRPr="3C0BAC93">
        <w:rPr>
          <w:rFonts w:ascii="Calibri" w:eastAsia="Calibri" w:hAnsi="Calibri" w:cs="Calibri"/>
        </w:rPr>
        <w:t>•</w:t>
      </w:r>
      <w:r w:rsidRPr="3C0BAC93">
        <w:rPr>
          <w:rFonts w:ascii="Calibri" w:eastAsia="Calibri" w:hAnsi="Calibri" w:cs="Calibri"/>
          <w:b/>
          <w:bCs/>
        </w:rPr>
        <w:t>STR</w:t>
      </w:r>
      <w:r w:rsidRPr="3C0BAC93">
        <w:rPr>
          <w:rFonts w:ascii="Calibri" w:eastAsia="Calibri" w:hAnsi="Calibri" w:cs="Calibri"/>
        </w:rPr>
        <w:t>: If, during the establishment or course of the customer relationship, or when conducting transactions on behalf of a customer or an occasional customer,  UAE suspects transactions are related to money laundering, related predicate offenses, or the financing of terrorism or illegal organizations, then the  UAE will submit an STR to the FIU within the timelines established in this guidance.</w:t>
      </w:r>
    </w:p>
    <w:p w14:paraId="0193F8C3" w14:textId="68004AEC" w:rsidR="0065131D" w:rsidRDefault="41028EAA" w:rsidP="3C0BAC93">
      <w:pPr>
        <w:spacing w:after="0"/>
        <w:ind w:left="720"/>
      </w:pPr>
      <w:r w:rsidRPr="3C0BAC93">
        <w:rPr>
          <w:rFonts w:ascii="Calibri" w:eastAsia="Calibri" w:hAnsi="Calibri" w:cs="Calibri"/>
        </w:rPr>
        <w:t>•</w:t>
      </w:r>
      <w:r w:rsidRPr="3C0BAC93">
        <w:rPr>
          <w:rFonts w:ascii="Calibri" w:eastAsia="Calibri" w:hAnsi="Calibri" w:cs="Calibri"/>
          <w:b/>
          <w:bCs/>
        </w:rPr>
        <w:t>SAR</w:t>
      </w:r>
      <w:r w:rsidRPr="3C0BAC93">
        <w:rPr>
          <w:rFonts w:ascii="Calibri" w:eastAsia="Calibri" w:hAnsi="Calibri" w:cs="Calibri"/>
        </w:rPr>
        <w:t>: If, during the establishment or course of the customer relationship,  UAE suspects any activity or an attempted transaction (i.e., a non-executed transaction) can be related to money laundering, related predicate offenses, or the financing of terrorism or illegal organizations, then the  UAE will submit a SAR to the FIU within the timelines established in this guidance.</w:t>
      </w:r>
    </w:p>
    <w:p w14:paraId="1BE06706" w14:textId="03618946" w:rsidR="0065131D" w:rsidRDefault="41028EAA" w:rsidP="3C0BAC93">
      <w:pPr>
        <w:spacing w:after="0"/>
        <w:ind w:left="720"/>
      </w:pPr>
      <w:r w:rsidRPr="3C0BAC93">
        <w:rPr>
          <w:rFonts w:ascii="Calibri" w:eastAsia="Calibri" w:hAnsi="Calibri" w:cs="Calibri"/>
        </w:rPr>
        <w:t>•</w:t>
      </w:r>
      <w:r w:rsidRPr="3C0BAC93">
        <w:rPr>
          <w:rFonts w:ascii="Calibri" w:eastAsia="Calibri" w:hAnsi="Calibri" w:cs="Calibri"/>
          <w:b/>
          <w:bCs/>
        </w:rPr>
        <w:t>Additional Information File (“AIF”)</w:t>
      </w:r>
      <w:r w:rsidRPr="3C0BAC93">
        <w:rPr>
          <w:rFonts w:ascii="Calibri" w:eastAsia="Calibri" w:hAnsi="Calibri" w:cs="Calibri"/>
        </w:rPr>
        <w:t xml:space="preserve"> </w:t>
      </w:r>
      <w:r w:rsidRPr="3C0BAC93">
        <w:rPr>
          <w:rFonts w:ascii="Calibri" w:eastAsia="Calibri" w:hAnsi="Calibri" w:cs="Calibri"/>
          <w:b/>
          <w:bCs/>
        </w:rPr>
        <w:t>without Transactions</w:t>
      </w:r>
      <w:r w:rsidRPr="3C0BAC93">
        <w:rPr>
          <w:rFonts w:ascii="Calibri" w:eastAsia="Calibri" w:hAnsi="Calibri" w:cs="Calibri"/>
        </w:rPr>
        <w:t>: Should the FIU require any further details while reviewing an STR or SAR, then the  UAE that originally submitted the report may be solicited                for further information by receiving an AIF request from the FIU through the Message Board. Should                     such a situation arise, the  UAE is required to submit an AIF based report through the goAML platform. Please note that an AIF is a supplemental report that does not contain transactional details.</w:t>
      </w:r>
    </w:p>
    <w:p w14:paraId="22A4F26B" w14:textId="6903AC95" w:rsidR="0065131D" w:rsidRDefault="41028EAA" w:rsidP="3C0BAC93">
      <w:pPr>
        <w:spacing w:after="0"/>
        <w:ind w:left="720"/>
      </w:pPr>
      <w:r w:rsidRPr="3C0BAC93">
        <w:rPr>
          <w:rFonts w:ascii="Calibri" w:eastAsia="Calibri" w:hAnsi="Calibri" w:cs="Calibri"/>
        </w:rPr>
        <w:t>•</w:t>
      </w:r>
      <w:r w:rsidRPr="3C0BAC93">
        <w:rPr>
          <w:rFonts w:ascii="Calibri" w:eastAsia="Calibri" w:hAnsi="Calibri" w:cs="Calibri"/>
          <w:b/>
          <w:bCs/>
        </w:rPr>
        <w:t>Additional Information File with Transactions (“AIFT”)</w:t>
      </w:r>
      <w:r w:rsidRPr="3C0BAC93">
        <w:rPr>
          <w:rFonts w:ascii="Calibri" w:eastAsia="Calibri" w:hAnsi="Calibri" w:cs="Calibri"/>
        </w:rPr>
        <w:t>: Should the FIU require any further details including transactions while processing an STR or SAR, then the  UAE that originally submitted the said report may be solicited for further information including transactions by receiving an AIFT request from the FIU through the Message Board. Should such a situation arise, then the  UAE is required to submit an AIFT report through the goAML. Please note that an AIFT is a supplemental report that contains transactional details.</w:t>
      </w:r>
    </w:p>
    <w:p w14:paraId="7FDEA53A" w14:textId="2B651051" w:rsidR="0065131D" w:rsidRDefault="41028EAA" w:rsidP="3C0BAC93">
      <w:pPr>
        <w:spacing w:after="0"/>
        <w:ind w:left="720"/>
      </w:pPr>
      <w:r w:rsidRPr="3C0BAC93">
        <w:rPr>
          <w:rFonts w:ascii="Calibri" w:eastAsia="Calibri" w:hAnsi="Calibri" w:cs="Calibri"/>
        </w:rPr>
        <w:t>•</w:t>
      </w:r>
      <w:r w:rsidRPr="3C0BAC93">
        <w:rPr>
          <w:rFonts w:ascii="Calibri" w:eastAsia="Calibri" w:hAnsi="Calibri" w:cs="Calibri"/>
          <w:b/>
          <w:bCs/>
        </w:rPr>
        <w:t>Request for Information (“RFI”) without Transactions</w:t>
      </w:r>
      <w:r w:rsidRPr="3C0BAC93">
        <w:rPr>
          <w:rFonts w:ascii="Calibri" w:eastAsia="Calibri" w:hAnsi="Calibri" w:cs="Calibri"/>
        </w:rPr>
        <w:t>: Should the FIU require further information from other bank in UAE rather than just the  UAE responsible for submitting the STR or SAR, then an RFI request will be sent out to the concerned banks through the goAML Message Board. Should such a situation arise, then other banks are required to submit an RFI report through the goAML portal.</w:t>
      </w:r>
    </w:p>
    <w:p w14:paraId="70BAAA3B" w14:textId="65D07413" w:rsidR="0065131D" w:rsidRDefault="41028EAA" w:rsidP="3C0BAC93">
      <w:pPr>
        <w:spacing w:after="0"/>
        <w:ind w:left="720"/>
      </w:pPr>
      <w:r w:rsidRPr="3C0BAC93">
        <w:rPr>
          <w:rFonts w:ascii="Calibri" w:eastAsia="Calibri" w:hAnsi="Calibri" w:cs="Calibri"/>
        </w:rPr>
        <w:t>•Request for Information with Transactions (“RFIT”): The ‘RFI with Transaction(s)’ report is similar to the structure of an RFI request, with the exception that this report type supports the use of transactions.</w:t>
      </w:r>
    </w:p>
    <w:p w14:paraId="2192540F" w14:textId="2AB986B5" w:rsidR="0065131D" w:rsidRDefault="41028EAA" w:rsidP="3C0BAC93">
      <w:pPr>
        <w:spacing w:after="0"/>
        <w:ind w:left="720"/>
      </w:pPr>
      <w:r w:rsidRPr="3C0BAC93">
        <w:rPr>
          <w:rFonts w:ascii="Calibri" w:eastAsia="Calibri" w:hAnsi="Calibri" w:cs="Calibri"/>
          <w:b/>
          <w:bCs/>
        </w:rPr>
        <w:t>•High Risk Country Transaction Report (“HRC”):</w:t>
      </w:r>
      <w:r w:rsidRPr="3C0BAC93">
        <w:rPr>
          <w:rFonts w:ascii="Calibri" w:eastAsia="Calibri" w:hAnsi="Calibri" w:cs="Calibri"/>
        </w:rPr>
        <w:t xml:space="preserve"> If, during the establishment or course of the customer relationship, or when conducting transactions on behalf of a customer </w:t>
      </w:r>
      <w:r w:rsidRPr="3C0BAC93">
        <w:rPr>
          <w:rFonts w:ascii="Calibri" w:eastAsia="Calibri" w:hAnsi="Calibri" w:cs="Calibri"/>
        </w:rPr>
        <w:lastRenderedPageBreak/>
        <w:t>or a potential customer,  UAE identifies transactions related to high-risk countries as defined by the National Anti-Money laundering and Combating the Financing of Terrorism and financing of Illegal Organizations Committee, then the  UAE will submit an HRC to the FIU. Such reported transaction(s) may only be executed three working days after reporting such to the FIU, and if the FIU does not object to conducting the transaction within the set period.</w:t>
      </w:r>
    </w:p>
    <w:p w14:paraId="3B110A0E" w14:textId="23DDB22D" w:rsidR="0065131D" w:rsidRDefault="41028EAA" w:rsidP="3C0BAC93">
      <w:pPr>
        <w:spacing w:after="0"/>
        <w:ind w:left="709"/>
      </w:pPr>
      <w:r w:rsidRPr="3C0BAC93">
        <w:rPr>
          <w:rFonts w:ascii="Calibri" w:eastAsia="Calibri" w:hAnsi="Calibri" w:cs="Calibri"/>
        </w:rPr>
        <w:t>•</w:t>
      </w:r>
      <w:r w:rsidRPr="3C0BAC93">
        <w:rPr>
          <w:rFonts w:ascii="Calibri" w:eastAsia="Calibri" w:hAnsi="Calibri" w:cs="Calibri"/>
          <w:b/>
          <w:bCs/>
        </w:rPr>
        <w:t>High Risk Country Activity Report (“HRCA”):</w:t>
      </w:r>
      <w:r w:rsidRPr="3C0BAC93">
        <w:rPr>
          <w:rFonts w:ascii="Calibri" w:eastAsia="Calibri" w:hAnsi="Calibri" w:cs="Calibri"/>
        </w:rPr>
        <w:t xml:space="preserve"> If, during the establishment or course of the customer relationship, or when conducting an activity on behalf of a customer or a potential customer,  UAE identifies activities related to high-risk countries as defined by the National Anti- Money Laundering and Combating the Financing of Terrorism and financing of Illegal Organizations Committee, then  UAE will submit an HRC to the FIU. Such reported activity(ies) may only be executed three working days after reporting such to the FIU, and if the FIU does not object to conducting the activity within the set period.</w:t>
      </w:r>
    </w:p>
    <w:p w14:paraId="6F884BDE" w14:textId="2A67C132" w:rsidR="0065131D" w:rsidRDefault="41028EAA" w:rsidP="3C0BAC93">
      <w:pPr>
        <w:spacing w:after="0"/>
      </w:pPr>
      <w:r w:rsidRPr="3C0BAC93">
        <w:rPr>
          <w:rFonts w:ascii="Calibri" w:eastAsia="Calibri" w:hAnsi="Calibri" w:cs="Calibri"/>
        </w:rPr>
        <w:t xml:space="preserve"> </w:t>
      </w:r>
    </w:p>
    <w:p w14:paraId="25691B76" w14:textId="36F35C71" w:rsidR="0065131D" w:rsidRDefault="41028EAA" w:rsidP="3C0BAC93">
      <w:pPr>
        <w:spacing w:after="0"/>
        <w:ind w:left="709"/>
      </w:pPr>
      <w:r w:rsidRPr="3C0BAC93">
        <w:rPr>
          <w:rFonts w:ascii="Calibri" w:eastAsia="Calibri" w:hAnsi="Calibri" w:cs="Calibri"/>
        </w:rPr>
        <w:t>When all applicable information is collected, analyzed, and documented and  UAE decides that an STR or SAR is required, the information will be described in the narrative within an investigative narrative report template in a concise and chronological format.  UAE will divide the narrative into three sections: an introduction, a body, and a conclusion. The investigative narrative report template is considered as an addition to the goAML report (due to the potential text limitation within the “goAML description of the report” field)</w:t>
      </w:r>
    </w:p>
    <w:p w14:paraId="60A15DDB" w14:textId="2B951A13" w:rsidR="0065131D" w:rsidRDefault="41028EAA" w:rsidP="3C0BAC93">
      <w:pPr>
        <w:spacing w:after="0"/>
      </w:pPr>
      <w:r w:rsidRPr="3C0BAC93">
        <w:rPr>
          <w:rFonts w:ascii="Calibri" w:eastAsia="Calibri" w:hAnsi="Calibri" w:cs="Calibri"/>
        </w:rPr>
        <w:t xml:space="preserve"> </w:t>
      </w:r>
    </w:p>
    <w:p w14:paraId="611B8D1B" w14:textId="09F64338" w:rsidR="0065131D" w:rsidRDefault="41028EAA" w:rsidP="3C0BAC93">
      <w:pPr>
        <w:pStyle w:val="ListParagraph"/>
        <w:numPr>
          <w:ilvl w:val="0"/>
          <w:numId w:val="15"/>
        </w:numPr>
        <w:spacing w:after="0"/>
        <w:rPr>
          <w:rFonts w:ascii="Calibri" w:eastAsia="Calibri" w:hAnsi="Calibri" w:cs="Calibri"/>
          <w:sz w:val="22"/>
          <w:szCs w:val="22"/>
        </w:rPr>
      </w:pPr>
      <w:r w:rsidRPr="3C0BAC93">
        <w:rPr>
          <w:rFonts w:ascii="Calibri" w:eastAsia="Calibri" w:hAnsi="Calibri" w:cs="Calibri"/>
          <w:sz w:val="22"/>
          <w:szCs w:val="22"/>
        </w:rPr>
        <w:t>Introduction</w:t>
      </w:r>
    </w:p>
    <w:p w14:paraId="0CD1A57A" w14:textId="4646B6BC" w:rsidR="0065131D" w:rsidRDefault="41028EAA" w:rsidP="3C0BAC93">
      <w:pPr>
        <w:spacing w:after="0"/>
        <w:ind w:firstLine="720"/>
      </w:pPr>
      <w:r w:rsidRPr="3C0BAC93">
        <w:rPr>
          <w:rFonts w:ascii="Calibri" w:eastAsia="Calibri" w:hAnsi="Calibri" w:cs="Calibri"/>
        </w:rPr>
        <w:t>The introductory paragraph will provide</w:t>
      </w:r>
    </w:p>
    <w:p w14:paraId="2E47B55F" w14:textId="7B57743F" w:rsidR="0065131D" w:rsidRDefault="41028EAA" w:rsidP="3C0BAC93">
      <w:pPr>
        <w:spacing w:after="0"/>
        <w:ind w:left="720" w:hanging="720"/>
      </w:pPr>
      <w:r w:rsidRPr="3C0BAC93">
        <w:rPr>
          <w:rFonts w:ascii="Calibri" w:eastAsia="Calibri" w:hAnsi="Calibri" w:cs="Calibri"/>
        </w:rPr>
        <w:t>-</w:t>
      </w:r>
      <w:r w:rsidR="005E0C3C">
        <w:tab/>
      </w:r>
      <w:r w:rsidRPr="3C0BAC93">
        <w:rPr>
          <w:rFonts w:ascii="Calibri" w:eastAsia="Calibri" w:hAnsi="Calibri" w:cs="Calibri"/>
        </w:rPr>
        <w:t>A brief statement addressing the purpose of the report with a general description of the known or alleged violation.</w:t>
      </w:r>
    </w:p>
    <w:p w14:paraId="75AEEB59" w14:textId="05D76382" w:rsidR="0065131D" w:rsidRDefault="41028EAA" w:rsidP="3C0BAC93">
      <w:pPr>
        <w:spacing w:after="0"/>
      </w:pPr>
      <w:r w:rsidRPr="3C0BAC93">
        <w:rPr>
          <w:rFonts w:ascii="Calibri" w:eastAsia="Calibri" w:hAnsi="Calibri" w:cs="Calibri"/>
        </w:rPr>
        <w:t>-</w:t>
      </w:r>
      <w:r w:rsidR="005E0C3C">
        <w:tab/>
      </w:r>
      <w:r w:rsidRPr="3C0BAC93">
        <w:rPr>
          <w:rFonts w:ascii="Calibri" w:eastAsia="Calibri" w:hAnsi="Calibri" w:cs="Calibri"/>
        </w:rPr>
        <w:t>The name(s) of the subject against whom the report is filed.</w:t>
      </w:r>
    </w:p>
    <w:p w14:paraId="16F184A7" w14:textId="3CC601FF" w:rsidR="0065131D" w:rsidRDefault="41028EAA" w:rsidP="3C0BAC93">
      <w:pPr>
        <w:spacing w:after="0"/>
        <w:ind w:left="720" w:hanging="720"/>
      </w:pPr>
      <w:r w:rsidRPr="3C0BAC93">
        <w:rPr>
          <w:rFonts w:ascii="Calibri" w:eastAsia="Calibri" w:hAnsi="Calibri" w:cs="Calibri"/>
        </w:rPr>
        <w:t>-</w:t>
      </w:r>
      <w:r w:rsidR="005E0C3C">
        <w:tab/>
      </w:r>
      <w:r w:rsidRPr="3C0BAC93">
        <w:rPr>
          <w:rFonts w:ascii="Calibri" w:eastAsia="Calibri" w:hAnsi="Calibri" w:cs="Calibri"/>
        </w:rPr>
        <w:t>Any linked/ previous STRs, SARs, or other reports, including the date of any STR(s) / SAR(s) filed (or other reports) previously on the suspect or related suspects and the reason why the previous STR(s) / SAR(s) (or other report) was filed.</w:t>
      </w:r>
    </w:p>
    <w:p w14:paraId="4BC69994" w14:textId="5B8EE89E" w:rsidR="0065131D" w:rsidRDefault="41028EAA" w:rsidP="3C0BAC93">
      <w:pPr>
        <w:spacing w:after="0"/>
        <w:ind w:firstLine="720"/>
      </w:pPr>
      <w:r w:rsidRPr="3C0BAC93">
        <w:rPr>
          <w:rFonts w:ascii="Calibri" w:eastAsia="Calibri" w:hAnsi="Calibri" w:cs="Calibri"/>
        </w:rPr>
        <w:t>Additional Steps</w:t>
      </w:r>
    </w:p>
    <w:p w14:paraId="058AC4E2" w14:textId="50D7C71B" w:rsidR="0065131D" w:rsidRDefault="41028EAA" w:rsidP="3C0BAC93">
      <w:pPr>
        <w:spacing w:after="0"/>
        <w:ind w:left="720" w:hanging="720"/>
      </w:pPr>
      <w:r w:rsidRPr="3C0BAC93">
        <w:rPr>
          <w:rFonts w:ascii="Calibri" w:eastAsia="Calibri" w:hAnsi="Calibri" w:cs="Calibri"/>
        </w:rPr>
        <w:t>-</w:t>
      </w:r>
      <w:r w:rsidR="005E0C3C">
        <w:tab/>
      </w:r>
      <w:r w:rsidRPr="3C0BAC93">
        <w:rPr>
          <w:rFonts w:ascii="Calibri" w:eastAsia="Calibri" w:hAnsi="Calibri" w:cs="Calibri"/>
        </w:rPr>
        <w:t>Whether the activity is associated with any sanctioned countries or contained on government lists for individuals or organizations.</w:t>
      </w:r>
    </w:p>
    <w:p w14:paraId="29DF3926" w14:textId="236B9F4D" w:rsidR="0065131D" w:rsidRDefault="41028EAA" w:rsidP="3C0BAC93">
      <w:pPr>
        <w:spacing w:after="0"/>
        <w:ind w:left="720" w:hanging="720"/>
      </w:pPr>
      <w:r w:rsidRPr="3C0BAC93">
        <w:rPr>
          <w:rFonts w:ascii="Calibri" w:eastAsia="Calibri" w:hAnsi="Calibri" w:cs="Calibri"/>
        </w:rPr>
        <w:t>-</w:t>
      </w:r>
      <w:r w:rsidR="005E0C3C">
        <w:tab/>
      </w:r>
      <w:r w:rsidRPr="3C0BAC93">
        <w:rPr>
          <w:rFonts w:ascii="Calibri" w:eastAsia="Calibri" w:hAnsi="Calibri" w:cs="Calibri"/>
        </w:rPr>
        <w:t>A summary of the “red flags” and suspicious patterns of activity that initiated the report. (This information will be provided either in the introduction or conclusion of the narrative</w:t>
      </w:r>
    </w:p>
    <w:p w14:paraId="05E6CD6A" w14:textId="5CE06DE8" w:rsidR="0065131D" w:rsidRDefault="41028EAA" w:rsidP="3C0BAC93">
      <w:pPr>
        <w:spacing w:after="0"/>
      </w:pPr>
      <w:r w:rsidRPr="3C0BAC93">
        <w:rPr>
          <w:rFonts w:ascii="Calibri" w:eastAsia="Calibri" w:hAnsi="Calibri" w:cs="Calibri"/>
        </w:rPr>
        <w:t xml:space="preserve"> </w:t>
      </w:r>
    </w:p>
    <w:p w14:paraId="604BB065" w14:textId="322BCB33" w:rsidR="0065131D" w:rsidRDefault="41028EAA" w:rsidP="3C0BAC93">
      <w:pPr>
        <w:pStyle w:val="ListParagraph"/>
        <w:numPr>
          <w:ilvl w:val="0"/>
          <w:numId w:val="15"/>
        </w:numPr>
        <w:spacing w:after="0"/>
        <w:rPr>
          <w:rFonts w:ascii="Calibri" w:eastAsia="Calibri" w:hAnsi="Calibri" w:cs="Calibri"/>
          <w:sz w:val="22"/>
          <w:szCs w:val="22"/>
        </w:rPr>
      </w:pPr>
      <w:r w:rsidRPr="3C0BAC93">
        <w:rPr>
          <w:rFonts w:ascii="Calibri" w:eastAsia="Calibri" w:hAnsi="Calibri" w:cs="Calibri"/>
          <w:sz w:val="22"/>
          <w:szCs w:val="22"/>
        </w:rPr>
        <w:lastRenderedPageBreak/>
        <w:t>Body</w:t>
      </w:r>
    </w:p>
    <w:p w14:paraId="0166DBD5" w14:textId="35D920EB" w:rsidR="0065131D" w:rsidRDefault="41028EAA" w:rsidP="3C0BAC93">
      <w:pPr>
        <w:spacing w:after="0"/>
        <w:ind w:left="720"/>
      </w:pPr>
      <w:r w:rsidRPr="3C0BAC93">
        <w:rPr>
          <w:rFonts w:ascii="Calibri" w:eastAsia="Calibri" w:hAnsi="Calibri" w:cs="Calibri"/>
        </w:rPr>
        <w:t>The next paragraph or paragraphs of the narrative can provide all pertinent information documenting why the STR, SAR, or other report was filed and might include:</w:t>
      </w:r>
    </w:p>
    <w:p w14:paraId="64BB5F3D" w14:textId="4C52F9F3" w:rsidR="0065131D" w:rsidRDefault="41028EAA" w:rsidP="3C0BAC93">
      <w:pPr>
        <w:spacing w:after="0"/>
        <w:ind w:left="720" w:hanging="720"/>
      </w:pPr>
      <w:r w:rsidRPr="3C0BAC93">
        <w:rPr>
          <w:rFonts w:ascii="Calibri" w:eastAsia="Calibri" w:hAnsi="Calibri" w:cs="Calibri"/>
        </w:rPr>
        <w:t>-</w:t>
      </w:r>
      <w:r w:rsidR="005E0C3C">
        <w:tab/>
      </w:r>
      <w:r w:rsidRPr="3C0BAC93">
        <w:rPr>
          <w:rFonts w:ascii="Calibri" w:eastAsia="Calibri" w:hAnsi="Calibri" w:cs="Calibri"/>
        </w:rPr>
        <w:t>Details of parties facilitating the suspicious activity or transactions. If the subject is an entity, details of the subject can include the entity’s trade license number, date established, line of business, licensing authority, and ownership structure.</w:t>
      </w:r>
    </w:p>
    <w:p w14:paraId="1672B3FF" w14:textId="12048A58" w:rsidR="0065131D" w:rsidRDefault="41028EAA" w:rsidP="3C0BAC93">
      <w:pPr>
        <w:spacing w:after="0"/>
        <w:ind w:left="720" w:hanging="720"/>
      </w:pPr>
      <w:r w:rsidRPr="3C0BAC93">
        <w:rPr>
          <w:rFonts w:ascii="Calibri" w:eastAsia="Calibri" w:hAnsi="Calibri" w:cs="Calibri"/>
        </w:rPr>
        <w:t>-</w:t>
      </w:r>
      <w:r w:rsidR="005E0C3C">
        <w:tab/>
      </w:r>
      <w:r w:rsidRPr="3C0BAC93">
        <w:rPr>
          <w:rFonts w:ascii="Calibri" w:eastAsia="Calibri" w:hAnsi="Calibri" w:cs="Calibri"/>
        </w:rPr>
        <w:t>Involved suspected transactions (usually identified in chronological order by date and amount) [To be included only for an STR and supplementary reports involving transactions].</w:t>
      </w:r>
    </w:p>
    <w:p w14:paraId="01CE6EF1" w14:textId="38B88579" w:rsidR="0065131D" w:rsidRDefault="41028EAA" w:rsidP="3C0BAC93">
      <w:pPr>
        <w:spacing w:after="0"/>
      </w:pPr>
      <w:r w:rsidRPr="3C0BAC93">
        <w:rPr>
          <w:rFonts w:ascii="Calibri" w:eastAsia="Calibri" w:hAnsi="Calibri" w:cs="Calibri"/>
        </w:rPr>
        <w:t>-</w:t>
      </w:r>
      <w:r w:rsidR="005E0C3C">
        <w:tab/>
      </w:r>
      <w:r w:rsidRPr="3C0BAC93">
        <w:rPr>
          <w:rFonts w:ascii="Calibri" w:eastAsia="Calibri" w:hAnsi="Calibri" w:cs="Calibri"/>
        </w:rPr>
        <w:t>The review period for the suspicious activity or transactions.</w:t>
      </w:r>
    </w:p>
    <w:p w14:paraId="1A94F0CC" w14:textId="69FAE03E" w:rsidR="0065131D" w:rsidRDefault="41028EAA" w:rsidP="3C0BAC93">
      <w:pPr>
        <w:spacing w:after="0"/>
        <w:ind w:left="720" w:hanging="720"/>
      </w:pPr>
      <w:r w:rsidRPr="3C0BAC93">
        <w:rPr>
          <w:rFonts w:ascii="Calibri" w:eastAsia="Calibri" w:hAnsi="Calibri" w:cs="Calibri"/>
        </w:rPr>
        <w:t>-</w:t>
      </w:r>
      <w:r w:rsidR="005E0C3C">
        <w:tab/>
      </w:r>
      <w:r w:rsidRPr="3C0BAC93">
        <w:rPr>
          <w:rFonts w:ascii="Calibri" w:eastAsia="Calibri" w:hAnsi="Calibri" w:cs="Calibri"/>
        </w:rPr>
        <w:t>The source of funds, destination of funds, and total of suspected amounts. This can include the originator and beneficiary information, providing as much detail as possible, including the name and location of any involved domestic and/or international financial institution(s); names, addresses, account numbers, and any other available identifiers of originator and beneficiary originator(s); and/or third parties or business entities on whose behalf the conductor was acting; the date(s) of the transaction(s); and amount(s).</w:t>
      </w:r>
    </w:p>
    <w:p w14:paraId="486A7146" w14:textId="5A7BE54F" w:rsidR="0065131D" w:rsidRDefault="41028EAA" w:rsidP="3C0BAC93">
      <w:pPr>
        <w:spacing w:after="0"/>
        <w:ind w:left="720" w:hanging="720"/>
      </w:pPr>
      <w:r w:rsidRPr="3C0BAC93">
        <w:rPr>
          <w:rFonts w:ascii="Calibri" w:eastAsia="Calibri" w:hAnsi="Calibri" w:cs="Calibri"/>
        </w:rPr>
        <w:t>-</w:t>
      </w:r>
      <w:r w:rsidR="005E0C3C">
        <w:tab/>
      </w:r>
      <w:r w:rsidRPr="3C0BAC93">
        <w:rPr>
          <w:rFonts w:ascii="Calibri" w:eastAsia="Calibri" w:hAnsi="Calibri" w:cs="Calibri"/>
        </w:rPr>
        <w:t>Explain in detail the reason for the suspicion, and why the activity or transaction is determined to be illegal or suspicious.</w:t>
      </w:r>
    </w:p>
    <w:p w14:paraId="17115F2E" w14:textId="539CEF15" w:rsidR="0065131D" w:rsidRDefault="41028EAA" w:rsidP="3C0BAC93">
      <w:pPr>
        <w:spacing w:after="0"/>
      </w:pPr>
      <w:r w:rsidRPr="3C0BAC93">
        <w:rPr>
          <w:rFonts w:ascii="Calibri" w:eastAsia="Calibri" w:hAnsi="Calibri" w:cs="Calibri"/>
        </w:rPr>
        <w:t>-</w:t>
      </w:r>
      <w:r w:rsidR="005E0C3C">
        <w:tab/>
      </w:r>
      <w:r w:rsidRPr="3C0BAC93">
        <w:rPr>
          <w:rFonts w:ascii="Calibri" w:eastAsia="Calibri" w:hAnsi="Calibri" w:cs="Calibri"/>
        </w:rPr>
        <w:t>Description of the method of operation (i.e., modus operandi).</w:t>
      </w:r>
    </w:p>
    <w:p w14:paraId="18F951E7" w14:textId="48794811" w:rsidR="0065131D" w:rsidRDefault="41028EAA" w:rsidP="3C0BAC93">
      <w:pPr>
        <w:spacing w:after="0"/>
        <w:ind w:firstLine="720"/>
      </w:pPr>
      <w:r w:rsidRPr="3C0BAC93">
        <w:rPr>
          <w:rFonts w:ascii="Calibri" w:eastAsia="Calibri" w:hAnsi="Calibri" w:cs="Calibri"/>
        </w:rPr>
        <w:t>Additional Steps:</w:t>
      </w:r>
    </w:p>
    <w:p w14:paraId="71D0728F" w14:textId="6D2296B8" w:rsidR="0065131D" w:rsidRDefault="41028EAA" w:rsidP="3C0BAC93">
      <w:pPr>
        <w:spacing w:after="0"/>
        <w:ind w:left="720" w:hanging="720"/>
      </w:pPr>
      <w:r w:rsidRPr="3C0BAC93">
        <w:rPr>
          <w:rFonts w:ascii="Calibri" w:eastAsia="Calibri" w:hAnsi="Calibri" w:cs="Calibri"/>
        </w:rPr>
        <w:t>-</w:t>
      </w:r>
      <w:r w:rsidR="005E0C3C">
        <w:tab/>
      </w:r>
      <w:r w:rsidRPr="3C0BAC93">
        <w:rPr>
          <w:rFonts w:ascii="Calibri" w:eastAsia="Calibri" w:hAnsi="Calibri" w:cs="Calibri"/>
        </w:rPr>
        <w:t>A breakdown of larger volumes of financial activity into categories of credits and debits, and by date and amount. [To be included only for an STR and supplementary reports involving transactions].</w:t>
      </w:r>
    </w:p>
    <w:p w14:paraId="423E9AB7" w14:textId="4EFA8FAA" w:rsidR="0065131D" w:rsidRDefault="41028EAA" w:rsidP="3C0BAC93">
      <w:pPr>
        <w:spacing w:after="0"/>
        <w:ind w:left="720" w:hanging="720"/>
      </w:pPr>
      <w:r w:rsidRPr="3C0BAC93">
        <w:rPr>
          <w:rFonts w:ascii="Calibri" w:eastAsia="Calibri" w:hAnsi="Calibri" w:cs="Calibri"/>
        </w:rPr>
        <w:t>-</w:t>
      </w:r>
      <w:r w:rsidR="005E0C3C">
        <w:tab/>
      </w:r>
      <w:r w:rsidRPr="3C0BAC93">
        <w:rPr>
          <w:rFonts w:ascii="Calibri" w:eastAsia="Calibri" w:hAnsi="Calibri" w:cs="Calibri"/>
        </w:rPr>
        <w:t>An explanation of any observed relationships among the originator (e.g., shared accounts, addresses, employment, known or suspected business relationships and/or frequency of transactions occurring amongst them; appearing together at the  and/or counter). [To be included only for an STR and supplementary reports involving transactions].</w:t>
      </w:r>
    </w:p>
    <w:p w14:paraId="3B213BA5" w14:textId="28A3A41E" w:rsidR="0065131D" w:rsidRDefault="41028EAA" w:rsidP="3C0BAC93">
      <w:pPr>
        <w:spacing w:after="0"/>
        <w:ind w:left="720" w:hanging="720"/>
      </w:pPr>
      <w:r w:rsidRPr="3C0BAC93">
        <w:rPr>
          <w:rFonts w:ascii="Calibri" w:eastAsia="Calibri" w:hAnsi="Calibri" w:cs="Calibri"/>
        </w:rPr>
        <w:t>-</w:t>
      </w:r>
      <w:r w:rsidR="005E0C3C">
        <w:tab/>
      </w:r>
      <w:r w:rsidRPr="3C0BAC93">
        <w:rPr>
          <w:rFonts w:ascii="Calibri" w:eastAsia="Calibri" w:hAnsi="Calibri" w:cs="Calibri"/>
        </w:rPr>
        <w:t>Specific details on cash transactions that identify the branch(es) where the transaction(s) occurred, the type of transaction(s), and how the transaction(s) occurred (e.g., night deposit, on-line banking, ATM, etc.). [To be included only for an STR and supplementary reports involving transactions].</w:t>
      </w:r>
    </w:p>
    <w:p w14:paraId="11819DB5" w14:textId="52305406" w:rsidR="0065131D" w:rsidRDefault="41028EAA" w:rsidP="3C0BAC93">
      <w:pPr>
        <w:spacing w:after="0"/>
      </w:pPr>
      <w:r w:rsidRPr="3C0BAC93">
        <w:rPr>
          <w:rFonts w:ascii="Calibri" w:eastAsia="Calibri" w:hAnsi="Calibri" w:cs="Calibri"/>
        </w:rPr>
        <w:t>-</w:t>
      </w:r>
      <w:r w:rsidR="005E0C3C">
        <w:tab/>
      </w:r>
      <w:r w:rsidRPr="3C0BAC93">
        <w:rPr>
          <w:rFonts w:ascii="Calibri" w:eastAsia="Calibri" w:hAnsi="Calibri" w:cs="Calibri"/>
        </w:rPr>
        <w:t>Any factual observations or incriminating statements made by the suspect.</w:t>
      </w:r>
    </w:p>
    <w:p w14:paraId="7DFF1F7A" w14:textId="159EF762" w:rsidR="0065131D" w:rsidRDefault="41028EAA" w:rsidP="3C0BAC93">
      <w:pPr>
        <w:spacing w:after="0"/>
      </w:pPr>
      <w:r w:rsidRPr="3C0BAC93">
        <w:rPr>
          <w:rFonts w:ascii="Calibri" w:eastAsia="Calibri" w:hAnsi="Calibri" w:cs="Calibri"/>
        </w:rPr>
        <w:t xml:space="preserve"> </w:t>
      </w:r>
    </w:p>
    <w:p w14:paraId="41175254" w14:textId="6931D341" w:rsidR="0065131D" w:rsidRDefault="41028EAA" w:rsidP="3C0BAC93">
      <w:pPr>
        <w:pStyle w:val="ListParagraph"/>
        <w:numPr>
          <w:ilvl w:val="0"/>
          <w:numId w:val="15"/>
        </w:numPr>
        <w:spacing w:after="0"/>
        <w:rPr>
          <w:rFonts w:ascii="Calibri" w:eastAsia="Calibri" w:hAnsi="Calibri" w:cs="Calibri"/>
          <w:sz w:val="22"/>
          <w:szCs w:val="22"/>
        </w:rPr>
      </w:pPr>
      <w:r w:rsidRPr="3C0BAC93">
        <w:rPr>
          <w:rFonts w:ascii="Calibri" w:eastAsia="Calibri" w:hAnsi="Calibri" w:cs="Calibri"/>
          <w:sz w:val="22"/>
          <w:szCs w:val="22"/>
        </w:rPr>
        <w:t>Conclusion</w:t>
      </w:r>
    </w:p>
    <w:p w14:paraId="413E2183" w14:textId="09FFB6CD" w:rsidR="0065131D" w:rsidRDefault="41028EAA" w:rsidP="3C0BAC93">
      <w:pPr>
        <w:spacing w:after="0"/>
        <w:ind w:left="709"/>
      </w:pPr>
      <w:r w:rsidRPr="3C0BAC93">
        <w:rPr>
          <w:rFonts w:ascii="Calibri" w:eastAsia="Calibri" w:hAnsi="Calibri" w:cs="Calibri"/>
        </w:rPr>
        <w:t>The final paragraph will be covered under “Action Taken by Reporting Entity” field. The final paragraph of the narrative can summarize the report and might also include:</w:t>
      </w:r>
    </w:p>
    <w:p w14:paraId="187513CC" w14:textId="641C4CEF" w:rsidR="0065131D" w:rsidRDefault="41028EAA" w:rsidP="3C0BAC93">
      <w:pPr>
        <w:spacing w:after="0"/>
        <w:ind w:left="709"/>
      </w:pPr>
      <w:r w:rsidRPr="3C0BAC93">
        <w:rPr>
          <w:rFonts w:ascii="Calibri" w:eastAsia="Calibri" w:hAnsi="Calibri" w:cs="Calibri"/>
        </w:rPr>
        <w:lastRenderedPageBreak/>
        <w:t>•Any planned/initiated mitigating steps, including information about any follow-up actions conducted by  UAE (e.g., intent to close or closure of accounts, ongoing monitoring of activity, etc.).</w:t>
      </w:r>
    </w:p>
    <w:p w14:paraId="1AFCF10E" w14:textId="0F9A8B52" w:rsidR="0065131D" w:rsidRDefault="41028EAA" w:rsidP="3C0BAC93">
      <w:pPr>
        <w:spacing w:after="0"/>
        <w:ind w:left="284" w:firstLine="360"/>
      </w:pPr>
      <w:r w:rsidRPr="3C0BAC93">
        <w:rPr>
          <w:rFonts w:ascii="Calibri" w:eastAsia="Calibri" w:hAnsi="Calibri" w:cs="Calibri"/>
        </w:rPr>
        <w:t>Additional Steps:</w:t>
      </w:r>
    </w:p>
    <w:p w14:paraId="718903E3" w14:textId="6D51E26D" w:rsidR="0065131D" w:rsidRDefault="41028EAA" w:rsidP="3C0BAC93">
      <w:pPr>
        <w:spacing w:after="0"/>
        <w:ind w:left="709"/>
      </w:pPr>
      <w:r w:rsidRPr="3C0BAC93">
        <w:rPr>
          <w:rFonts w:ascii="Calibri" w:eastAsia="Calibri" w:hAnsi="Calibri" w:cs="Calibri"/>
        </w:rPr>
        <w:t>•Names and telephone numbers of other contacts at  UAE if different from the point of contact indicated in the report.</w:t>
      </w:r>
    </w:p>
    <w:p w14:paraId="347EA562" w14:textId="7AB9E926" w:rsidR="0065131D" w:rsidRDefault="41028EAA" w:rsidP="3C0BAC93">
      <w:pPr>
        <w:spacing w:after="0"/>
        <w:ind w:left="709"/>
      </w:pPr>
      <w:r w:rsidRPr="3C0BAC93">
        <w:rPr>
          <w:rFonts w:ascii="Calibri" w:eastAsia="Calibri" w:hAnsi="Calibri" w:cs="Calibri"/>
        </w:rPr>
        <w:t>•A general description of any additional information related to  UAE that may be made available   to law enforcement by the  UAE.</w:t>
      </w:r>
    </w:p>
    <w:p w14:paraId="4FC0B046" w14:textId="2CD38D77" w:rsidR="0065131D" w:rsidRDefault="41028EAA" w:rsidP="3C0BAC93">
      <w:pPr>
        <w:spacing w:after="0"/>
        <w:ind w:left="709"/>
      </w:pPr>
      <w:r w:rsidRPr="3C0BAC93">
        <w:rPr>
          <w:rFonts w:ascii="Calibri" w:eastAsia="Calibri" w:hAnsi="Calibri" w:cs="Calibri"/>
        </w:rPr>
        <w:t>•Names of any law enforcement or department/unit investigating the case who are not already identified in another section of the report</w:t>
      </w:r>
    </w:p>
    <w:p w14:paraId="2EA388F3" w14:textId="086BB250" w:rsidR="0065131D" w:rsidRDefault="41028EAA" w:rsidP="3C0BAC93">
      <w:pPr>
        <w:spacing w:after="0"/>
      </w:pPr>
      <w:r w:rsidRPr="3C0BAC93">
        <w:rPr>
          <w:rFonts w:ascii="Calibri" w:eastAsia="Calibri" w:hAnsi="Calibri" w:cs="Calibri"/>
        </w:rPr>
        <w:t xml:space="preserve"> </w:t>
      </w:r>
    </w:p>
    <w:p w14:paraId="7EBB2E99" w14:textId="1ED24EEB"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Best Practices for Drafting an STR or SAR</w:t>
      </w:r>
    </w:p>
    <w:p w14:paraId="1844DF4E" w14:textId="1AC53A37" w:rsidR="0065131D" w:rsidRDefault="41028EAA" w:rsidP="3C0BAC93">
      <w:pPr>
        <w:spacing w:after="0"/>
        <w:ind w:left="709"/>
      </w:pPr>
      <w:r w:rsidRPr="3C0BAC93">
        <w:rPr>
          <w:rFonts w:ascii="Calibri" w:eastAsia="Calibri" w:hAnsi="Calibri" w:cs="Calibri"/>
        </w:rPr>
        <w:t>In general, a narrative should identify the five core components – who? what? when? where? and why? – Of the suspicious activity being reported to the FIU. The method of operation/modus operandi (or how?) is also important and should be included in the report narrative.  UAE ensures that the following five questions are answered prior to submitting an STR, SAR, or other report in the FIU’s goAML system.</w:t>
      </w:r>
    </w:p>
    <w:p w14:paraId="5F4F13A6" w14:textId="60DDFE0F" w:rsidR="0065131D" w:rsidRDefault="41028EAA" w:rsidP="3C0BAC93">
      <w:pPr>
        <w:spacing w:after="0"/>
      </w:pPr>
      <w:r w:rsidRPr="3C0BAC93">
        <w:rPr>
          <w:rFonts w:ascii="Calibri" w:eastAsia="Calibri" w:hAnsi="Calibri" w:cs="Calibri"/>
        </w:rPr>
        <w:t xml:space="preserve"> </w:t>
      </w:r>
    </w:p>
    <w:p w14:paraId="546CAB42" w14:textId="05360751" w:rsidR="0065131D" w:rsidRDefault="41028EAA" w:rsidP="3C0BAC93">
      <w:pPr>
        <w:spacing w:after="0"/>
        <w:ind w:firstLine="709"/>
      </w:pPr>
      <w:r w:rsidRPr="3C0BAC93">
        <w:rPr>
          <w:rFonts w:ascii="Calibri" w:eastAsia="Calibri" w:hAnsi="Calibri" w:cs="Calibri"/>
        </w:rPr>
        <w:t>Who is conducting the suspicious activity or transaction?</w:t>
      </w:r>
    </w:p>
    <w:p w14:paraId="32BC4632" w14:textId="4DF0E021" w:rsidR="0065131D" w:rsidRDefault="41028EAA" w:rsidP="3C0BAC93">
      <w:pPr>
        <w:spacing w:after="0"/>
        <w:ind w:left="709"/>
      </w:pPr>
      <w:r w:rsidRPr="3C0BAC93">
        <w:rPr>
          <w:rFonts w:ascii="Calibri" w:eastAsia="Calibri" w:hAnsi="Calibri" w:cs="Calibri"/>
        </w:rPr>
        <w:t>• Describe the subject of the STR, SAR, or other report, otherwise known as the suspect(s), including the conductor, beneficiary, and accountholders involved in the transaction or activity.</w:t>
      </w:r>
    </w:p>
    <w:p w14:paraId="5CF4C368" w14:textId="2B1A3CFA" w:rsidR="0065131D" w:rsidRDefault="41028EAA" w:rsidP="3C0BAC93">
      <w:pPr>
        <w:spacing w:after="0"/>
        <w:ind w:left="709"/>
      </w:pPr>
      <w:r w:rsidRPr="3C0BAC93">
        <w:rPr>
          <w:rFonts w:ascii="Calibri" w:eastAsia="Calibri" w:hAnsi="Calibri" w:cs="Calibri"/>
        </w:rPr>
        <w:t>• Provide identifying information on the parties involved in the transaction, such as the suspect’s occupation and position or title within the business.</w:t>
      </w:r>
    </w:p>
    <w:p w14:paraId="5B46B9FA" w14:textId="22B1F289" w:rsidR="0065131D" w:rsidRDefault="41028EAA" w:rsidP="3C0BAC93">
      <w:pPr>
        <w:spacing w:after="0"/>
        <w:ind w:left="709"/>
      </w:pPr>
      <w:r w:rsidRPr="3C0BAC93">
        <w:rPr>
          <w:rFonts w:ascii="Calibri" w:eastAsia="Calibri" w:hAnsi="Calibri" w:cs="Calibri"/>
        </w:rPr>
        <w:t>• List beneficial owners, directors, officers, and those with signing authority, if possible. If the transaction or activity involves an entity, include information on the ownership, control, and structure of the business.</w:t>
      </w:r>
    </w:p>
    <w:p w14:paraId="61E5A3C7" w14:textId="7ABDB902" w:rsidR="0065131D" w:rsidRDefault="41028EAA" w:rsidP="3C0BAC93">
      <w:pPr>
        <w:spacing w:after="0"/>
        <w:ind w:left="709"/>
      </w:pPr>
      <w:r w:rsidRPr="3C0BAC93">
        <w:rPr>
          <w:rFonts w:ascii="Calibri" w:eastAsia="Calibri" w:hAnsi="Calibri" w:cs="Calibri"/>
        </w:rPr>
        <w:t>• Provide details about each individual or entity's role in each of the financial transactions described. It is important to understand who is sending and receiving the funds. [To be included only for an STR and supplementary reports involving transactions].</w:t>
      </w:r>
    </w:p>
    <w:p w14:paraId="127DFFB6" w14:textId="166C53DE" w:rsidR="0065131D" w:rsidRDefault="41028EAA" w:rsidP="3C0BAC93">
      <w:pPr>
        <w:spacing w:after="0"/>
        <w:ind w:left="709"/>
      </w:pPr>
      <w:r w:rsidRPr="3C0BAC93">
        <w:rPr>
          <w:rFonts w:ascii="Calibri" w:eastAsia="Calibri" w:hAnsi="Calibri" w:cs="Calibri"/>
        </w:rPr>
        <w:t>• If more than one individual or entity is involved in the suspicious activity, explain the relationships among the individuals or entities (if known).</w:t>
      </w:r>
    </w:p>
    <w:p w14:paraId="3E2133AE" w14:textId="0499B05C" w:rsidR="0065131D" w:rsidRDefault="41028EAA" w:rsidP="3C0BAC93">
      <w:pPr>
        <w:spacing w:after="0"/>
      </w:pPr>
      <w:r w:rsidRPr="3C0BAC93">
        <w:rPr>
          <w:rFonts w:ascii="Calibri" w:eastAsia="Calibri" w:hAnsi="Calibri" w:cs="Calibri"/>
        </w:rPr>
        <w:t xml:space="preserve"> </w:t>
      </w:r>
    </w:p>
    <w:p w14:paraId="5B740692" w14:textId="4A4232BD" w:rsidR="0065131D" w:rsidRDefault="41028EAA" w:rsidP="3C0BAC93">
      <w:pPr>
        <w:spacing w:after="0"/>
        <w:ind w:left="709"/>
      </w:pPr>
      <w:r w:rsidRPr="3C0BAC93">
        <w:rPr>
          <w:rFonts w:ascii="Calibri" w:eastAsia="Calibri" w:hAnsi="Calibri" w:cs="Calibri"/>
        </w:rPr>
        <w:t xml:space="preserve">Even though information may not always be available, information should be included to the extent possible. For instance, addresses for suspects are important; filing  UAE provides not only the suspect’s primary street addresses, but also, other known </w:t>
      </w:r>
      <w:r w:rsidRPr="3C0BAC93">
        <w:rPr>
          <w:rFonts w:ascii="Calibri" w:eastAsia="Calibri" w:hAnsi="Calibri" w:cs="Calibri"/>
        </w:rPr>
        <w:lastRenderedPageBreak/>
        <w:t>addresses. Any identification numbers associated with the suspect(s) such as passport and driver’s license numbers are also important to document.</w:t>
      </w:r>
    </w:p>
    <w:p w14:paraId="4EF71B4B" w14:textId="4E6EFEFF" w:rsidR="0065131D" w:rsidRDefault="41028EAA" w:rsidP="3C0BAC93">
      <w:pPr>
        <w:spacing w:after="0"/>
      </w:pPr>
      <w:r w:rsidRPr="3C0BAC93">
        <w:rPr>
          <w:rFonts w:ascii="Calibri" w:eastAsia="Calibri" w:hAnsi="Calibri" w:cs="Calibri"/>
        </w:rPr>
        <w:t xml:space="preserve"> </w:t>
      </w:r>
    </w:p>
    <w:p w14:paraId="56F68DFF" w14:textId="055A60FD" w:rsidR="0065131D" w:rsidRDefault="41028EAA" w:rsidP="3C0BAC93">
      <w:pPr>
        <w:spacing w:after="0"/>
        <w:ind w:left="709"/>
      </w:pPr>
      <w:r w:rsidRPr="3C0BAC93">
        <w:rPr>
          <w:rFonts w:ascii="Calibri" w:eastAsia="Calibri" w:hAnsi="Calibri" w:cs="Calibri"/>
        </w:rPr>
        <w:t>What instruments or mechanisms are being used to facilitate the suspicious activity or transaction(s)?</w:t>
      </w:r>
    </w:p>
    <w:p w14:paraId="5663C4FA" w14:textId="52A563C3" w:rsidR="0065131D" w:rsidRDefault="41028EAA" w:rsidP="3C0BAC93">
      <w:pPr>
        <w:spacing w:after="0"/>
        <w:ind w:left="709"/>
      </w:pPr>
      <w:r w:rsidRPr="3C0BAC93">
        <w:rPr>
          <w:rFonts w:ascii="Calibri" w:eastAsia="Calibri" w:hAnsi="Calibri" w:cs="Calibri"/>
        </w:rPr>
        <w:t>• Review the instruments or mechanisms used in the suspicious activity (e.g., wire transfers, foreign currency, Wages Protection System (WPS), letters of credit and other trade instruments, correspondent accounts, money orders, credit/debit cards, etc.).</w:t>
      </w:r>
    </w:p>
    <w:p w14:paraId="14C8F4FD" w14:textId="6DE25E26" w:rsidR="0065131D" w:rsidRDefault="41028EAA" w:rsidP="3C0BAC93">
      <w:pPr>
        <w:spacing w:after="0"/>
        <w:ind w:left="709"/>
      </w:pPr>
      <w:r w:rsidRPr="3C0BAC93">
        <w:rPr>
          <w:rFonts w:ascii="Calibri" w:eastAsia="Calibri" w:hAnsi="Calibri" w:cs="Calibri"/>
        </w:rPr>
        <w:t>• Understand the number of different methods employed for initiating the negotiation of funds, such as the Internet, phone access, mail, night deposit box, remote dial-up, couriers, or others.</w:t>
      </w:r>
    </w:p>
    <w:p w14:paraId="11508C82" w14:textId="773B24A4" w:rsidR="0065131D" w:rsidRDefault="41028EAA" w:rsidP="3C0BAC93">
      <w:pPr>
        <w:spacing w:after="0"/>
        <w:ind w:left="709"/>
      </w:pPr>
      <w:r w:rsidRPr="3C0BAC93">
        <w:rPr>
          <w:rFonts w:ascii="Calibri" w:eastAsia="Calibri" w:hAnsi="Calibri" w:cs="Calibri"/>
        </w:rPr>
        <w:t>• Describe the source of the funds (as originator) or use of the funds (as beneficiary). In documenting the movement of funds, identify all account numbers at the  UAE affected by the suspicious activity or transaction and when possible, provide any account numbers held at other  UAE Branches and the names/locations of the other  UAE Branches involved in the reported activity.</w:t>
      </w:r>
    </w:p>
    <w:p w14:paraId="533AD550" w14:textId="2BA440C5" w:rsidR="0065131D" w:rsidRDefault="41028EAA" w:rsidP="3C0BAC93">
      <w:pPr>
        <w:spacing w:after="0"/>
      </w:pPr>
      <w:r w:rsidRPr="3C0BAC93">
        <w:rPr>
          <w:rFonts w:ascii="Calibri" w:eastAsia="Calibri" w:hAnsi="Calibri" w:cs="Calibri"/>
        </w:rPr>
        <w:t xml:space="preserve"> </w:t>
      </w:r>
    </w:p>
    <w:p w14:paraId="6744AFF4" w14:textId="6B76443F" w:rsidR="0065131D" w:rsidRDefault="41028EAA" w:rsidP="3C0BAC93">
      <w:pPr>
        <w:spacing w:after="0"/>
        <w:ind w:firstLine="709"/>
      </w:pPr>
      <w:r w:rsidRPr="3C0BAC93">
        <w:rPr>
          <w:rFonts w:ascii="Calibri" w:eastAsia="Calibri" w:hAnsi="Calibri" w:cs="Calibri"/>
        </w:rPr>
        <w:t>When did the suspicious activity or transaction take place?</w:t>
      </w:r>
    </w:p>
    <w:p w14:paraId="341E2532" w14:textId="30DF243F" w:rsidR="0065131D" w:rsidRDefault="41028EAA" w:rsidP="3C0BAC93">
      <w:pPr>
        <w:spacing w:after="0"/>
        <w:ind w:left="709"/>
      </w:pPr>
      <w:r w:rsidRPr="3C0BAC93">
        <w:rPr>
          <w:rFonts w:ascii="Calibri" w:eastAsia="Calibri" w:hAnsi="Calibri" w:cs="Calibri"/>
        </w:rPr>
        <w:t>•If the activity takes place over a period of time, provide the date when the suspicious activity or transaction was first observed and describe the duration of the activity.</w:t>
      </w:r>
    </w:p>
    <w:p w14:paraId="394486DB" w14:textId="47200779" w:rsidR="0065131D" w:rsidRDefault="41028EAA" w:rsidP="3C0BAC93">
      <w:pPr>
        <w:spacing w:after="0"/>
        <w:ind w:left="709"/>
      </w:pPr>
      <w:r w:rsidRPr="3C0BAC93">
        <w:rPr>
          <w:rFonts w:ascii="Calibri" w:eastAsia="Calibri" w:hAnsi="Calibri" w:cs="Calibri"/>
        </w:rPr>
        <w:t>•To better understand the history and nature of the activity, and the flow of funds,  UAE provides information on each individual transaction in a chronological order (e.g., individual dates and transaction amounts, rather than only the aggregated amount). [To be included only for an STR and supplementary reports involving transactions].</w:t>
      </w:r>
    </w:p>
    <w:p w14:paraId="59831A59" w14:textId="7842FCD0" w:rsidR="0065131D" w:rsidRDefault="41028EAA" w:rsidP="3C0BAC93">
      <w:pPr>
        <w:spacing w:after="0"/>
        <w:ind w:left="709"/>
      </w:pPr>
      <w:r w:rsidRPr="3C0BAC93">
        <w:rPr>
          <w:rFonts w:ascii="Calibri" w:eastAsia="Calibri" w:hAnsi="Calibri" w:cs="Calibri"/>
        </w:rPr>
        <w:t>• Provide information on when the transaction was completed or attempted. If the transaction was not completed,  UAE indicate this in the narrative. [To be included only for an STR and supplementary reports involving transactions].</w:t>
      </w:r>
    </w:p>
    <w:p w14:paraId="57948066" w14:textId="59401D57" w:rsidR="0065131D" w:rsidRDefault="41028EAA" w:rsidP="3C0BAC93">
      <w:pPr>
        <w:spacing w:after="0"/>
      </w:pPr>
      <w:r w:rsidRPr="3C0BAC93">
        <w:rPr>
          <w:rFonts w:ascii="Calibri" w:eastAsia="Calibri" w:hAnsi="Calibri" w:cs="Calibri"/>
        </w:rPr>
        <w:t xml:space="preserve"> </w:t>
      </w:r>
    </w:p>
    <w:p w14:paraId="60964754" w14:textId="052E14E3" w:rsidR="0065131D" w:rsidRDefault="41028EAA" w:rsidP="3C0BAC93">
      <w:pPr>
        <w:spacing w:after="0"/>
        <w:ind w:firstLine="709"/>
      </w:pPr>
      <w:r w:rsidRPr="3C0BAC93">
        <w:rPr>
          <w:rFonts w:ascii="Calibri" w:eastAsia="Calibri" w:hAnsi="Calibri" w:cs="Calibri"/>
        </w:rPr>
        <w:t>Where did the suspicious activity or transaction take place?</w:t>
      </w:r>
    </w:p>
    <w:p w14:paraId="4A8996E9" w14:textId="05D0D19A" w:rsidR="0065131D" w:rsidRDefault="41028EAA" w:rsidP="3C0BAC93">
      <w:pPr>
        <w:spacing w:after="0"/>
        <w:ind w:left="709"/>
      </w:pPr>
      <w:r w:rsidRPr="3C0BAC93">
        <w:rPr>
          <w:rFonts w:ascii="Calibri" w:eastAsia="Calibri" w:hAnsi="Calibri" w:cs="Calibri"/>
        </w:rPr>
        <w:t>•Explain if multiple offices of a single  UAE were involved in the suspicious activity or transaction being reported. Provide the addresses of those locations.</w:t>
      </w:r>
    </w:p>
    <w:p w14:paraId="0D03E45E" w14:textId="252B219C" w:rsidR="0065131D" w:rsidRDefault="41028EAA" w:rsidP="3C0BAC93">
      <w:pPr>
        <w:spacing w:after="0"/>
        <w:ind w:left="709"/>
      </w:pPr>
      <w:r w:rsidRPr="3C0BAC93">
        <w:rPr>
          <w:rFonts w:ascii="Calibri" w:eastAsia="Calibri" w:hAnsi="Calibri" w:cs="Calibri"/>
        </w:rPr>
        <w:t>• Specify if the suspected activity or transaction(s) involves a foreign jurisdiction. In this case, list the foreign jurisdiction, , address, and any account numbers involved in, or affiliated with the suspected activity or transaction(s).</w:t>
      </w:r>
    </w:p>
    <w:p w14:paraId="0C26E96E" w14:textId="0B24DDD1" w:rsidR="0065131D" w:rsidRDefault="41028EAA" w:rsidP="3C0BAC93">
      <w:pPr>
        <w:spacing w:after="0"/>
        <w:ind w:left="709"/>
      </w:pPr>
      <w:r w:rsidRPr="3C0BAC93">
        <w:rPr>
          <w:rFonts w:ascii="Calibri" w:eastAsia="Calibri" w:hAnsi="Calibri" w:cs="Calibri"/>
        </w:rPr>
        <w:t>• This information should include any location involved in the full transaction chain, including ultimate originators and beneficiaries to the extent this can be ascertained. [To be included only for an STR and supplementary reports involving transactions].</w:t>
      </w:r>
    </w:p>
    <w:p w14:paraId="01AF3EBD" w14:textId="171A8F87" w:rsidR="0065131D" w:rsidRDefault="41028EAA" w:rsidP="3C0BAC93">
      <w:pPr>
        <w:spacing w:after="0"/>
      </w:pPr>
      <w:r w:rsidRPr="3C0BAC93">
        <w:rPr>
          <w:rFonts w:ascii="Calibri" w:eastAsia="Calibri" w:hAnsi="Calibri" w:cs="Calibri"/>
        </w:rPr>
        <w:t xml:space="preserve"> </w:t>
      </w:r>
    </w:p>
    <w:p w14:paraId="0A58D3CE" w14:textId="529A8B0C" w:rsidR="0065131D" w:rsidRDefault="41028EAA" w:rsidP="3C0BAC93">
      <w:pPr>
        <w:spacing w:after="0"/>
        <w:ind w:left="709"/>
      </w:pPr>
      <w:r w:rsidRPr="3C0BAC93">
        <w:rPr>
          <w:rFonts w:ascii="Calibri" w:eastAsia="Calibri" w:hAnsi="Calibri" w:cs="Calibri"/>
        </w:rPr>
        <w:lastRenderedPageBreak/>
        <w:t>Why does the  UAE think the activity or transaction is suspicious?</w:t>
      </w:r>
    </w:p>
    <w:p w14:paraId="29AB4865" w14:textId="1AB265A3" w:rsidR="0065131D" w:rsidRDefault="41028EAA" w:rsidP="3C0BAC93">
      <w:pPr>
        <w:spacing w:after="0"/>
        <w:ind w:left="709"/>
      </w:pPr>
      <w:r w:rsidRPr="3C0BAC93">
        <w:rPr>
          <w:rFonts w:ascii="Calibri" w:eastAsia="Calibri" w:hAnsi="Calibri" w:cs="Calibri"/>
        </w:rPr>
        <w:t>•Describe the industry or business and why the activity or transaction is unusual for the customer. Consider the types of products and services involved in the activity and the expected activities of similar customers.</w:t>
      </w:r>
    </w:p>
    <w:p w14:paraId="3451E684" w14:textId="798A3001" w:rsidR="0065131D" w:rsidRDefault="41028EAA" w:rsidP="3C0BAC93">
      <w:pPr>
        <w:spacing w:after="0"/>
        <w:ind w:left="709"/>
      </w:pPr>
      <w:r w:rsidRPr="3C0BAC93">
        <w:rPr>
          <w:rFonts w:ascii="Calibri" w:eastAsia="Calibri" w:hAnsi="Calibri" w:cs="Calibri"/>
        </w:rPr>
        <w:t>• Assess why the activity created a red flag for  UAE or triggered an alert within the system.</w:t>
      </w:r>
    </w:p>
    <w:p w14:paraId="49F5BF35" w14:textId="04C397AD" w:rsidR="0065131D" w:rsidRDefault="41028EAA" w:rsidP="3C0BAC93">
      <w:pPr>
        <w:spacing w:after="0"/>
      </w:pPr>
      <w:r w:rsidRPr="3C0BAC93">
        <w:rPr>
          <w:rFonts w:ascii="Calibri" w:eastAsia="Calibri" w:hAnsi="Calibri" w:cs="Calibri"/>
        </w:rPr>
        <w:t xml:space="preserve"> </w:t>
      </w:r>
    </w:p>
    <w:p w14:paraId="3AA08619" w14:textId="0C301FD5" w:rsidR="0065131D" w:rsidRDefault="41028EAA" w:rsidP="3C0BAC93">
      <w:pPr>
        <w:spacing w:after="0"/>
        <w:ind w:firstLine="709"/>
      </w:pPr>
      <w:r w:rsidRPr="3C0BAC93">
        <w:rPr>
          <w:rFonts w:ascii="Calibri" w:eastAsia="Calibri" w:hAnsi="Calibri" w:cs="Calibri"/>
        </w:rPr>
        <w:t xml:space="preserve"> will also consider such factors as:</w:t>
      </w:r>
    </w:p>
    <w:p w14:paraId="3A968A29" w14:textId="02F9F697" w:rsidR="0065131D" w:rsidRDefault="41028EAA" w:rsidP="3C0BAC93">
      <w:pPr>
        <w:spacing w:after="0"/>
        <w:ind w:left="709"/>
      </w:pPr>
      <w:r w:rsidRPr="3C0BAC93">
        <w:rPr>
          <w:rFonts w:ascii="Calibri" w:eastAsia="Calibri" w:hAnsi="Calibri" w:cs="Calibri"/>
        </w:rPr>
        <w:t>• The types of products and services  UAE offers;</w:t>
      </w:r>
    </w:p>
    <w:p w14:paraId="0E956AF3" w14:textId="534B0F46" w:rsidR="0065131D" w:rsidRDefault="41028EAA" w:rsidP="3C0BAC93">
      <w:pPr>
        <w:spacing w:after="0"/>
        <w:ind w:left="709"/>
      </w:pPr>
      <w:r w:rsidRPr="3C0BAC93">
        <w:rPr>
          <w:rFonts w:ascii="Calibri" w:eastAsia="Calibri" w:hAnsi="Calibri" w:cs="Calibri"/>
        </w:rPr>
        <w:t>• The types of accounts the customer has with  UAE;</w:t>
      </w:r>
    </w:p>
    <w:p w14:paraId="1F5392BE" w14:textId="6BF72639" w:rsidR="0065131D" w:rsidRDefault="41028EAA" w:rsidP="3C0BAC93">
      <w:pPr>
        <w:spacing w:after="0"/>
        <w:ind w:left="709"/>
      </w:pPr>
      <w:r w:rsidRPr="3C0BAC93">
        <w:rPr>
          <w:rFonts w:ascii="Calibri" w:eastAsia="Calibri" w:hAnsi="Calibri" w:cs="Calibri"/>
        </w:rPr>
        <w:t>• The normally expected business activity of the customer (if they are a customer of  UAE), and             why this is not normal or expected activity;</w:t>
      </w:r>
    </w:p>
    <w:p w14:paraId="57054884" w14:textId="394D63F3" w:rsidR="0065131D" w:rsidRDefault="41028EAA" w:rsidP="3C0BAC93">
      <w:pPr>
        <w:spacing w:after="0"/>
        <w:ind w:left="709"/>
      </w:pPr>
      <w:r w:rsidRPr="3C0BAC93">
        <w:rPr>
          <w:rFonts w:ascii="Calibri" w:eastAsia="Calibri" w:hAnsi="Calibri" w:cs="Calibri"/>
        </w:rPr>
        <w:t>• The purpose of the payment or transaction, to the extent known, reported, alleged, or questioned; and</w:t>
      </w:r>
    </w:p>
    <w:p w14:paraId="282EBE7D" w14:textId="6D682690" w:rsidR="0065131D" w:rsidRDefault="41028EAA" w:rsidP="3C0BAC93">
      <w:pPr>
        <w:spacing w:after="0"/>
        <w:ind w:left="709"/>
      </w:pPr>
      <w:r w:rsidRPr="3C0BAC93">
        <w:rPr>
          <w:rFonts w:ascii="Calibri" w:eastAsia="Calibri" w:hAnsi="Calibri" w:cs="Calibri"/>
        </w:rPr>
        <w:t>• If the activity resulted from an automated alert, the scenario or rule that generated the alert.</w:t>
      </w:r>
    </w:p>
    <w:p w14:paraId="75F65134" w14:textId="18BBD593" w:rsidR="0065131D" w:rsidRDefault="41028EAA" w:rsidP="3C0BAC93">
      <w:pPr>
        <w:spacing w:after="0"/>
      </w:pPr>
      <w:r w:rsidRPr="3C0BAC93">
        <w:rPr>
          <w:rFonts w:ascii="Calibri" w:eastAsia="Calibri" w:hAnsi="Calibri" w:cs="Calibri"/>
        </w:rPr>
        <w:t xml:space="preserve"> </w:t>
      </w:r>
    </w:p>
    <w:p w14:paraId="7D2FF414" w14:textId="4951B584" w:rsidR="0065131D" w:rsidRDefault="41028EAA" w:rsidP="3C0BAC93">
      <w:pPr>
        <w:spacing w:after="0"/>
        <w:ind w:left="709"/>
      </w:pPr>
      <w:r w:rsidRPr="3C0BAC93">
        <w:rPr>
          <w:rFonts w:ascii="Calibri" w:eastAsia="Calibri" w:hAnsi="Calibri" w:cs="Calibri"/>
        </w:rPr>
        <w:t>How did the suspicious activity or transaction occur?</w:t>
      </w:r>
    </w:p>
    <w:p w14:paraId="724C11A3" w14:textId="588EADD5" w:rsidR="0065131D" w:rsidRDefault="41028EAA" w:rsidP="3C0BAC93">
      <w:pPr>
        <w:spacing w:after="0"/>
        <w:ind w:left="709"/>
      </w:pPr>
      <w:r w:rsidRPr="3C0BAC93">
        <w:rPr>
          <w:rFonts w:ascii="Calibri" w:eastAsia="Calibri" w:hAnsi="Calibri" w:cs="Calibri"/>
        </w:rPr>
        <w:t>• Describe how the transaction or pattern of transactions was committed (i.e., the “modus operandi” or the method of operation). [To be included only for an STR and supplementary reports involving transactions].</w:t>
      </w:r>
    </w:p>
    <w:p w14:paraId="0163E79F" w14:textId="0779D146" w:rsidR="0065131D" w:rsidRDefault="41028EAA" w:rsidP="3C0BAC93">
      <w:pPr>
        <w:spacing w:after="0"/>
        <w:ind w:left="709"/>
      </w:pPr>
      <w:r w:rsidRPr="3C0BAC93">
        <w:rPr>
          <w:rFonts w:ascii="Calibri" w:eastAsia="Calibri" w:hAnsi="Calibri" w:cs="Calibri"/>
        </w:rPr>
        <w:t>•For example, if there appear to be multiple cheques deposited matched with outgoing wire transfers from the accounts, the narrative should include information about both the cheques and outbound transfers (including dates, destinations, amounts, accounts, frequency, and beneficiaries of the funds transfers).</w:t>
      </w:r>
    </w:p>
    <w:p w14:paraId="15D5B66E" w14:textId="165BAEBF" w:rsidR="0065131D" w:rsidRDefault="41028EAA" w:rsidP="3C0BAC93">
      <w:pPr>
        <w:spacing w:after="0"/>
      </w:pPr>
      <w:r w:rsidRPr="3C0BAC93">
        <w:rPr>
          <w:rFonts w:ascii="Calibri" w:eastAsia="Calibri" w:hAnsi="Calibri" w:cs="Calibri"/>
        </w:rPr>
        <w:t xml:space="preserve"> </w:t>
      </w:r>
    </w:p>
    <w:p w14:paraId="69552728" w14:textId="32A3E8F6" w:rsidR="0065131D" w:rsidRDefault="41028EAA" w:rsidP="3C0BAC93">
      <w:pPr>
        <w:pStyle w:val="Heading2"/>
        <w:numPr>
          <w:ilvl w:val="2"/>
          <w:numId w:val="27"/>
        </w:numPr>
        <w:spacing w:before="0" w:after="0"/>
        <w:ind w:left="1224" w:right="247" w:hanging="504"/>
        <w:jc w:val="both"/>
        <w:rPr>
          <w:rFonts w:ascii="Calibri" w:eastAsia="Calibri" w:hAnsi="Calibri" w:cs="Calibri"/>
          <w:b/>
          <w:bCs/>
          <w:sz w:val="22"/>
          <w:szCs w:val="22"/>
        </w:rPr>
      </w:pPr>
      <w:r w:rsidRPr="3C0BAC93">
        <w:rPr>
          <w:rFonts w:ascii="Calibri" w:eastAsia="Calibri" w:hAnsi="Calibri" w:cs="Calibri"/>
          <w:b/>
          <w:bCs/>
          <w:sz w:val="22"/>
          <w:szCs w:val="22"/>
        </w:rPr>
        <w:t>. Defensive STR or SAR Filings</w:t>
      </w:r>
    </w:p>
    <w:p w14:paraId="54BB8EB2" w14:textId="315AA05F" w:rsidR="0065131D" w:rsidRDefault="41028EAA" w:rsidP="3C0BAC93">
      <w:pPr>
        <w:spacing w:after="0"/>
        <w:ind w:left="709"/>
      </w:pPr>
      <w:r w:rsidRPr="3C0BAC93">
        <w:rPr>
          <w:rFonts w:ascii="Calibri" w:eastAsia="Calibri" w:hAnsi="Calibri" w:cs="Calibri"/>
        </w:rPr>
        <w:t xml:space="preserve">Defensive filing is the practice of filing STRs or SARs on transactions or activity(ies) that  UAE do not deem truly suspicious in order to reduce the risk of regulatory penalties for non-filing of STRs or SARs. Although there may be some aspect of the transaction or activity creating potential suspicion, defensive filings do not report on activity that  UAE truly considers suspicious. As such, defensive filings are generally discouraged given that such filings diminish the value of STRs and SARs, including by leading to an increase in non-valuable filings. </w:t>
      </w:r>
    </w:p>
    <w:p w14:paraId="3346CF19" w14:textId="3C3CC121" w:rsidR="0065131D" w:rsidRDefault="41028EAA" w:rsidP="3C0BAC93">
      <w:pPr>
        <w:spacing w:after="0"/>
        <w:ind w:left="993"/>
      </w:pPr>
      <w:r w:rsidRPr="3C0BAC93">
        <w:rPr>
          <w:rFonts w:ascii="Calibri" w:eastAsia="Calibri" w:hAnsi="Calibri" w:cs="Calibri"/>
        </w:rPr>
        <w:t xml:space="preserve"> </w:t>
      </w:r>
    </w:p>
    <w:p w14:paraId="6FCB684B" w14:textId="5E1EA4C7" w:rsidR="0065131D" w:rsidRDefault="41028EAA" w:rsidP="3C0BAC93">
      <w:pPr>
        <w:spacing w:after="0"/>
        <w:ind w:left="709"/>
      </w:pPr>
      <w:r w:rsidRPr="3C0BAC93">
        <w:rPr>
          <w:rFonts w:ascii="Calibri" w:eastAsia="Calibri" w:hAnsi="Calibri" w:cs="Calibri"/>
        </w:rPr>
        <w:t xml:space="preserve">An STR, SAR, and other report types will be of the best possible quality, including in that it will have a clearly written narrative with sufficient detail that comprehensively articulates the factors involving the reported suspicious transaction or activity. As a </w:t>
      </w:r>
      <w:r w:rsidRPr="3C0BAC93">
        <w:rPr>
          <w:rFonts w:ascii="Calibri" w:eastAsia="Calibri" w:hAnsi="Calibri" w:cs="Calibri"/>
        </w:rPr>
        <w:lastRenderedPageBreak/>
        <w:t>result, the CBUAE/DFSA considers defensive STR or SARs as indicative of an inefficient transaction monitoring system and  UAE weak system of internal controls.  UAE may be asked to correct such deficiencies as part of broader supervisory measures provided by applicable law, including administrative sanctions, temporary limitation to business activities, etc. If, for any reason,  UAE needs additional data to assess whether unusual activity is truly suspicious,  UAE will review other mechanisms—such as expanding the time period for reviewing alerted transactions (e.g., from 30 days to 90 days) or reviewing threshold-based reports—to make the determination that an STR or SAR is required.</w:t>
      </w:r>
    </w:p>
    <w:p w14:paraId="3CBD89D7" w14:textId="2E705A0F" w:rsidR="0065131D" w:rsidRDefault="41028EAA" w:rsidP="3C0BAC93">
      <w:pPr>
        <w:spacing w:after="0"/>
      </w:pPr>
      <w:r w:rsidRPr="3C0BAC93">
        <w:rPr>
          <w:rFonts w:ascii="Calibri" w:eastAsia="Calibri" w:hAnsi="Calibri" w:cs="Calibri"/>
        </w:rPr>
        <w:t xml:space="preserve"> </w:t>
      </w:r>
    </w:p>
    <w:p w14:paraId="25C64915" w14:textId="6F249F66"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How to Submit an STR and Other Report Types</w:t>
      </w:r>
    </w:p>
    <w:p w14:paraId="1C62C26E" w14:textId="49AB7C3A" w:rsidR="0065131D" w:rsidRDefault="41028EAA" w:rsidP="3C0BAC93">
      <w:pPr>
        <w:spacing w:after="0"/>
        <w:ind w:left="709" w:firstLine="142"/>
      </w:pPr>
      <w:r w:rsidRPr="3C0BAC93">
        <w:rPr>
          <w:rFonts w:ascii="Calibri" w:eastAsia="Calibri" w:hAnsi="Calibri" w:cs="Calibri"/>
        </w:rPr>
        <w:t xml:space="preserve"> UAE is required to submit suspicious transaction and activity reports directly to the FIU using the “goAML” portal, and registration in the system is mandatory under CBUAE’s / DFSA supervision. According to the Guidelines on Anti-Money Laundering and Combating the Financing of Terrorism and Illicit Organizations for Financial Institutions, the FIU has launched the goAML system for the purposes of facilitating the filing of STRs, SARs, and other report types by all  UAE branches.  UAE (Dubai as a Main Branch for UAE onshore branches/DIFC Branch) has registered itself on the goAML system by following the “GoAML Registration Guide” and maintaining their registration in an “active” status.  UAE Compliance Officer or MLRO can register as the user of the system. GoAML provides a secure link from each  to the FIU through their respective supervisory authorities. The system also has an .xml schema for filing batches of STRs. Failure to register within the goAML system may result in a breach of the  UAE AML/CFT obligations and will be dealt with in accordance with the prevailing legal provisions related to non-compliance.</w:t>
      </w:r>
    </w:p>
    <w:p w14:paraId="7428FAD4" w14:textId="01389A5B" w:rsidR="0065131D" w:rsidRDefault="41028EAA" w:rsidP="3C0BAC93">
      <w:pPr>
        <w:spacing w:after="0"/>
      </w:pPr>
      <w:r w:rsidRPr="3C0BAC93">
        <w:rPr>
          <w:rFonts w:ascii="Calibri" w:eastAsia="Calibri" w:hAnsi="Calibri" w:cs="Calibri"/>
        </w:rPr>
        <w:t xml:space="preserve"> </w:t>
      </w:r>
    </w:p>
    <w:p w14:paraId="23144DC5" w14:textId="5EC37A3F" w:rsidR="0065131D" w:rsidRDefault="41028EAA" w:rsidP="3C0BAC93">
      <w:pPr>
        <w:spacing w:after="0"/>
        <w:ind w:left="709"/>
      </w:pPr>
      <w:r w:rsidRPr="3C0BAC93">
        <w:rPr>
          <w:rFonts w:ascii="Calibri" w:eastAsia="Calibri" w:hAnsi="Calibri" w:cs="Calibri"/>
        </w:rPr>
        <w:t>According to the “goAML XML Submission Guide,” the goAML system reflects multiple mandatory fields, business rules, and various binding scenarios. Combined, the system only accepts reports that pass through the minimum requirements set by the FIU. Mandatory fields for submitting a report in the goAML system are noted below.</w:t>
      </w:r>
    </w:p>
    <w:p w14:paraId="5BB1E63D" w14:textId="2438D446" w:rsidR="0065131D" w:rsidRDefault="41028EAA" w:rsidP="3C0BAC93">
      <w:pPr>
        <w:pStyle w:val="Heading3"/>
        <w:tabs>
          <w:tab w:val="left" w:pos="720"/>
        </w:tabs>
        <w:spacing w:before="240" w:after="60"/>
        <w:ind w:left="709"/>
        <w:jc w:val="both"/>
      </w:pPr>
      <w:r w:rsidRPr="3C0BAC93">
        <w:rPr>
          <w:rFonts w:ascii="Arial Narrow" w:eastAsia="Arial Narrow" w:hAnsi="Arial Narrow" w:cs="Arial Narrow"/>
          <w:b/>
          <w:bCs/>
          <w:i/>
          <w:iCs/>
          <w:sz w:val="19"/>
          <w:szCs w:val="19"/>
        </w:rPr>
        <w:t xml:space="preserve">Select the Report Type [ GoAML XML Submission Guide]: </w:t>
      </w:r>
    </w:p>
    <w:p w14:paraId="5576F468" w14:textId="692FDD00" w:rsidR="0065131D" w:rsidRDefault="41028EAA" w:rsidP="3C0BAC93">
      <w:pPr>
        <w:tabs>
          <w:tab w:val="left" w:pos="2103"/>
        </w:tabs>
        <w:spacing w:after="0" w:line="288" w:lineRule="auto"/>
        <w:ind w:left="709" w:right="189"/>
        <w:jc w:val="both"/>
      </w:pPr>
      <w:r w:rsidRPr="3C0BAC93">
        <w:rPr>
          <w:rFonts w:ascii="Calibri" w:eastAsia="Calibri" w:hAnsi="Calibri" w:cs="Calibri"/>
        </w:rPr>
        <w:t>A Compliance Officer or MLRO will select a report type and populate all available details in the ‘Report Cover’ as depicted below:</w:t>
      </w:r>
    </w:p>
    <w:p w14:paraId="6C16CA42" w14:textId="377FC9CB" w:rsidR="0065131D" w:rsidRDefault="41028EAA" w:rsidP="3C0BAC93">
      <w:pPr>
        <w:tabs>
          <w:tab w:val="left" w:pos="2103"/>
        </w:tabs>
        <w:spacing w:after="0" w:line="288" w:lineRule="auto"/>
        <w:ind w:left="851" w:right="189"/>
        <w:jc w:val="both"/>
      </w:pPr>
      <w:r w:rsidRPr="3C0BAC93">
        <w:rPr>
          <w:rFonts w:ascii="Calibri" w:eastAsia="Calibri" w:hAnsi="Calibri" w:cs="Calibri"/>
        </w:rPr>
        <w:t xml:space="preserve"> </w:t>
      </w:r>
    </w:p>
    <w:p w14:paraId="0B01A43F" w14:textId="5B2ACDC9" w:rsidR="0065131D" w:rsidRDefault="41028EAA" w:rsidP="3C0BAC93">
      <w:pPr>
        <w:tabs>
          <w:tab w:val="left" w:pos="2103"/>
        </w:tabs>
        <w:spacing w:after="0" w:line="288" w:lineRule="auto"/>
        <w:ind w:left="851" w:right="189"/>
        <w:jc w:val="both"/>
      </w:pPr>
      <w:r w:rsidRPr="3C0BAC93">
        <w:rPr>
          <w:rFonts w:ascii="Calibri" w:eastAsia="Calibri" w:hAnsi="Calibri" w:cs="Calibri"/>
        </w:rPr>
        <w:t xml:space="preserve"> </w:t>
      </w:r>
    </w:p>
    <w:p w14:paraId="2745CC24" w14:textId="27E933FA" w:rsidR="0065131D" w:rsidRDefault="41028EAA" w:rsidP="3C0BAC93">
      <w:pPr>
        <w:tabs>
          <w:tab w:val="left" w:pos="2103"/>
        </w:tabs>
        <w:spacing w:after="0" w:line="288" w:lineRule="auto"/>
        <w:ind w:left="851" w:right="189"/>
        <w:jc w:val="both"/>
      </w:pPr>
      <w:r w:rsidRPr="3C0BAC93">
        <w:rPr>
          <w:rFonts w:ascii="Calibri" w:eastAsia="Calibri" w:hAnsi="Calibri" w:cs="Calibri"/>
        </w:rPr>
        <w:t xml:space="preserve"> </w:t>
      </w:r>
    </w:p>
    <w:p w14:paraId="6B0EF1D2" w14:textId="6E58943E" w:rsidR="0065131D" w:rsidRDefault="41028EAA" w:rsidP="3C0BAC93">
      <w:pPr>
        <w:tabs>
          <w:tab w:val="left" w:pos="2103"/>
        </w:tabs>
        <w:spacing w:after="0" w:line="288" w:lineRule="auto"/>
        <w:ind w:left="851" w:right="189"/>
        <w:jc w:val="both"/>
      </w:pPr>
      <w:r w:rsidRPr="3C0BAC93">
        <w:rPr>
          <w:rFonts w:ascii="Calibri" w:eastAsia="Calibri" w:hAnsi="Calibri" w:cs="Calibri"/>
        </w:rPr>
        <w:t xml:space="preserve"> </w:t>
      </w:r>
    </w:p>
    <w:p w14:paraId="00C0A237" w14:textId="242EB6DE" w:rsidR="0065131D" w:rsidRDefault="41028EAA" w:rsidP="3C0BAC93">
      <w:pPr>
        <w:tabs>
          <w:tab w:val="left" w:pos="2103"/>
        </w:tabs>
        <w:spacing w:after="0" w:line="288" w:lineRule="auto"/>
        <w:ind w:right="189"/>
        <w:jc w:val="both"/>
      </w:pPr>
      <w:r w:rsidRPr="3C0BAC93">
        <w:rPr>
          <w:rFonts w:ascii="Calibri" w:eastAsia="Calibri" w:hAnsi="Calibri" w:cs="Calibri"/>
        </w:rPr>
        <w:lastRenderedPageBreak/>
        <w:t xml:space="preserve"> </w:t>
      </w:r>
    </w:p>
    <w:tbl>
      <w:tblPr>
        <w:tblStyle w:val="TableGrid"/>
        <w:tblW w:w="0" w:type="auto"/>
        <w:tblLook w:val="04A0" w:firstRow="1" w:lastRow="0" w:firstColumn="1" w:lastColumn="0" w:noHBand="0" w:noVBand="1"/>
      </w:tblPr>
      <w:tblGrid>
        <w:gridCol w:w="5077"/>
        <w:gridCol w:w="4273"/>
      </w:tblGrid>
      <w:tr w:rsidR="3C0BAC93" w14:paraId="2335C6A8" w14:textId="77777777" w:rsidTr="3C0BAC93">
        <w:trPr>
          <w:trHeight w:val="690"/>
        </w:trPr>
        <w:tc>
          <w:tcPr>
            <w:tcW w:w="5430" w:type="dxa"/>
            <w:tcBorders>
              <w:top w:val="single" w:sz="4" w:space="0" w:color="auto"/>
              <w:left w:val="single" w:sz="4" w:space="0" w:color="auto"/>
              <w:bottom w:val="single" w:sz="4" w:space="0" w:color="auto"/>
              <w:right w:val="single" w:sz="4" w:space="0" w:color="auto"/>
            </w:tcBorders>
            <w:tcMar>
              <w:left w:w="108" w:type="dxa"/>
              <w:right w:w="108" w:type="dxa"/>
            </w:tcMar>
          </w:tcPr>
          <w:p w14:paraId="3FE09CC8" w14:textId="6B20DC24" w:rsidR="3C0BAC93" w:rsidRDefault="3C0BAC93" w:rsidP="3C0BAC93">
            <w:pPr>
              <w:pStyle w:val="ListParagraph"/>
              <w:numPr>
                <w:ilvl w:val="0"/>
                <w:numId w:val="13"/>
              </w:numPr>
              <w:ind w:left="448" w:right="293" w:hanging="351"/>
              <w:rPr>
                <w:rFonts w:ascii="Calibri" w:eastAsia="Calibri" w:hAnsi="Calibri" w:cs="Calibri"/>
              </w:rPr>
            </w:pPr>
            <w:r w:rsidRPr="3C0BAC93">
              <w:rPr>
                <w:rFonts w:ascii="Calibri" w:eastAsia="Calibri" w:hAnsi="Calibri" w:cs="Calibri"/>
              </w:rPr>
              <w:t>Reporting Entity ID – Entity name as per the registration (auto-generated)</w:t>
            </w:r>
          </w:p>
          <w:p w14:paraId="592FB174" w14:textId="54E9BA32" w:rsidR="3C0BAC93" w:rsidRDefault="3C0BAC93" w:rsidP="3C0BAC93">
            <w:pPr>
              <w:pStyle w:val="ListParagraph"/>
              <w:numPr>
                <w:ilvl w:val="0"/>
                <w:numId w:val="13"/>
              </w:numPr>
              <w:spacing w:line="242" w:lineRule="auto"/>
              <w:ind w:left="448" w:right="624" w:hanging="351"/>
              <w:rPr>
                <w:rFonts w:ascii="Calibri" w:eastAsia="Calibri" w:hAnsi="Calibri" w:cs="Calibri"/>
              </w:rPr>
            </w:pPr>
            <w:r w:rsidRPr="3C0BAC93">
              <w:rPr>
                <w:rFonts w:ascii="Calibri" w:eastAsia="Calibri" w:hAnsi="Calibri" w:cs="Calibri"/>
              </w:rPr>
              <w:t>Internal STR/SAR # – Internal STR/SAR number</w:t>
            </w:r>
          </w:p>
          <w:p w14:paraId="0354433E" w14:textId="74E687F7" w:rsidR="3C0BAC93" w:rsidRDefault="3C0BAC93" w:rsidP="3C0BAC93">
            <w:pPr>
              <w:pStyle w:val="ListParagraph"/>
              <w:numPr>
                <w:ilvl w:val="0"/>
                <w:numId w:val="13"/>
              </w:numPr>
              <w:spacing w:line="242" w:lineRule="auto"/>
              <w:ind w:left="448" w:right="446" w:hanging="351"/>
              <w:rPr>
                <w:rFonts w:ascii="Calibri" w:eastAsia="Calibri" w:hAnsi="Calibri" w:cs="Calibri"/>
              </w:rPr>
            </w:pPr>
            <w:r w:rsidRPr="3C0BAC93">
              <w:rPr>
                <w:rFonts w:ascii="Calibri" w:eastAsia="Calibri" w:hAnsi="Calibri" w:cs="Calibri"/>
              </w:rPr>
              <w:t>Submission Date* – Date of escalating the Report to the FIU (auto-generated)</w:t>
            </w:r>
          </w:p>
          <w:p w14:paraId="003ED9C2" w14:textId="2CDBE839" w:rsidR="3C0BAC93" w:rsidRDefault="3C0BAC93" w:rsidP="3C0BAC93">
            <w:pPr>
              <w:pStyle w:val="ListParagraph"/>
              <w:numPr>
                <w:ilvl w:val="0"/>
                <w:numId w:val="13"/>
              </w:numPr>
              <w:spacing w:line="245" w:lineRule="auto"/>
              <w:ind w:left="448" w:right="126" w:hanging="351"/>
              <w:rPr>
                <w:rFonts w:ascii="Calibri" w:eastAsia="Calibri" w:hAnsi="Calibri" w:cs="Calibri"/>
              </w:rPr>
            </w:pPr>
            <w:r w:rsidRPr="3C0BAC93">
              <w:rPr>
                <w:rFonts w:ascii="Calibri" w:eastAsia="Calibri" w:hAnsi="Calibri" w:cs="Calibri"/>
              </w:rPr>
              <w:t>Description/Summary of the Report* – Brief overview for the suspicion/reason for submitting this report to the FIU. This field is only mandatory for STR and SAR report types</w:t>
            </w:r>
          </w:p>
          <w:p w14:paraId="0A59B47B" w14:textId="440603BC" w:rsidR="3C0BAC93" w:rsidRDefault="3C0BAC93" w:rsidP="3C0BAC93">
            <w:pPr>
              <w:pStyle w:val="ListParagraph"/>
              <w:numPr>
                <w:ilvl w:val="0"/>
                <w:numId w:val="13"/>
              </w:numPr>
              <w:ind w:left="448" w:right="296" w:hanging="351"/>
              <w:rPr>
                <w:rFonts w:ascii="Calibri" w:eastAsia="Calibri" w:hAnsi="Calibri" w:cs="Calibri"/>
              </w:rPr>
            </w:pPr>
            <w:r w:rsidRPr="3C0BAC93">
              <w:rPr>
                <w:rFonts w:ascii="Calibri" w:eastAsia="Calibri" w:hAnsi="Calibri" w:cs="Calibri"/>
              </w:rPr>
              <w:t>Reporting Entity Branch – Branch where the main subject(s) of the report were identified</w:t>
            </w:r>
          </w:p>
        </w:tc>
        <w:tc>
          <w:tcPr>
            <w:tcW w:w="4500" w:type="dxa"/>
            <w:tcBorders>
              <w:top w:val="single" w:sz="4" w:space="0" w:color="auto"/>
              <w:left w:val="single" w:sz="4" w:space="0" w:color="auto"/>
              <w:bottom w:val="single" w:sz="4" w:space="0" w:color="auto"/>
              <w:right w:val="single" w:sz="4" w:space="0" w:color="auto"/>
            </w:tcBorders>
            <w:tcMar>
              <w:left w:w="108" w:type="dxa"/>
              <w:right w:w="108" w:type="dxa"/>
            </w:tcMar>
          </w:tcPr>
          <w:p w14:paraId="770EBD19" w14:textId="520F01C1" w:rsidR="3C0BAC93" w:rsidRDefault="3C0BAC93" w:rsidP="3C0BAC93">
            <w:pPr>
              <w:pStyle w:val="ListParagraph"/>
              <w:numPr>
                <w:ilvl w:val="0"/>
                <w:numId w:val="12"/>
              </w:numPr>
              <w:ind w:left="448" w:right="152" w:hanging="351"/>
              <w:rPr>
                <w:rFonts w:ascii="Calibri" w:eastAsia="Calibri" w:hAnsi="Calibri" w:cs="Calibri"/>
              </w:rPr>
            </w:pPr>
            <w:r w:rsidRPr="3C0BAC93">
              <w:rPr>
                <w:rFonts w:ascii="Calibri" w:eastAsia="Calibri" w:hAnsi="Calibri" w:cs="Calibri"/>
              </w:rPr>
              <w:t>Report Type* – Report type relevant to the suspicion/reason for submission to the FIU</w:t>
            </w:r>
          </w:p>
          <w:p w14:paraId="329817F4" w14:textId="3ED0FADB" w:rsidR="3C0BAC93" w:rsidRDefault="3C0BAC93" w:rsidP="3C0BAC93">
            <w:pPr>
              <w:pStyle w:val="ListParagraph"/>
              <w:numPr>
                <w:ilvl w:val="0"/>
                <w:numId w:val="12"/>
              </w:numPr>
              <w:spacing w:line="242" w:lineRule="auto"/>
              <w:ind w:left="448" w:right="120" w:hanging="351"/>
              <w:rPr>
                <w:rFonts w:ascii="Calibri" w:eastAsia="Calibri" w:hAnsi="Calibri" w:cs="Calibri"/>
              </w:rPr>
            </w:pPr>
            <w:r w:rsidRPr="3C0BAC93">
              <w:rPr>
                <w:rFonts w:ascii="Calibri" w:eastAsia="Calibri" w:hAnsi="Calibri" w:cs="Calibri"/>
              </w:rPr>
              <w:t>FIU Reference – Only applicable in the case of AIF/RFI/ AIFT/RFIT type reports. Provide the corresponding case number as specified in the Message Board communication sent by the FIU</w:t>
            </w:r>
          </w:p>
          <w:p w14:paraId="1306796D" w14:textId="6DDE51E1" w:rsidR="3C0BAC93" w:rsidRDefault="3C0BAC93" w:rsidP="3C0BAC93">
            <w:pPr>
              <w:pStyle w:val="ListParagraph"/>
              <w:numPr>
                <w:ilvl w:val="0"/>
                <w:numId w:val="12"/>
              </w:numPr>
              <w:spacing w:line="242" w:lineRule="auto"/>
              <w:ind w:left="448" w:right="143" w:hanging="351"/>
              <w:rPr>
                <w:rFonts w:ascii="Calibri" w:eastAsia="Calibri" w:hAnsi="Calibri" w:cs="Calibri"/>
              </w:rPr>
            </w:pPr>
            <w:r w:rsidRPr="3C0BAC93">
              <w:rPr>
                <w:rFonts w:ascii="Calibri" w:eastAsia="Calibri" w:hAnsi="Calibri" w:cs="Calibri"/>
              </w:rPr>
              <w:t>Action Taken by Reporting Entity* – The action(s) taken by the reporting entity post- identifying the reason for suspicion/submission</w:t>
            </w:r>
          </w:p>
        </w:tc>
      </w:tr>
    </w:tbl>
    <w:p w14:paraId="78290738" w14:textId="128F9020" w:rsidR="0065131D" w:rsidRDefault="41028EAA" w:rsidP="3C0BAC93">
      <w:pPr>
        <w:tabs>
          <w:tab w:val="left" w:pos="2103"/>
        </w:tabs>
        <w:spacing w:after="0" w:line="288" w:lineRule="auto"/>
        <w:ind w:right="189"/>
        <w:jc w:val="both"/>
      </w:pPr>
      <w:r w:rsidRPr="3C0BAC93">
        <w:rPr>
          <w:rFonts w:ascii="Calibri" w:eastAsia="Calibri" w:hAnsi="Calibri" w:cs="Calibri"/>
        </w:rPr>
        <w:t xml:space="preserve"> </w:t>
      </w:r>
    </w:p>
    <w:p w14:paraId="4FECA286" w14:textId="33A632BA" w:rsidR="0065131D" w:rsidRDefault="41028EAA" w:rsidP="3C0BAC93">
      <w:pPr>
        <w:spacing w:after="0"/>
        <w:ind w:left="851" w:hanging="142"/>
      </w:pPr>
      <w:r w:rsidRPr="3C0BAC93">
        <w:rPr>
          <w:rFonts w:ascii="Calibri" w:eastAsia="Calibri" w:hAnsi="Calibri" w:cs="Calibri"/>
          <w:b/>
          <w:bCs/>
        </w:rPr>
        <w:t>MLRO Details [ GoAML XML Registration Guide</w:t>
      </w:r>
      <w:r w:rsidRPr="3C0BAC93">
        <w:rPr>
          <w:rFonts w:ascii="Calibri" w:eastAsia="Calibri" w:hAnsi="Calibri" w:cs="Calibri"/>
        </w:rPr>
        <w:t xml:space="preserve">]: </w:t>
      </w:r>
    </w:p>
    <w:p w14:paraId="5838D91A" w14:textId="4FD09DE1" w:rsidR="0065131D" w:rsidRDefault="41028EAA" w:rsidP="3C0BAC93">
      <w:pPr>
        <w:spacing w:after="0"/>
        <w:ind w:left="709" w:firstLine="11"/>
      </w:pPr>
      <w:r w:rsidRPr="3C0BAC93">
        <w:rPr>
          <w:rFonts w:ascii="Calibri" w:eastAsia="Calibri" w:hAnsi="Calibri" w:cs="Calibri"/>
        </w:rPr>
        <w:t>This section of the report includes details on the Compliance Officer, MLRO, or individual filing the report, which is automatically populated using the details provided during the registration phase.</w:t>
      </w:r>
    </w:p>
    <w:p w14:paraId="54AF7886" w14:textId="481997E9" w:rsidR="0065131D" w:rsidRDefault="41028EAA" w:rsidP="3C0BAC93">
      <w:pPr>
        <w:spacing w:after="0"/>
        <w:ind w:left="709"/>
      </w:pPr>
      <w:r w:rsidRPr="3C0BAC93">
        <w:rPr>
          <w:rFonts w:ascii="Calibri" w:eastAsia="Calibri" w:hAnsi="Calibri" w:cs="Calibri"/>
          <w:b/>
          <w:bCs/>
        </w:rPr>
        <w:t>Location of the Incident [GoAML XML Registration Guide]</w:t>
      </w:r>
      <w:r w:rsidRPr="3C0BAC93">
        <w:rPr>
          <w:rFonts w:ascii="Calibri" w:eastAsia="Calibri" w:hAnsi="Calibri" w:cs="Calibri"/>
        </w:rPr>
        <w:t>: The location of the incident requires the location where the suspicious incident/transaction originated from. This is mandatory for STR and SAR report types.</w:t>
      </w:r>
    </w:p>
    <w:p w14:paraId="66176AF9" w14:textId="201CC9A3" w:rsidR="0065131D" w:rsidRDefault="41028EAA" w:rsidP="3C0BAC93">
      <w:pPr>
        <w:spacing w:after="0"/>
        <w:ind w:left="709"/>
      </w:pPr>
      <w:r w:rsidRPr="3C0BAC93">
        <w:rPr>
          <w:rFonts w:ascii="Calibri" w:eastAsia="Calibri" w:hAnsi="Calibri" w:cs="Calibri"/>
          <w:b/>
          <w:bCs/>
        </w:rPr>
        <w:t>Reason for Reporting [ GoAML XML Registration Guide]:</w:t>
      </w:r>
      <w:r w:rsidRPr="3C0BAC93">
        <w:rPr>
          <w:rFonts w:ascii="Calibri" w:eastAsia="Calibri" w:hAnsi="Calibri" w:cs="Calibri"/>
        </w:rPr>
        <w:t xml:space="preserve"> The  is expected to select the most appropriate reason for reporting available from the menu selection provided. If necessary, more than one reason may also be provided. It is imperative that the correct Reason for Reporting (“RFR”) is chosen for STRs or SARs submitted in the goAML system.</w:t>
      </w:r>
    </w:p>
    <w:p w14:paraId="08CB7E32" w14:textId="309752ED" w:rsidR="0065131D" w:rsidRDefault="41028EAA" w:rsidP="3C0BAC93">
      <w:pPr>
        <w:spacing w:after="0"/>
        <w:ind w:left="709"/>
      </w:pPr>
      <w:r w:rsidRPr="3C0BAC93">
        <w:rPr>
          <w:rFonts w:ascii="Calibri" w:eastAsia="Calibri" w:hAnsi="Calibri" w:cs="Calibri"/>
          <w:b/>
          <w:bCs/>
        </w:rPr>
        <w:t>Transactions [GoAML XML Registration Guide]:</w:t>
      </w:r>
      <w:r w:rsidRPr="3C0BAC93">
        <w:rPr>
          <w:rFonts w:ascii="Calibri" w:eastAsia="Calibri" w:hAnsi="Calibri" w:cs="Calibri"/>
        </w:rPr>
        <w:t xml:space="preserve"> If the reported activity involves transaction(s), the  UAE will populate the following transaction details:</w:t>
      </w:r>
    </w:p>
    <w:p w14:paraId="031CD6AB" w14:textId="1B99DDE0" w:rsidR="0065131D" w:rsidRDefault="41028EAA" w:rsidP="3C0BAC93">
      <w:pPr>
        <w:spacing w:after="0"/>
      </w:pPr>
      <w:r w:rsidRPr="3C0BAC93">
        <w:rPr>
          <w:rFonts w:ascii="Calibri" w:eastAsia="Calibri" w:hAnsi="Calibri" w:cs="Calibri"/>
        </w:rPr>
        <w:t xml:space="preserve"> </w:t>
      </w:r>
    </w:p>
    <w:tbl>
      <w:tblPr>
        <w:tblStyle w:val="TableGrid"/>
        <w:tblW w:w="0" w:type="auto"/>
        <w:tblInd w:w="285" w:type="dxa"/>
        <w:tblLook w:val="04A0" w:firstRow="1" w:lastRow="0" w:firstColumn="1" w:lastColumn="0" w:noHBand="0" w:noVBand="1"/>
      </w:tblPr>
      <w:tblGrid>
        <w:gridCol w:w="4896"/>
        <w:gridCol w:w="4169"/>
      </w:tblGrid>
      <w:tr w:rsidR="3C0BAC93" w14:paraId="11D840E3" w14:textId="77777777" w:rsidTr="3C0BAC93">
        <w:trPr>
          <w:trHeight w:val="3510"/>
        </w:trPr>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5C2984B8" w14:textId="461B4E67" w:rsidR="3C0BAC93" w:rsidRDefault="3C0BAC93" w:rsidP="3C0BAC93">
            <w:pPr>
              <w:pStyle w:val="ListParagraph"/>
              <w:numPr>
                <w:ilvl w:val="0"/>
                <w:numId w:val="11"/>
              </w:numPr>
              <w:ind w:left="448" w:hanging="351"/>
              <w:rPr>
                <w:rFonts w:ascii="Calibri" w:eastAsia="Calibri" w:hAnsi="Calibri" w:cs="Calibri"/>
              </w:rPr>
            </w:pPr>
            <w:r w:rsidRPr="3C0BAC93">
              <w:rPr>
                <w:rFonts w:ascii="Calibri" w:eastAsia="Calibri" w:hAnsi="Calibri" w:cs="Calibri"/>
              </w:rPr>
              <w:lastRenderedPageBreak/>
              <w:t>Transaction Ref. Number* – Kindly use the auto-generate button to generate a unique identification number if the  is not a Bank/Exchange House</w:t>
            </w:r>
            <w:r>
              <w:br/>
            </w:r>
            <w:r w:rsidRPr="3C0BAC93">
              <w:rPr>
                <w:rFonts w:ascii="Calibri" w:eastAsia="Calibri" w:hAnsi="Calibri" w:cs="Calibri"/>
              </w:rPr>
              <w:t xml:space="preserve"> Reporting Entity Internal Reference Number*</w:t>
            </w:r>
          </w:p>
          <w:p w14:paraId="4EE0D6CB" w14:textId="1B26FE02" w:rsidR="3C0BAC93" w:rsidRDefault="3C0BAC93" w:rsidP="3C0BAC93">
            <w:pPr>
              <w:spacing w:before="6" w:line="242" w:lineRule="auto"/>
              <w:ind w:left="448" w:right="733"/>
            </w:pPr>
            <w:r w:rsidRPr="3C0BAC93">
              <w:rPr>
                <w:rFonts w:ascii="Calibri" w:eastAsia="Calibri" w:hAnsi="Calibri" w:cs="Calibri"/>
              </w:rPr>
              <w:t>– Reporting entity's internal transaction reference number</w:t>
            </w:r>
          </w:p>
          <w:p w14:paraId="22FFA956" w14:textId="641AB8A9" w:rsidR="3C0BAC93" w:rsidRDefault="3C0BAC93" w:rsidP="3C0BAC93">
            <w:pPr>
              <w:pStyle w:val="ListParagraph"/>
              <w:numPr>
                <w:ilvl w:val="0"/>
                <w:numId w:val="11"/>
              </w:numPr>
              <w:ind w:left="448" w:right="510" w:hanging="351"/>
              <w:rPr>
                <w:rFonts w:ascii="Calibri" w:eastAsia="Calibri" w:hAnsi="Calibri" w:cs="Calibri"/>
              </w:rPr>
            </w:pPr>
            <w:r w:rsidRPr="3C0BAC93">
              <w:rPr>
                <w:rFonts w:ascii="Calibri" w:eastAsia="Calibri" w:hAnsi="Calibri" w:cs="Calibri"/>
              </w:rPr>
              <w:t>Type of Transaction* – The mode used to conduct the transaction being reported</w:t>
            </w:r>
          </w:p>
          <w:p w14:paraId="7D22D7ED" w14:textId="5052F3CF" w:rsidR="3C0BAC93" w:rsidRDefault="3C0BAC93" w:rsidP="3C0BAC93">
            <w:pPr>
              <w:pStyle w:val="ListParagraph"/>
              <w:numPr>
                <w:ilvl w:val="0"/>
                <w:numId w:val="11"/>
              </w:numPr>
              <w:ind w:left="448" w:right="235" w:hanging="351"/>
              <w:rPr>
                <w:rFonts w:ascii="Calibri" w:eastAsia="Calibri" w:hAnsi="Calibri" w:cs="Calibri"/>
              </w:rPr>
            </w:pPr>
            <w:r w:rsidRPr="3C0BAC93">
              <w:rPr>
                <w:rFonts w:ascii="Calibri" w:eastAsia="Calibri" w:hAnsi="Calibri" w:cs="Calibri"/>
              </w:rPr>
              <w:t>Late Deposit – Does this transaction account as a late deposit? (Yes or No)</w:t>
            </w:r>
          </w:p>
          <w:p w14:paraId="7EB08672" w14:textId="2654ADA6" w:rsidR="3C0BAC93" w:rsidRDefault="3C0BAC93" w:rsidP="3C0BAC93">
            <w:pPr>
              <w:pStyle w:val="ListParagraph"/>
              <w:numPr>
                <w:ilvl w:val="0"/>
                <w:numId w:val="11"/>
              </w:numPr>
              <w:spacing w:line="242" w:lineRule="auto"/>
              <w:ind w:left="448" w:right="169" w:hanging="351"/>
              <w:rPr>
                <w:rFonts w:ascii="Calibri" w:eastAsia="Calibri" w:hAnsi="Calibri" w:cs="Calibri"/>
              </w:rPr>
            </w:pPr>
            <w:r w:rsidRPr="3C0BAC93">
              <w:rPr>
                <w:rFonts w:ascii="Calibri" w:eastAsia="Calibri" w:hAnsi="Calibri" w:cs="Calibri"/>
              </w:rPr>
              <w:t>Total Suspected Amount* (AED) – Suspected amount in AED</w:t>
            </w:r>
          </w:p>
          <w:p w14:paraId="17FDA7F8" w14:textId="128B9F9A" w:rsidR="3C0BAC93" w:rsidRDefault="3C0BAC93" w:rsidP="3C0BAC93">
            <w:pPr>
              <w:pStyle w:val="ListParagraph"/>
              <w:numPr>
                <w:ilvl w:val="0"/>
                <w:numId w:val="11"/>
              </w:numPr>
              <w:ind w:left="448" w:hanging="351"/>
              <w:rPr>
                <w:rFonts w:ascii="Calibri" w:eastAsia="Calibri" w:hAnsi="Calibri" w:cs="Calibri"/>
              </w:rPr>
            </w:pPr>
            <w:r w:rsidRPr="3C0BAC93">
              <w:rPr>
                <w:rFonts w:ascii="Calibri" w:eastAsia="Calibri" w:hAnsi="Calibri" w:cs="Calibri"/>
              </w:rPr>
              <w:t>Date* – Date when transaction was initiated</w:t>
            </w:r>
          </w:p>
          <w:p w14:paraId="25AD3AA1" w14:textId="77BB25EF" w:rsidR="3C0BAC93" w:rsidRDefault="3C0BAC93" w:rsidP="3C0BAC93">
            <w:pPr>
              <w:pStyle w:val="ListParagraph"/>
              <w:numPr>
                <w:ilvl w:val="0"/>
                <w:numId w:val="11"/>
              </w:numPr>
              <w:spacing w:line="242" w:lineRule="auto"/>
              <w:ind w:left="448" w:right="156" w:hanging="351"/>
              <w:rPr>
                <w:rFonts w:ascii="Calibri" w:eastAsia="Calibri" w:hAnsi="Calibri" w:cs="Calibri"/>
              </w:rPr>
            </w:pPr>
            <w:r w:rsidRPr="3C0BAC93">
              <w:rPr>
                <w:rFonts w:ascii="Calibri" w:eastAsia="Calibri" w:hAnsi="Calibri" w:cs="Calibri"/>
              </w:rPr>
              <w:t>Indemnified for Repatriation* – If the reporting entity has received an indemnity for repatriation</w:t>
            </w:r>
          </w:p>
        </w:tc>
        <w:tc>
          <w:tcPr>
            <w:tcW w:w="4395" w:type="dxa"/>
            <w:tcBorders>
              <w:top w:val="single" w:sz="4" w:space="0" w:color="auto"/>
              <w:left w:val="single" w:sz="4" w:space="0" w:color="auto"/>
              <w:bottom w:val="single" w:sz="4" w:space="0" w:color="auto"/>
              <w:right w:val="single" w:sz="4" w:space="0" w:color="auto"/>
            </w:tcBorders>
            <w:tcMar>
              <w:left w:w="108" w:type="dxa"/>
              <w:right w:w="108" w:type="dxa"/>
            </w:tcMar>
          </w:tcPr>
          <w:p w14:paraId="04385E9A" w14:textId="4AEEDF77" w:rsidR="3C0BAC93" w:rsidRDefault="3C0BAC93" w:rsidP="3C0BAC93">
            <w:pPr>
              <w:pStyle w:val="ListParagraph"/>
              <w:numPr>
                <w:ilvl w:val="0"/>
                <w:numId w:val="10"/>
              </w:numPr>
              <w:spacing w:line="242" w:lineRule="auto"/>
              <w:ind w:left="448" w:right="324" w:hanging="351"/>
              <w:jc w:val="both"/>
              <w:rPr>
                <w:rFonts w:ascii="Calibri" w:eastAsia="Calibri" w:hAnsi="Calibri" w:cs="Calibri"/>
              </w:rPr>
            </w:pPr>
            <w:r w:rsidRPr="3C0BAC93">
              <w:rPr>
                <w:rFonts w:ascii="Calibri" w:eastAsia="Calibri" w:hAnsi="Calibri" w:cs="Calibri"/>
              </w:rPr>
              <w:t>Transaction Executed by (Staff Name) – Name of the staff member who executed the transaction</w:t>
            </w:r>
          </w:p>
          <w:p w14:paraId="787E7648" w14:textId="2D64356D" w:rsidR="3C0BAC93" w:rsidRDefault="3C0BAC93" w:rsidP="3C0BAC93">
            <w:pPr>
              <w:pStyle w:val="ListParagraph"/>
              <w:numPr>
                <w:ilvl w:val="0"/>
                <w:numId w:val="10"/>
              </w:numPr>
              <w:spacing w:line="242" w:lineRule="auto"/>
              <w:ind w:left="448" w:right="217" w:hanging="351"/>
              <w:rPr>
                <w:rFonts w:ascii="Calibri" w:eastAsia="Calibri" w:hAnsi="Calibri" w:cs="Calibri"/>
              </w:rPr>
            </w:pPr>
            <w:r w:rsidRPr="3C0BAC93">
              <w:rPr>
                <w:rFonts w:ascii="Calibri" w:eastAsia="Calibri" w:hAnsi="Calibri" w:cs="Calibri"/>
              </w:rPr>
              <w:t>Authorizer – Name of the staff member responsible for authorizing the transaction</w:t>
            </w:r>
          </w:p>
          <w:p w14:paraId="288EF715" w14:textId="5CB15170" w:rsidR="3C0BAC93" w:rsidRDefault="3C0BAC93" w:rsidP="3C0BAC93">
            <w:pPr>
              <w:pStyle w:val="ListParagraph"/>
              <w:numPr>
                <w:ilvl w:val="0"/>
                <w:numId w:val="10"/>
              </w:numPr>
              <w:spacing w:line="242" w:lineRule="auto"/>
              <w:ind w:left="448" w:right="757" w:hanging="351"/>
              <w:rPr>
                <w:rFonts w:ascii="Calibri" w:eastAsia="Calibri" w:hAnsi="Calibri" w:cs="Calibri"/>
              </w:rPr>
            </w:pPr>
            <w:r w:rsidRPr="3C0BAC93">
              <w:rPr>
                <w:rFonts w:ascii="Calibri" w:eastAsia="Calibri" w:hAnsi="Calibri" w:cs="Calibri"/>
              </w:rPr>
              <w:t>Branch executing the transaction* – Branch where the transaction was executed</w:t>
            </w:r>
          </w:p>
          <w:p w14:paraId="1893A0AC" w14:textId="46DF6E04" w:rsidR="3C0BAC93" w:rsidRDefault="3C0BAC93" w:rsidP="3C0BAC93">
            <w:pPr>
              <w:pStyle w:val="ListParagraph"/>
              <w:numPr>
                <w:ilvl w:val="0"/>
                <w:numId w:val="10"/>
              </w:numPr>
              <w:spacing w:line="242" w:lineRule="auto"/>
              <w:ind w:left="448" w:right="130" w:hanging="351"/>
              <w:rPr>
                <w:rFonts w:ascii="Calibri" w:eastAsia="Calibri" w:hAnsi="Calibri" w:cs="Calibri"/>
              </w:rPr>
            </w:pPr>
            <w:r w:rsidRPr="3C0BAC93">
              <w:rPr>
                <w:rFonts w:ascii="Calibri" w:eastAsia="Calibri" w:hAnsi="Calibri" w:cs="Calibri"/>
              </w:rPr>
              <w:t>Date of receipt for recall request* (that field will only show if ‘Yes’ was selected for Indemnified for Repatriation) – The date when the reporting entity received the fund recall request</w:t>
            </w:r>
          </w:p>
          <w:p w14:paraId="4EE6A6DC" w14:textId="22D5EF67" w:rsidR="3C0BAC93" w:rsidRDefault="3C0BAC93" w:rsidP="3C0BAC93">
            <w:pPr>
              <w:pStyle w:val="ListParagraph"/>
              <w:numPr>
                <w:ilvl w:val="0"/>
                <w:numId w:val="10"/>
              </w:numPr>
              <w:ind w:left="448" w:right="193" w:hanging="351"/>
              <w:rPr>
                <w:rFonts w:ascii="Calibri" w:eastAsia="Calibri" w:hAnsi="Calibri" w:cs="Calibri"/>
              </w:rPr>
            </w:pPr>
            <w:r w:rsidRPr="3C0BAC93">
              <w:rPr>
                <w:rFonts w:ascii="Calibri" w:eastAsia="Calibri" w:hAnsi="Calibri" w:cs="Calibri"/>
              </w:rPr>
              <w:t>Purpose of the Transaction* – Purpose for executing the transaction</w:t>
            </w:r>
          </w:p>
          <w:p w14:paraId="640D0936" w14:textId="61871191" w:rsidR="3C0BAC93" w:rsidRDefault="3C0BAC93" w:rsidP="3C0BAC93">
            <w:pPr>
              <w:pStyle w:val="ListParagraph"/>
              <w:numPr>
                <w:ilvl w:val="0"/>
                <w:numId w:val="10"/>
              </w:numPr>
              <w:spacing w:line="242" w:lineRule="auto"/>
              <w:ind w:left="448" w:right="347" w:hanging="351"/>
              <w:rPr>
                <w:rFonts w:ascii="Calibri" w:eastAsia="Calibri" w:hAnsi="Calibri" w:cs="Calibri"/>
              </w:rPr>
            </w:pPr>
            <w:r w:rsidRPr="3C0BAC93">
              <w:rPr>
                <w:rFonts w:ascii="Calibri" w:eastAsia="Calibri" w:hAnsi="Calibri" w:cs="Calibri"/>
              </w:rPr>
              <w:t>Transactions Comments – Comments (if    any)</w:t>
            </w:r>
          </w:p>
        </w:tc>
      </w:tr>
    </w:tbl>
    <w:p w14:paraId="580EFD65" w14:textId="111520CA" w:rsidR="0065131D" w:rsidRDefault="41028EAA" w:rsidP="3C0BAC93">
      <w:pPr>
        <w:spacing w:after="0"/>
      </w:pPr>
      <w:r w:rsidRPr="3C0BAC93">
        <w:rPr>
          <w:rFonts w:ascii="Calibri" w:eastAsia="Calibri" w:hAnsi="Calibri" w:cs="Calibri"/>
        </w:rPr>
        <w:t xml:space="preserve"> </w:t>
      </w:r>
    </w:p>
    <w:p w14:paraId="3BE635A7" w14:textId="3179F4B6" w:rsidR="0065131D" w:rsidRDefault="41028EAA" w:rsidP="3C0BAC93">
      <w:pPr>
        <w:spacing w:after="0"/>
      </w:pPr>
      <w:r w:rsidRPr="3C0BAC93">
        <w:rPr>
          <w:rFonts w:ascii="Calibri" w:eastAsia="Calibri" w:hAnsi="Calibri" w:cs="Calibri"/>
        </w:rPr>
        <w:t xml:space="preserve"> </w:t>
      </w:r>
    </w:p>
    <w:p w14:paraId="081D272E" w14:textId="097AA9CB" w:rsidR="0065131D" w:rsidRDefault="41028EAA" w:rsidP="3C0BAC93">
      <w:pPr>
        <w:spacing w:after="0"/>
      </w:pPr>
      <w:r w:rsidRPr="3C0BAC93">
        <w:rPr>
          <w:rFonts w:ascii="Calibri" w:eastAsia="Calibri" w:hAnsi="Calibri" w:cs="Calibri"/>
        </w:rPr>
        <w:t xml:space="preserve"> </w:t>
      </w:r>
    </w:p>
    <w:p w14:paraId="03F43430" w14:textId="35EED79D" w:rsidR="0065131D" w:rsidRDefault="41028EAA" w:rsidP="3C0BAC93">
      <w:pPr>
        <w:spacing w:after="0"/>
      </w:pPr>
      <w:r w:rsidRPr="3C0BAC93">
        <w:rPr>
          <w:rFonts w:ascii="Calibri" w:eastAsia="Calibri" w:hAnsi="Calibri" w:cs="Calibri"/>
        </w:rPr>
        <w:t xml:space="preserve"> </w:t>
      </w:r>
    </w:p>
    <w:p w14:paraId="070A6DB2" w14:textId="559ACC1E" w:rsidR="0065131D" w:rsidRDefault="41028EAA" w:rsidP="3C0BAC93">
      <w:pPr>
        <w:spacing w:after="0"/>
        <w:ind w:left="720"/>
      </w:pPr>
      <w:r w:rsidRPr="3C0BAC93">
        <w:rPr>
          <w:rFonts w:ascii="Calibri" w:eastAsia="Calibri" w:hAnsi="Calibri" w:cs="Calibri"/>
          <w:b/>
          <w:bCs/>
        </w:rPr>
        <w:t xml:space="preserve">Transaction Type, From Type / To Type, My Client / Not My Client, Foreign Currency, Conductor, </w:t>
      </w:r>
      <w:r w:rsidRPr="3C0BAC93">
        <w:rPr>
          <w:rFonts w:ascii="Calibri" w:eastAsia="Calibri" w:hAnsi="Calibri" w:cs="Calibri"/>
        </w:rPr>
        <w:t>Additional transaction details will be added according to the transaction type; transaction type (to/from) (i.e., my client, not my client); and foreign currency type (if applicable); and the amount. These fields will be populated by the  according to the GoAML XML Registration Guide’s instructions. Please refer to Party Type: Person (below) to populate information on the conductor of the transaction for 4.2.5.6.</w:t>
      </w:r>
    </w:p>
    <w:p w14:paraId="3CB684BA" w14:textId="37CBBA9D" w:rsidR="0065131D" w:rsidRDefault="41028EAA" w:rsidP="3C0BAC93">
      <w:pPr>
        <w:spacing w:after="0"/>
      </w:pPr>
      <w:r w:rsidRPr="3C0BAC93">
        <w:rPr>
          <w:rFonts w:ascii="Calibri" w:eastAsia="Calibri" w:hAnsi="Calibri" w:cs="Calibri"/>
        </w:rPr>
        <w:t xml:space="preserve"> </w:t>
      </w:r>
    </w:p>
    <w:p w14:paraId="1094D8E1" w14:textId="76279FCA" w:rsidR="0065131D" w:rsidRDefault="41028EAA" w:rsidP="3C0BAC93">
      <w:pPr>
        <w:spacing w:after="0"/>
        <w:ind w:firstLine="720"/>
      </w:pPr>
      <w:r w:rsidRPr="3C0BAC93">
        <w:rPr>
          <w:rFonts w:ascii="Calibri" w:eastAsia="Calibri" w:hAnsi="Calibri" w:cs="Calibri"/>
          <w:b/>
          <w:bCs/>
        </w:rPr>
        <w:t xml:space="preserve">Phone, Address, Identification, Email, and Employer Address and Employer Phone </w:t>
      </w:r>
    </w:p>
    <w:p w14:paraId="515C72D3" w14:textId="13FFCD43" w:rsidR="0065131D" w:rsidRDefault="41028EAA" w:rsidP="3C0BAC93">
      <w:pPr>
        <w:spacing w:after="0"/>
        <w:ind w:firstLine="720"/>
      </w:pPr>
      <w:r w:rsidRPr="3C0BAC93">
        <w:rPr>
          <w:rFonts w:ascii="Calibri" w:eastAsia="Calibri" w:hAnsi="Calibri" w:cs="Calibri"/>
          <w:b/>
          <w:bCs/>
        </w:rPr>
        <w:t xml:space="preserve"> </w:t>
      </w:r>
      <w:r w:rsidRPr="3C0BAC93">
        <w:rPr>
          <w:rFonts w:ascii="Calibri" w:eastAsia="Calibri" w:hAnsi="Calibri" w:cs="Calibri"/>
        </w:rPr>
        <w:t>These fields will be populated by the  according to the GoAML XML Registration Guide’s instructions.</w:t>
      </w:r>
    </w:p>
    <w:p w14:paraId="0978533B" w14:textId="2D1364D5" w:rsidR="0065131D" w:rsidRDefault="41028EAA" w:rsidP="3C0BAC93">
      <w:pPr>
        <w:spacing w:after="0"/>
      </w:pPr>
      <w:r w:rsidRPr="3C0BAC93">
        <w:rPr>
          <w:rFonts w:ascii="Calibri" w:eastAsia="Calibri" w:hAnsi="Calibri" w:cs="Calibri"/>
        </w:rPr>
        <w:t xml:space="preserve"> </w:t>
      </w:r>
    </w:p>
    <w:p w14:paraId="48566001" w14:textId="05C56BF1" w:rsidR="0065131D" w:rsidRDefault="41028EAA" w:rsidP="3C0BAC93">
      <w:pPr>
        <w:spacing w:after="0"/>
        <w:ind w:firstLine="720"/>
      </w:pPr>
      <w:r w:rsidRPr="3C0BAC93">
        <w:rPr>
          <w:rFonts w:ascii="Calibri" w:eastAsia="Calibri" w:hAnsi="Calibri" w:cs="Calibri"/>
          <w:b/>
          <w:bCs/>
        </w:rPr>
        <w:t>Party Type The ‘Party Type’</w:t>
      </w:r>
      <w:r w:rsidRPr="3C0BAC93">
        <w:rPr>
          <w:rFonts w:ascii="Calibri" w:eastAsia="Calibri" w:hAnsi="Calibri" w:cs="Calibri"/>
        </w:rPr>
        <w:t xml:space="preserve"> refers to the initiating</w:t>
      </w:r>
    </w:p>
    <w:p w14:paraId="5249F215" w14:textId="477B781C" w:rsidR="0065131D" w:rsidRDefault="41028EAA" w:rsidP="3C0BAC93">
      <w:pPr>
        <w:spacing w:after="0"/>
        <w:ind w:left="720"/>
      </w:pPr>
      <w:r w:rsidRPr="3C0BAC93">
        <w:rPr>
          <w:rFonts w:ascii="Calibri" w:eastAsia="Calibri" w:hAnsi="Calibri" w:cs="Calibri"/>
        </w:rPr>
        <w:lastRenderedPageBreak/>
        <w:t>source (source of funds) and beneficiary/destination party in relation to the report being filed. The initiating source and beneficiary/destination party can be either a Person, Account, or Entity.</w:t>
      </w:r>
    </w:p>
    <w:p w14:paraId="0EB43B46" w14:textId="4683044B" w:rsidR="0065131D" w:rsidRDefault="41028EAA" w:rsidP="3C0BAC93">
      <w:pPr>
        <w:spacing w:after="0"/>
      </w:pPr>
      <w:r w:rsidRPr="3C0BAC93">
        <w:rPr>
          <w:rFonts w:ascii="Calibri" w:eastAsia="Calibri" w:hAnsi="Calibri" w:cs="Calibri"/>
        </w:rPr>
        <w:t xml:space="preserve"> </w:t>
      </w:r>
    </w:p>
    <w:p w14:paraId="47E465CF" w14:textId="4947B96F" w:rsidR="0065131D" w:rsidRDefault="41028EAA" w:rsidP="3C0BAC93">
      <w:pPr>
        <w:spacing w:after="0"/>
        <w:ind w:left="720"/>
      </w:pPr>
      <w:r w:rsidRPr="3C0BAC93">
        <w:rPr>
          <w:rFonts w:ascii="Calibri" w:eastAsia="Calibri" w:hAnsi="Calibri" w:cs="Calibri"/>
          <w:b/>
          <w:bCs/>
        </w:rPr>
        <w:t>Party Type: Person</w:t>
      </w:r>
      <w:r w:rsidRPr="3C0BAC93">
        <w:rPr>
          <w:rFonts w:ascii="Calibri" w:eastAsia="Calibri" w:hAnsi="Calibri" w:cs="Calibri"/>
        </w:rPr>
        <w:t xml:space="preserve">  Where the subject initiating or receiving the transaction is a person, clicking the ‘Person’ radio button will generate the following form and fields</w:t>
      </w:r>
    </w:p>
    <w:p w14:paraId="74CA4172" w14:textId="31D648BC" w:rsidR="0065131D" w:rsidRDefault="41028EAA" w:rsidP="3C0BAC93">
      <w:pPr>
        <w:spacing w:after="0"/>
      </w:pPr>
      <w:r w:rsidRPr="3C0BAC93">
        <w:rPr>
          <w:rFonts w:ascii="Calibri" w:eastAsia="Calibri" w:hAnsi="Calibri" w:cs="Calibri"/>
        </w:rPr>
        <w:t xml:space="preserve"> </w:t>
      </w:r>
    </w:p>
    <w:tbl>
      <w:tblPr>
        <w:tblStyle w:val="TableGrid"/>
        <w:tblW w:w="0" w:type="auto"/>
        <w:tblInd w:w="420" w:type="dxa"/>
        <w:tblLook w:val="04A0" w:firstRow="1" w:lastRow="0" w:firstColumn="1" w:lastColumn="0" w:noHBand="0" w:noVBand="1"/>
      </w:tblPr>
      <w:tblGrid>
        <w:gridCol w:w="4733"/>
        <w:gridCol w:w="4197"/>
      </w:tblGrid>
      <w:tr w:rsidR="3C0BAC93" w14:paraId="5B4746E1" w14:textId="77777777" w:rsidTr="3C0BAC93">
        <w:trPr>
          <w:trHeight w:val="4845"/>
        </w:trPr>
        <w:tc>
          <w:tcPr>
            <w:tcW w:w="4815" w:type="dxa"/>
            <w:tcBorders>
              <w:top w:val="single" w:sz="4" w:space="0" w:color="auto"/>
              <w:left w:val="single" w:sz="4" w:space="0" w:color="auto"/>
              <w:bottom w:val="single" w:sz="4" w:space="0" w:color="auto"/>
              <w:right w:val="single" w:sz="4" w:space="0" w:color="auto"/>
            </w:tcBorders>
            <w:tcMar>
              <w:left w:w="108" w:type="dxa"/>
              <w:right w:w="108" w:type="dxa"/>
            </w:tcMar>
          </w:tcPr>
          <w:p w14:paraId="290647FE" w14:textId="70C1DBB3" w:rsidR="3C0BAC93" w:rsidRDefault="3C0BAC93" w:rsidP="3C0BAC93">
            <w:r w:rsidRPr="3C0BAC93">
              <w:rPr>
                <w:rFonts w:ascii="Calibri" w:eastAsia="Calibri" w:hAnsi="Calibri" w:cs="Calibri"/>
              </w:rPr>
              <w:t xml:space="preserve">       </w:t>
            </w:r>
          </w:p>
          <w:p w14:paraId="7DB04CCE" w14:textId="4F40027F"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Title – e.g., Mr./Mrs./Dr.</w:t>
            </w:r>
          </w:p>
          <w:p w14:paraId="6BE43A75" w14:textId="453198E8"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Prefix – Prefix Name e.g., Von, Jr.</w:t>
            </w:r>
          </w:p>
          <w:p w14:paraId="250D0B61" w14:textId="109AFB74"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First Name* – First name of the person</w:t>
            </w:r>
          </w:p>
          <w:p w14:paraId="4CE813EE" w14:textId="3DE69099"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Middle Name – Middle name of the person</w:t>
            </w:r>
          </w:p>
          <w:p w14:paraId="56BAE2CF" w14:textId="3D43E8AD"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Last Name* – Last name of the person</w:t>
            </w:r>
          </w:p>
          <w:p w14:paraId="5B23F8B4" w14:textId="2516CC9E"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Gender – Male / Female</w:t>
            </w:r>
          </w:p>
          <w:p w14:paraId="684D09E3" w14:textId="5041F26A"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Birth Date – Date of birth of the subject person</w:t>
            </w:r>
          </w:p>
          <w:p w14:paraId="6A32A100" w14:textId="67DA3285"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Birthplace – Location where the person was born</w:t>
            </w:r>
          </w:p>
          <w:p w14:paraId="7FF7D1AA" w14:textId="71BB054F"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Mother’s Name – Name of the person’s mother (if available)</w:t>
            </w:r>
          </w:p>
          <w:p w14:paraId="3AEE8BFF" w14:textId="381B266E"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Alias – A known alias for the person (if applicable)</w:t>
            </w:r>
          </w:p>
          <w:p w14:paraId="1E02378B" w14:textId="1E5377BB"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Emirates ID – Emirates ID number; input the number without using any spaces/hyphens</w:t>
            </w:r>
          </w:p>
          <w:p w14:paraId="3CECD78F" w14:textId="4D5EBD63"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Nationality 1 – First nationality of the person</w:t>
            </w:r>
          </w:p>
          <w:p w14:paraId="49D6B0D6" w14:textId="7718D448"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Nationality 2 – Second nationality of the person</w:t>
            </w:r>
          </w:p>
          <w:p w14:paraId="037F99DC" w14:textId="03D53C60"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Nationality 3 – Third nationality of the person</w:t>
            </w:r>
          </w:p>
          <w:p w14:paraId="1ED9F6A8" w14:textId="0EA1B597"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ID Number – ID number; input the number without using any spaces/hyphens</w:t>
            </w:r>
          </w:p>
          <w:p w14:paraId="12B7BC4F" w14:textId="082EA823"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Tax Number – Tax number for outside UAE without hyphens/spaces (e.g., FATCA number for US citizens)</w:t>
            </w:r>
          </w:p>
          <w:p w14:paraId="77F0A1CF" w14:textId="03BF7C88"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Residence – Country of residence</w:t>
            </w:r>
          </w:p>
        </w:tc>
        <w:tc>
          <w:tcPr>
            <w:tcW w:w="4260" w:type="dxa"/>
            <w:tcBorders>
              <w:top w:val="single" w:sz="4" w:space="0" w:color="auto"/>
              <w:left w:val="single" w:sz="4" w:space="0" w:color="auto"/>
              <w:bottom w:val="single" w:sz="4" w:space="0" w:color="auto"/>
              <w:right w:val="single" w:sz="4" w:space="0" w:color="auto"/>
            </w:tcBorders>
            <w:tcMar>
              <w:left w:w="108" w:type="dxa"/>
              <w:right w:w="108" w:type="dxa"/>
            </w:tcMar>
          </w:tcPr>
          <w:p w14:paraId="77603617" w14:textId="63A9700E" w:rsidR="3C0BAC93" w:rsidRDefault="3C0BAC93" w:rsidP="3C0BAC93">
            <w:r w:rsidRPr="3C0BAC93">
              <w:rPr>
                <w:rFonts w:ascii="Calibri" w:eastAsia="Calibri" w:hAnsi="Calibri" w:cs="Calibri"/>
              </w:rPr>
              <w:t xml:space="preserve"> </w:t>
            </w:r>
          </w:p>
          <w:p w14:paraId="4E1ECC25" w14:textId="68F28C65"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Occupation – Known occupation of the subject</w:t>
            </w:r>
          </w:p>
          <w:p w14:paraId="081009EB" w14:textId="1A3436C3"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Employer Name – Name of the person’s current employer</w:t>
            </w:r>
          </w:p>
          <w:p w14:paraId="5C4068ED" w14:textId="0B3D4FBA"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PEP (Y/ N) – Specify if the person is a politically exposed person. Input “Y” or “N” accordingly</w:t>
            </w:r>
          </w:p>
          <w:p w14:paraId="0C887CF1" w14:textId="7543A06F"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Source of funds – Primary source of funds used for the reported transaction</w:t>
            </w:r>
          </w:p>
          <w:p w14:paraId="41580B6A" w14:textId="4C57465E"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Passport* – Select if the passport details are available (Y/N)</w:t>
            </w:r>
          </w:p>
          <w:p w14:paraId="7FB1852D" w14:textId="5D84922E"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Passport Number* – Input the passport number without any spaces/hyphens only in the absence of an Emirates ID</w:t>
            </w:r>
          </w:p>
          <w:p w14:paraId="59BDA5C3" w14:textId="2ED93D81"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Passport Country* – Country of the passport provided</w:t>
            </w:r>
          </w:p>
          <w:p w14:paraId="35028965" w14:textId="31E2E907"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Deceased – Is the person deceased? (Y/N)</w:t>
            </w:r>
          </w:p>
          <w:p w14:paraId="5AC604AF" w14:textId="3B7ED1E3"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Date of Death – Date when the person died (applicable only if “Y” was provided in the deceased field</w:t>
            </w:r>
          </w:p>
          <w:p w14:paraId="2C5369F8" w14:textId="1F55AFBB" w:rsidR="3C0BAC93" w:rsidRDefault="3C0BAC93" w:rsidP="3C0BAC93">
            <w:r w:rsidRPr="3C0BAC93">
              <w:rPr>
                <w:rFonts w:ascii="Calibri" w:eastAsia="Calibri" w:hAnsi="Calibri" w:cs="Calibri"/>
              </w:rPr>
              <w:t xml:space="preserve"> </w:t>
            </w:r>
          </w:p>
        </w:tc>
      </w:tr>
    </w:tbl>
    <w:p w14:paraId="2026B5FF" w14:textId="4430E2EC" w:rsidR="0065131D" w:rsidRDefault="41028EAA" w:rsidP="3C0BAC93">
      <w:pPr>
        <w:spacing w:after="0"/>
      </w:pPr>
      <w:r w:rsidRPr="3C0BAC93">
        <w:rPr>
          <w:rFonts w:ascii="Calibri" w:eastAsia="Calibri" w:hAnsi="Calibri" w:cs="Calibri"/>
        </w:rPr>
        <w:t xml:space="preserve"> </w:t>
      </w:r>
    </w:p>
    <w:p w14:paraId="6B368916" w14:textId="254E57EE" w:rsidR="0065131D" w:rsidRDefault="41028EAA" w:rsidP="3C0BAC93">
      <w:pPr>
        <w:spacing w:after="0"/>
        <w:ind w:left="720"/>
      </w:pPr>
      <w:r w:rsidRPr="3C0BAC93">
        <w:rPr>
          <w:rFonts w:ascii="Calibri" w:eastAsia="Calibri" w:hAnsi="Calibri" w:cs="Calibri"/>
        </w:rPr>
        <w:t>Please note that when the accountholder is a person, the  UAE is required to enter all involved signatories. If the accountholder is an entity, the  UAE is required to populate the entity details. For instances where an account has multiple signatories, all of the signatory details need to be captured in the goAML system.</w:t>
      </w:r>
    </w:p>
    <w:p w14:paraId="4B4711DF" w14:textId="0FC9C227" w:rsidR="0065131D" w:rsidRDefault="41028EAA" w:rsidP="3C0BAC93">
      <w:pPr>
        <w:spacing w:after="0"/>
      </w:pPr>
      <w:r w:rsidRPr="3C0BAC93">
        <w:rPr>
          <w:rFonts w:ascii="Calibri" w:eastAsia="Calibri" w:hAnsi="Calibri" w:cs="Calibri"/>
        </w:rPr>
        <w:lastRenderedPageBreak/>
        <w:t xml:space="preserve"> </w:t>
      </w:r>
    </w:p>
    <w:p w14:paraId="3C11342B" w14:textId="2BC0C433" w:rsidR="0065131D" w:rsidRDefault="41028EAA" w:rsidP="3C0BAC93">
      <w:pPr>
        <w:spacing w:after="0"/>
        <w:ind w:left="720"/>
      </w:pPr>
      <w:r w:rsidRPr="3C0BAC93">
        <w:rPr>
          <w:rFonts w:ascii="Times New Roman" w:eastAsia="Times New Roman" w:hAnsi="Times New Roman" w:cs="Times New Roman"/>
          <w:b/>
          <w:bCs/>
          <w:sz w:val="19"/>
          <w:szCs w:val="19"/>
        </w:rPr>
        <w:t xml:space="preserve">Party Type: Entity [GoAML XML Registration Guide]: </w:t>
      </w:r>
      <w:r w:rsidRPr="3C0BAC93">
        <w:rPr>
          <w:rFonts w:ascii="Calibri" w:eastAsia="Calibri" w:hAnsi="Calibri" w:cs="Calibri"/>
        </w:rPr>
        <w:t>If the transaction was initiated through an Entity, clicking the ‘Entity radio button will generate the following form and fields</w:t>
      </w:r>
    </w:p>
    <w:p w14:paraId="1DCDFE49" w14:textId="307DE834" w:rsidR="0065131D" w:rsidRDefault="41028EAA" w:rsidP="3C0BAC93">
      <w:pPr>
        <w:spacing w:after="0"/>
      </w:pPr>
      <w:r w:rsidRPr="3C0BAC93">
        <w:rPr>
          <w:rFonts w:ascii="Calibri" w:eastAsia="Calibri" w:hAnsi="Calibri" w:cs="Calibri"/>
        </w:rPr>
        <w:t xml:space="preserve"> </w:t>
      </w:r>
    </w:p>
    <w:tbl>
      <w:tblPr>
        <w:tblStyle w:val="TableGrid"/>
        <w:tblW w:w="0" w:type="auto"/>
        <w:tblInd w:w="135" w:type="dxa"/>
        <w:tblLook w:val="04A0" w:firstRow="1" w:lastRow="0" w:firstColumn="1" w:lastColumn="0" w:noHBand="0" w:noVBand="1"/>
      </w:tblPr>
      <w:tblGrid>
        <w:gridCol w:w="5100"/>
        <w:gridCol w:w="4115"/>
      </w:tblGrid>
      <w:tr w:rsidR="3C0BAC93" w14:paraId="53B128B2" w14:textId="77777777" w:rsidTr="3C0BAC93">
        <w:trPr>
          <w:trHeight w:val="3795"/>
        </w:trPr>
        <w:tc>
          <w:tcPr>
            <w:tcW w:w="5550" w:type="dxa"/>
            <w:tcBorders>
              <w:top w:val="single" w:sz="4" w:space="0" w:color="auto"/>
              <w:left w:val="single" w:sz="4" w:space="0" w:color="auto"/>
              <w:bottom w:val="single" w:sz="4" w:space="0" w:color="auto"/>
              <w:right w:val="single" w:sz="4" w:space="0" w:color="auto"/>
            </w:tcBorders>
            <w:tcMar>
              <w:left w:w="108" w:type="dxa"/>
              <w:right w:w="108" w:type="dxa"/>
            </w:tcMar>
          </w:tcPr>
          <w:p w14:paraId="2C062507" w14:textId="3705EA4F"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Name* – Legal name as per documentation</w:t>
            </w:r>
          </w:p>
          <w:p w14:paraId="62F5417A" w14:textId="4B2F969D"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Commercial Name – Commercial name as per documentation</w:t>
            </w:r>
          </w:p>
          <w:p w14:paraId="25540C1D" w14:textId="6D50A83D"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Business Activity – Business activity of entity (drop-down)</w:t>
            </w:r>
          </w:p>
          <w:p w14:paraId="1D66FA88" w14:textId="386A4C22"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Licensing Authority – Regulatory authority responsible for licensing the entity</w:t>
            </w:r>
          </w:p>
          <w:p w14:paraId="2BEF59B0" w14:textId="09D84D0E"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Trade License Number Authority</w:t>
            </w:r>
          </w:p>
          <w:p w14:paraId="231E734A" w14:textId="1D417F68"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Place of incorporation – Specify the city (Emirate in case of a UAE entity)</w:t>
            </w:r>
          </w:p>
          <w:p w14:paraId="09E54593" w14:textId="592159DA"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Establishment Date – Date when entity was established</w:t>
            </w:r>
          </w:p>
          <w:p w14:paraId="30E52DFF" w14:textId="20A828CD"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Incorporation Country – Country where the entity was incorporated (drop-down)</w:t>
            </w:r>
          </w:p>
          <w:p w14:paraId="3BC7F6F9" w14:textId="6F0C9057"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Email – Registered email for the entity (if any)</w:t>
            </w:r>
          </w:p>
          <w:p w14:paraId="720BE35F" w14:textId="5281305B"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Website – Website for the entity (if any)</w:t>
            </w:r>
          </w:p>
          <w:p w14:paraId="18FA0373" w14:textId="5EB8C100"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Tax Number – Tax number for outside UAE without hyphens/spaces (e.g., FATCA number for US citizens)</w:t>
            </w:r>
          </w:p>
        </w:tc>
        <w:tc>
          <w:tcPr>
            <w:tcW w:w="4365" w:type="dxa"/>
            <w:tcBorders>
              <w:top w:val="single" w:sz="4" w:space="0" w:color="auto"/>
              <w:left w:val="single" w:sz="4" w:space="0" w:color="auto"/>
              <w:bottom w:val="single" w:sz="4" w:space="0" w:color="auto"/>
              <w:right w:val="single" w:sz="4" w:space="0" w:color="auto"/>
            </w:tcBorders>
            <w:tcMar>
              <w:left w:w="108" w:type="dxa"/>
              <w:right w:w="108" w:type="dxa"/>
            </w:tcMar>
          </w:tcPr>
          <w:p w14:paraId="1B05DFAA" w14:textId="709A873C"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Comments – Comments (if any)</w:t>
            </w:r>
          </w:p>
          <w:p w14:paraId="35D07E20" w14:textId="51626B3B"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PEP (Y/ N) – Specify if the person is a politically exposed person. Input "Y" or "N" accordingly</w:t>
            </w:r>
          </w:p>
          <w:p w14:paraId="302C9AD8" w14:textId="0010F7FC"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Latest date of trade license issuance/renewal – Date of trade license issuance/renewal</w:t>
            </w:r>
          </w:p>
          <w:p w14:paraId="2F2A92C1" w14:textId="7C1F5CB0"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Latest date of trade license issuance/renewal – Date of trade license issuance/renewal</w:t>
            </w:r>
          </w:p>
          <w:p w14:paraId="709EFAB0" w14:textId="65C20208"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**Phones, Addresses, and Controlling Persons/Beneficial Owners can also be added. Addresses and Controlling Persons/Beneficial Owners section are mandatory only when the entity is classified as My Client</w:t>
            </w:r>
          </w:p>
        </w:tc>
      </w:tr>
    </w:tbl>
    <w:p w14:paraId="7FD18E8C" w14:textId="35735232" w:rsidR="0065131D" w:rsidRDefault="41028EAA" w:rsidP="3C0BAC93">
      <w:pPr>
        <w:spacing w:after="0"/>
      </w:pPr>
      <w:r w:rsidRPr="3C0BAC93">
        <w:rPr>
          <w:rFonts w:ascii="Calibri" w:eastAsia="Calibri" w:hAnsi="Calibri" w:cs="Calibri"/>
        </w:rPr>
        <w:t xml:space="preserve"> </w:t>
      </w:r>
    </w:p>
    <w:p w14:paraId="47DF8AAE" w14:textId="7698EEC3" w:rsidR="0065131D" w:rsidRDefault="41028EAA" w:rsidP="3C0BAC93">
      <w:pPr>
        <w:tabs>
          <w:tab w:val="left" w:pos="2103"/>
        </w:tabs>
        <w:spacing w:before="98" w:after="0" w:line="288" w:lineRule="auto"/>
        <w:ind w:left="720" w:right="238"/>
        <w:rPr>
          <w:rFonts w:ascii="Calibri" w:eastAsia="Calibri" w:hAnsi="Calibri" w:cs="Calibri"/>
        </w:rPr>
      </w:pPr>
      <w:r w:rsidRPr="3C0BAC93">
        <w:rPr>
          <w:rFonts w:ascii="Calibri" w:eastAsia="Calibri" w:hAnsi="Calibri" w:cs="Calibri"/>
          <w:b/>
          <w:bCs/>
        </w:rPr>
        <w:t xml:space="preserve">Involved Parties [4.2.5.16 GoAML XML Registration Guide]: </w:t>
      </w:r>
      <w:r w:rsidRPr="3C0BAC93">
        <w:rPr>
          <w:rFonts w:ascii="Calibri" w:eastAsia="Calibri" w:hAnsi="Calibri" w:cs="Calibri"/>
        </w:rPr>
        <w:t>If there are multiple parties involved in the reported activity, the ‘Involved Parties’ form will be populated with the following fields.</w:t>
      </w:r>
      <w:r w:rsidR="005E0C3C">
        <w:br/>
      </w:r>
      <w:r w:rsidRPr="3C0BAC93">
        <w:rPr>
          <w:rFonts w:ascii="Calibri" w:eastAsia="Calibri" w:hAnsi="Calibri" w:cs="Calibri"/>
        </w:rPr>
        <w:t xml:space="preserve"> </w:t>
      </w:r>
      <w:r w:rsidR="005E0C3C">
        <w:br/>
      </w:r>
    </w:p>
    <w:tbl>
      <w:tblPr>
        <w:tblStyle w:val="TableGrid"/>
        <w:tblW w:w="0" w:type="auto"/>
        <w:tblLook w:val="04A0" w:firstRow="1" w:lastRow="0" w:firstColumn="1" w:lastColumn="0" w:noHBand="0" w:noVBand="1"/>
      </w:tblPr>
      <w:tblGrid>
        <w:gridCol w:w="4815"/>
        <w:gridCol w:w="4320"/>
      </w:tblGrid>
      <w:tr w:rsidR="3C0BAC93" w14:paraId="5ED9077D" w14:textId="77777777" w:rsidTr="3C0BAC93">
        <w:trPr>
          <w:trHeight w:val="1515"/>
        </w:trPr>
        <w:tc>
          <w:tcPr>
            <w:tcW w:w="4815" w:type="dxa"/>
            <w:tcBorders>
              <w:top w:val="single" w:sz="4" w:space="0" w:color="auto"/>
              <w:left w:val="single" w:sz="4" w:space="0" w:color="auto"/>
              <w:bottom w:val="single" w:sz="4" w:space="0" w:color="auto"/>
              <w:right w:val="single" w:sz="4" w:space="0" w:color="auto"/>
            </w:tcBorders>
            <w:tcMar>
              <w:left w:w="108" w:type="dxa"/>
              <w:right w:w="108" w:type="dxa"/>
            </w:tcMar>
          </w:tcPr>
          <w:p w14:paraId="7EC5F29B" w14:textId="253F67BA" w:rsidR="3C0BAC93" w:rsidRDefault="3C0BAC93" w:rsidP="3C0BAC93">
            <w:pPr>
              <w:pStyle w:val="ListParagraph"/>
              <w:numPr>
                <w:ilvl w:val="0"/>
                <w:numId w:val="9"/>
              </w:numPr>
              <w:rPr>
                <w:rFonts w:ascii="Arial" w:eastAsia="Arial" w:hAnsi="Arial" w:cs="Arial"/>
                <w:sz w:val="19"/>
                <w:szCs w:val="19"/>
              </w:rPr>
            </w:pPr>
            <w:r w:rsidRPr="3C0BAC93">
              <w:rPr>
                <w:rFonts w:ascii="Arial" w:eastAsia="Arial" w:hAnsi="Arial" w:cs="Arial"/>
                <w:sz w:val="19"/>
                <w:szCs w:val="19"/>
              </w:rPr>
              <w:t>Role* – Nature of association with the transaction</w:t>
            </w:r>
          </w:p>
          <w:p w14:paraId="158B288D" w14:textId="50470ED2" w:rsidR="3C0BAC93" w:rsidRDefault="3C0BAC93" w:rsidP="3C0BAC93">
            <w:pPr>
              <w:pStyle w:val="ListParagraph"/>
              <w:numPr>
                <w:ilvl w:val="0"/>
                <w:numId w:val="9"/>
              </w:numPr>
              <w:rPr>
                <w:rFonts w:ascii="Arial" w:eastAsia="Arial" w:hAnsi="Arial" w:cs="Arial"/>
                <w:sz w:val="19"/>
                <w:szCs w:val="19"/>
              </w:rPr>
            </w:pPr>
            <w:r w:rsidRPr="3C0BAC93">
              <w:rPr>
                <w:rFonts w:ascii="Arial" w:eastAsia="Arial" w:hAnsi="Arial" w:cs="Arial"/>
                <w:sz w:val="19"/>
                <w:szCs w:val="19"/>
              </w:rPr>
              <w:t>Funds Code* – The type of funds</w:t>
            </w:r>
          </w:p>
          <w:p w14:paraId="73D58CE9" w14:textId="4CAF0A3F" w:rsidR="3C0BAC93" w:rsidRDefault="3C0BAC93" w:rsidP="3C0BAC93">
            <w:pPr>
              <w:pStyle w:val="ListParagraph"/>
              <w:numPr>
                <w:ilvl w:val="0"/>
                <w:numId w:val="9"/>
              </w:numPr>
              <w:rPr>
                <w:rFonts w:ascii="Arial" w:eastAsia="Arial" w:hAnsi="Arial" w:cs="Arial"/>
                <w:sz w:val="19"/>
                <w:szCs w:val="19"/>
              </w:rPr>
            </w:pPr>
            <w:r w:rsidRPr="3C0BAC93">
              <w:rPr>
                <w:rFonts w:ascii="Arial" w:eastAsia="Arial" w:hAnsi="Arial" w:cs="Arial"/>
                <w:sz w:val="19"/>
                <w:szCs w:val="19"/>
              </w:rPr>
              <w:t>Country* – Country of the involved party</w:t>
            </w:r>
          </w:p>
          <w:p w14:paraId="51AF975B" w14:textId="2B7F3AE0" w:rsidR="3C0BAC93" w:rsidRDefault="3C0BAC93" w:rsidP="3C0BAC93">
            <w:pPr>
              <w:pStyle w:val="ListParagraph"/>
              <w:numPr>
                <w:ilvl w:val="0"/>
                <w:numId w:val="9"/>
              </w:numPr>
              <w:rPr>
                <w:rFonts w:ascii="Arial" w:eastAsia="Arial" w:hAnsi="Arial" w:cs="Arial"/>
                <w:sz w:val="13"/>
                <w:szCs w:val="13"/>
              </w:rPr>
            </w:pPr>
            <w:r w:rsidRPr="3C0BAC93">
              <w:rPr>
                <w:rFonts w:ascii="Arial" w:eastAsia="Arial" w:hAnsi="Arial" w:cs="Arial"/>
                <w:sz w:val="19"/>
                <w:szCs w:val="19"/>
              </w:rPr>
              <w:t>Significance – Rate the significance of the concerned subject from 0 - 10 (0 being the lowest and 10 being the highest score</w:t>
            </w:r>
            <w:r w:rsidRPr="3C0BAC93">
              <w:rPr>
                <w:rFonts w:ascii="Arial" w:eastAsia="Arial" w:hAnsi="Arial" w:cs="Arial"/>
                <w:sz w:val="13"/>
                <w:szCs w:val="13"/>
              </w:rPr>
              <w:t>)</w:t>
            </w:r>
          </w:p>
        </w:tc>
        <w:tc>
          <w:tcPr>
            <w:tcW w:w="4320" w:type="dxa"/>
            <w:tcBorders>
              <w:top w:val="single" w:sz="4" w:space="0" w:color="auto"/>
              <w:left w:val="single" w:sz="4" w:space="0" w:color="auto"/>
              <w:bottom w:val="single" w:sz="4" w:space="0" w:color="auto"/>
              <w:right w:val="single" w:sz="4" w:space="0" w:color="auto"/>
            </w:tcBorders>
            <w:tcMar>
              <w:left w:w="108" w:type="dxa"/>
              <w:right w:w="108" w:type="dxa"/>
            </w:tcMar>
          </w:tcPr>
          <w:p w14:paraId="75E36263" w14:textId="3C46E741" w:rsidR="3C0BAC93" w:rsidRDefault="3C0BAC93" w:rsidP="3C0BAC93">
            <w:pPr>
              <w:pStyle w:val="ListParagraph"/>
              <w:numPr>
                <w:ilvl w:val="0"/>
                <w:numId w:val="9"/>
              </w:numPr>
              <w:rPr>
                <w:rFonts w:ascii="Arial" w:eastAsia="Arial" w:hAnsi="Arial" w:cs="Arial"/>
                <w:sz w:val="19"/>
                <w:szCs w:val="19"/>
              </w:rPr>
            </w:pPr>
            <w:r w:rsidRPr="3C0BAC93">
              <w:rPr>
                <w:rFonts w:ascii="Arial" w:eastAsia="Arial" w:hAnsi="Arial" w:cs="Arial"/>
                <w:sz w:val="19"/>
                <w:szCs w:val="19"/>
              </w:rPr>
              <w:t>Funds comment – Comments on use of funds (if any)</w:t>
            </w:r>
          </w:p>
          <w:p w14:paraId="7D6DF7D0" w14:textId="662B046C" w:rsidR="3C0BAC93" w:rsidRDefault="3C0BAC93" w:rsidP="3C0BAC93">
            <w:pPr>
              <w:pStyle w:val="ListParagraph"/>
              <w:numPr>
                <w:ilvl w:val="0"/>
                <w:numId w:val="9"/>
              </w:numPr>
              <w:rPr>
                <w:rFonts w:ascii="Arial" w:eastAsia="Arial" w:hAnsi="Arial" w:cs="Arial"/>
                <w:sz w:val="19"/>
                <w:szCs w:val="19"/>
              </w:rPr>
            </w:pPr>
            <w:r w:rsidRPr="3C0BAC93">
              <w:rPr>
                <w:rFonts w:ascii="Arial" w:eastAsia="Arial" w:hAnsi="Arial" w:cs="Arial"/>
                <w:sz w:val="19"/>
                <w:szCs w:val="19"/>
              </w:rPr>
              <w:t>Comments – Comments (if any)</w:t>
            </w:r>
          </w:p>
          <w:p w14:paraId="4444EAA1" w14:textId="47C6C483" w:rsidR="3C0BAC93" w:rsidRDefault="3C0BAC93" w:rsidP="3C0BAC93">
            <w:pPr>
              <w:pStyle w:val="ListParagraph"/>
              <w:numPr>
                <w:ilvl w:val="0"/>
                <w:numId w:val="9"/>
              </w:numPr>
              <w:rPr>
                <w:rFonts w:ascii="Arial" w:eastAsia="Arial" w:hAnsi="Arial" w:cs="Arial"/>
                <w:sz w:val="19"/>
                <w:szCs w:val="19"/>
              </w:rPr>
            </w:pPr>
            <w:r w:rsidRPr="3C0BAC93">
              <w:rPr>
                <w:rFonts w:ascii="Arial" w:eastAsia="Arial" w:hAnsi="Arial" w:cs="Arial"/>
                <w:sz w:val="19"/>
                <w:szCs w:val="19"/>
              </w:rPr>
              <w:t>**Foreign Currency can also be added</w:t>
            </w:r>
          </w:p>
        </w:tc>
      </w:tr>
    </w:tbl>
    <w:p w14:paraId="07FFA699" w14:textId="48C4C92D" w:rsidR="0065131D" w:rsidRDefault="41028EAA" w:rsidP="3C0BAC93">
      <w:pPr>
        <w:tabs>
          <w:tab w:val="left" w:pos="2103"/>
        </w:tabs>
        <w:spacing w:before="98" w:after="0" w:line="288" w:lineRule="auto"/>
        <w:ind w:right="238"/>
      </w:pPr>
      <w:r w:rsidRPr="3C0BAC93">
        <w:rPr>
          <w:rFonts w:ascii="Calibri" w:eastAsia="Calibri" w:hAnsi="Calibri" w:cs="Calibri"/>
        </w:rPr>
        <w:t xml:space="preserve"> </w:t>
      </w:r>
    </w:p>
    <w:p w14:paraId="042618E1" w14:textId="35375423" w:rsidR="0065131D" w:rsidRDefault="41028EAA" w:rsidP="3C0BAC93">
      <w:pPr>
        <w:tabs>
          <w:tab w:val="left" w:pos="2102"/>
        </w:tabs>
        <w:spacing w:after="0" w:line="290" w:lineRule="auto"/>
        <w:ind w:left="720" w:right="189"/>
        <w:jc w:val="both"/>
      </w:pPr>
      <w:r w:rsidRPr="3C0BAC93">
        <w:rPr>
          <w:rFonts w:ascii="Calibri" w:eastAsia="Calibri" w:hAnsi="Calibri" w:cs="Calibri"/>
          <w:b/>
          <w:bCs/>
        </w:rPr>
        <w:t>Good and Services [4.2.5.17 GoAML XML Registration Guide]</w:t>
      </w:r>
      <w:r w:rsidRPr="3C0BAC93">
        <w:rPr>
          <w:rFonts w:ascii="Calibri" w:eastAsia="Calibri" w:hAnsi="Calibri" w:cs="Calibri"/>
        </w:rPr>
        <w:t>: This section corresponds to transactions involving the exchange of goods and services.</w:t>
      </w:r>
    </w:p>
    <w:tbl>
      <w:tblPr>
        <w:tblStyle w:val="TableGrid"/>
        <w:tblW w:w="0" w:type="auto"/>
        <w:tblInd w:w="420" w:type="dxa"/>
        <w:tblLook w:val="04A0" w:firstRow="1" w:lastRow="0" w:firstColumn="1" w:lastColumn="0" w:noHBand="0" w:noVBand="1"/>
      </w:tblPr>
      <w:tblGrid>
        <w:gridCol w:w="4529"/>
        <w:gridCol w:w="4401"/>
      </w:tblGrid>
      <w:tr w:rsidR="3C0BAC93" w14:paraId="7BD9426D" w14:textId="77777777" w:rsidTr="3C0BAC93">
        <w:trPr>
          <w:trHeight w:val="210"/>
        </w:trPr>
        <w:tc>
          <w:tcPr>
            <w:tcW w:w="4635" w:type="dxa"/>
            <w:tcBorders>
              <w:top w:val="single" w:sz="4" w:space="0" w:color="auto"/>
              <w:left w:val="single" w:sz="4" w:space="0" w:color="auto"/>
              <w:bottom w:val="single" w:sz="4" w:space="0" w:color="auto"/>
              <w:right w:val="single" w:sz="4" w:space="0" w:color="auto"/>
            </w:tcBorders>
            <w:tcMar>
              <w:left w:w="108" w:type="dxa"/>
              <w:right w:w="108" w:type="dxa"/>
            </w:tcMar>
          </w:tcPr>
          <w:p w14:paraId="13710FDB" w14:textId="0CDFD26F"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Item Type* – The type of item (e.g., Vehicle)</w:t>
            </w:r>
          </w:p>
          <w:p w14:paraId="7D91FF88" w14:textId="20788373"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Description – Description of the item (e.g., Luxury Car)</w:t>
            </w:r>
          </w:p>
          <w:p w14:paraId="10C4A328" w14:textId="1F4988A8"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lastRenderedPageBreak/>
              <w:t>Manufacturer – Item maker (e.g., if the item is a car - BMW)</w:t>
            </w:r>
          </w:p>
          <w:p w14:paraId="3FAD35B6" w14:textId="6192D751"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Presently Registered to – Name of current owner</w:t>
            </w:r>
          </w:p>
          <w:p w14:paraId="460414FC" w14:textId="2CC67786"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Previously Registered to – Name of previous owner</w:t>
            </w:r>
          </w:p>
          <w:p w14:paraId="4B6E2F50" w14:textId="783C8119"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Status Code – Stats code (e.g., Bought, Hired)</w:t>
            </w:r>
          </w:p>
          <w:p w14:paraId="73EC60E3" w14:textId="5219934D"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Estimated Value – Estimated value of the item</w:t>
            </w:r>
          </w:p>
          <w:p w14:paraId="027E4BB8" w14:textId="0C123BE1"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Currency Code – Used to report service conducted in foreign currency</w:t>
            </w:r>
          </w:p>
          <w:p w14:paraId="6463A495" w14:textId="657D2414" w:rsidR="3C0BAC93" w:rsidRDefault="3C0BAC93" w:rsidP="3C0BAC93">
            <w:r w:rsidRPr="3C0BAC93">
              <w:rPr>
                <w:rFonts w:ascii="Calibri" w:eastAsia="Calibri" w:hAnsi="Calibri" w:cs="Calibri"/>
              </w:rPr>
              <w:t xml:space="preserve"> </w:t>
            </w:r>
          </w:p>
        </w:tc>
        <w:tc>
          <w:tcPr>
            <w:tcW w:w="4500" w:type="dxa"/>
            <w:tcBorders>
              <w:top w:val="single" w:sz="4" w:space="0" w:color="auto"/>
              <w:left w:val="single" w:sz="4" w:space="0" w:color="auto"/>
              <w:bottom w:val="single" w:sz="4" w:space="0" w:color="auto"/>
              <w:right w:val="single" w:sz="4" w:space="0" w:color="auto"/>
            </w:tcBorders>
            <w:tcMar>
              <w:left w:w="108" w:type="dxa"/>
              <w:right w:w="108" w:type="dxa"/>
            </w:tcMar>
          </w:tcPr>
          <w:p w14:paraId="1CB28BF4" w14:textId="28667E1B"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lastRenderedPageBreak/>
              <w:t>Disposed Value - Effective value for property transfer (value must be in AED)</w:t>
            </w:r>
          </w:p>
          <w:p w14:paraId="4A504240" w14:textId="444AFB06"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Size UOM – Unit of measurement (e.g. square meters)</w:t>
            </w:r>
          </w:p>
          <w:p w14:paraId="24EBBAF8" w14:textId="63F8513D"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lastRenderedPageBreak/>
              <w:t>Size – Size of the property</w:t>
            </w:r>
          </w:p>
          <w:p w14:paraId="77EE7049" w14:textId="1CA7759F"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Registration Number – Official registration number (e.g., Car VIN Number)</w:t>
            </w:r>
          </w:p>
          <w:p w14:paraId="6BFCEEBD" w14:textId="250407D4"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Registration Date – Official registration date (in MM/DD/ YYYY format)</w:t>
            </w:r>
          </w:p>
          <w:p w14:paraId="1EA7874A" w14:textId="39A385C4"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Identification Number – Any number that can identify the item (e.g., Car Plate Number)</w:t>
            </w:r>
          </w:p>
          <w:p w14:paraId="05D8F55C" w14:textId="58B07C55" w:rsidR="3C0BAC93" w:rsidRDefault="3C0BAC93" w:rsidP="3C0BAC93">
            <w:pPr>
              <w:pStyle w:val="ListParagraph"/>
              <w:numPr>
                <w:ilvl w:val="0"/>
                <w:numId w:val="9"/>
              </w:numPr>
              <w:rPr>
                <w:rFonts w:ascii="Calibri" w:eastAsia="Calibri" w:hAnsi="Calibri" w:cs="Calibri"/>
                <w:sz w:val="22"/>
                <w:szCs w:val="22"/>
              </w:rPr>
            </w:pPr>
            <w:r w:rsidRPr="3C0BAC93">
              <w:rPr>
                <w:rFonts w:ascii="Calibri" w:eastAsia="Calibri" w:hAnsi="Calibri" w:cs="Calibri"/>
                <w:sz w:val="22"/>
                <w:szCs w:val="22"/>
              </w:rPr>
              <w:t>Comments – If applicable</w:t>
            </w:r>
          </w:p>
          <w:p w14:paraId="7540B1DE" w14:textId="14930719" w:rsidR="3C0BAC93" w:rsidRDefault="3C0BAC93" w:rsidP="3C0BAC93">
            <w:r w:rsidRPr="3C0BAC93">
              <w:rPr>
                <w:rFonts w:ascii="Calibri" w:eastAsia="Calibri" w:hAnsi="Calibri" w:cs="Calibri"/>
              </w:rPr>
              <w:t>**Addresses can be added</w:t>
            </w:r>
          </w:p>
        </w:tc>
      </w:tr>
    </w:tbl>
    <w:p w14:paraId="67250071" w14:textId="411F1807" w:rsidR="0065131D" w:rsidRDefault="41028EAA" w:rsidP="3C0BAC93">
      <w:pPr>
        <w:spacing w:after="0"/>
      </w:pPr>
      <w:r w:rsidRPr="3C0BAC93">
        <w:rPr>
          <w:rFonts w:ascii="Times New Roman" w:eastAsia="Times New Roman" w:hAnsi="Times New Roman" w:cs="Times New Roman"/>
        </w:rPr>
        <w:lastRenderedPageBreak/>
        <w:t xml:space="preserve"> </w:t>
      </w:r>
    </w:p>
    <w:p w14:paraId="59D7CA0A" w14:textId="30A21BB5" w:rsidR="0065131D" w:rsidRDefault="41028EAA" w:rsidP="3C0BAC93">
      <w:pPr>
        <w:tabs>
          <w:tab w:val="left" w:pos="2102"/>
        </w:tabs>
        <w:spacing w:before="1" w:after="0" w:line="283" w:lineRule="auto"/>
        <w:ind w:right="190"/>
      </w:pPr>
      <w:r w:rsidRPr="3C0BAC93">
        <w:rPr>
          <w:rFonts w:ascii="Times New Roman" w:eastAsia="Times New Roman" w:hAnsi="Times New Roman" w:cs="Times New Roman"/>
          <w:sz w:val="19"/>
          <w:szCs w:val="19"/>
        </w:rPr>
        <w:t xml:space="preserve"> </w:t>
      </w:r>
    </w:p>
    <w:p w14:paraId="0143FE1D" w14:textId="3E5B6AD0" w:rsidR="0065131D" w:rsidRDefault="41028EAA" w:rsidP="3C0BAC93">
      <w:pPr>
        <w:tabs>
          <w:tab w:val="left" w:pos="2102"/>
        </w:tabs>
        <w:spacing w:before="1" w:after="0" w:line="283" w:lineRule="auto"/>
        <w:ind w:left="426" w:right="190"/>
      </w:pPr>
      <w:r w:rsidRPr="3C0BAC93">
        <w:rPr>
          <w:rFonts w:ascii="Times New Roman" w:eastAsia="Times New Roman" w:hAnsi="Times New Roman" w:cs="Times New Roman"/>
          <w:b/>
          <w:bCs/>
          <w:sz w:val="19"/>
          <w:szCs w:val="19"/>
        </w:rPr>
        <w:t xml:space="preserve">Activity [4.2.6 GoAML XML Registration Guide]: </w:t>
      </w:r>
    </w:p>
    <w:p w14:paraId="318AE615" w14:textId="5E34E1A1" w:rsidR="0065131D" w:rsidRDefault="41028EAA" w:rsidP="3C0BAC93">
      <w:pPr>
        <w:spacing w:before="173" w:after="0" w:line="281" w:lineRule="auto"/>
        <w:ind w:left="426" w:right="189"/>
        <w:jc w:val="both"/>
      </w:pPr>
      <w:r w:rsidRPr="3C0BAC93">
        <w:rPr>
          <w:rFonts w:ascii="Calibri" w:eastAsia="Calibri" w:hAnsi="Calibri" w:cs="Calibri"/>
          <w:sz w:val="22"/>
          <w:szCs w:val="22"/>
        </w:rPr>
        <w:t xml:space="preserve">If the report does not contain any transaction(s), then the activity details may be captured in the report. The activity details will include the significance of a concerned subject (scale of 0-10), the reason for reporting the party, and any comments. The ‘Activity’ tab will be shown only in the case the reporting entity is submitting an “SAR”, “RFI without transaction(s)” or an “AIF without transaction(s)” based report file. </w:t>
      </w:r>
      <w:r w:rsidR="005E0C3C">
        <w:br/>
      </w:r>
      <w:r w:rsidRPr="3C0BAC93">
        <w:rPr>
          <w:rFonts w:ascii="Calibri" w:eastAsia="Calibri" w:hAnsi="Calibri" w:cs="Calibri"/>
          <w:sz w:val="22"/>
          <w:szCs w:val="22"/>
        </w:rPr>
        <w:t xml:space="preserve">Upon completion of all the mandatory fields (noted above) and submission of the report in the goAML system, the report will be provided to the FIU. </w:t>
      </w:r>
    </w:p>
    <w:p w14:paraId="1E1C2DF6" w14:textId="374184CB" w:rsidR="0065131D" w:rsidRDefault="41028EAA" w:rsidP="3C0BAC93">
      <w:pPr>
        <w:spacing w:before="173" w:after="0" w:line="281" w:lineRule="auto"/>
        <w:ind w:left="426" w:right="189"/>
        <w:jc w:val="both"/>
      </w:pPr>
      <w:r w:rsidRPr="3C0BAC93">
        <w:rPr>
          <w:rFonts w:ascii="Calibri" w:eastAsia="Calibri" w:hAnsi="Calibri" w:cs="Calibri"/>
          <w:sz w:val="22"/>
          <w:szCs w:val="22"/>
        </w:rPr>
        <w:t>It is mandatory for  UAE to attach supplemental documents to accompany the submission—including but not limited to—Know Your Customer (“KYC”) documentation, copies of identification documentation, account opening forms, transaction receipts, financial statements, and other documents relevant to the investigation. In the instance that  UAE conducted due diligence or internal investigations, the corresponding documents is also attached. This will assist the FIU in reviewing the report with all the appropriate documentation to support its review and analysis.</w:t>
      </w:r>
    </w:p>
    <w:p w14:paraId="510A6559" w14:textId="17579D27" w:rsidR="0065131D" w:rsidRDefault="41028EAA" w:rsidP="3C0BAC93">
      <w:pPr>
        <w:spacing w:after="0"/>
      </w:pPr>
      <w:r w:rsidRPr="3C0BAC93">
        <w:rPr>
          <w:rFonts w:ascii="Calibri" w:eastAsia="Calibri" w:hAnsi="Calibri" w:cs="Calibri"/>
        </w:rPr>
        <w:t xml:space="preserve"> </w:t>
      </w:r>
    </w:p>
    <w:p w14:paraId="49E7C4AC" w14:textId="26305611"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Amendments to Submitted Reports</w:t>
      </w:r>
    </w:p>
    <w:p w14:paraId="52268C11" w14:textId="0819535E" w:rsidR="0065131D" w:rsidRDefault="41028EAA" w:rsidP="3C0BAC93">
      <w:pPr>
        <w:spacing w:after="0"/>
        <w:ind w:left="426"/>
      </w:pPr>
      <w:r w:rsidRPr="3C0BAC93">
        <w:rPr>
          <w:rFonts w:ascii="Calibri" w:eastAsia="Calibri" w:hAnsi="Calibri" w:cs="Calibri"/>
        </w:rPr>
        <w:t>Once a report is submitted and accepted in the system, neither the Compliance Officer, MLRO, nor FIU employees can apply any changes and amendments to the report for missing or incorrect information. However,  UAE may be requested to file a corresponding AIF, AIFT, RFI, or RFIT, and mention in the “Description of the Report” field the reason of filing.  UAE ensures that it uses the correct web reference number of the initial report. In order to avoid such incident(s) and in order to safeguard the system data integrity,  UAE adopt a maker and checker process/concept to verify the quality and accuracy of uploaded information.</w:t>
      </w:r>
    </w:p>
    <w:p w14:paraId="23B6AFA5" w14:textId="07AFC2C6" w:rsidR="0065131D" w:rsidRDefault="41028EAA" w:rsidP="3C0BAC93">
      <w:pPr>
        <w:spacing w:after="0"/>
      </w:pPr>
      <w:r w:rsidRPr="3C0BAC93">
        <w:rPr>
          <w:rFonts w:ascii="Calibri" w:eastAsia="Calibri" w:hAnsi="Calibri" w:cs="Calibri"/>
        </w:rPr>
        <w:t xml:space="preserve"> </w:t>
      </w:r>
    </w:p>
    <w:p w14:paraId="46A39276" w14:textId="5C7A5B86" w:rsidR="0065131D" w:rsidRDefault="41028EAA" w:rsidP="3C0BAC93">
      <w:pPr>
        <w:spacing w:after="0"/>
        <w:ind w:left="851"/>
      </w:pPr>
      <w:r w:rsidRPr="3C0BAC93">
        <w:rPr>
          <w:rFonts w:ascii="Calibri" w:eastAsia="Calibri" w:hAnsi="Calibri" w:cs="Calibri"/>
          <w:b/>
          <w:bCs/>
        </w:rPr>
        <w:lastRenderedPageBreak/>
        <w:t>Timing of Alert Reviews and STR or SAR Filings</w:t>
      </w:r>
    </w:p>
    <w:p w14:paraId="312F076E" w14:textId="1938C1D6"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Alert Review, Case Investigation, and STR or SAR Decision Making</w:t>
      </w:r>
    </w:p>
    <w:p w14:paraId="329A47B8" w14:textId="67409BC2" w:rsidR="0065131D" w:rsidRDefault="41028EAA" w:rsidP="3C0BAC93">
      <w:pPr>
        <w:spacing w:after="0"/>
        <w:ind w:left="426"/>
      </w:pPr>
      <w:r w:rsidRPr="3C0BAC93">
        <w:rPr>
          <w:rFonts w:ascii="Calibri" w:eastAsia="Calibri" w:hAnsi="Calibri" w:cs="Calibri"/>
        </w:rPr>
        <w:t>An efficient alert management and dispositioning process is essential to safeguarding the financial integrity of  UAE, assisting law enforcement in the identification and investigation of criminal activity, and satisfying regulatory expectations concerning timely suspicious activity reporting. The alert management and dispositioning process is adequately staffed and free of bottlenecks and include a process for the expedited filing of urgent reports in appropriate cases. For purposes of this process, “alerts” shall be understood to include automated transaction monitoring alerts, employee referrals, and law enforcement requests. The  UAE applies a risk-based approach to the alert review process by prioritizing alerts based on their risk category. For instance, alerts generated on suspicious transactions of higher-risk customers are risk-scored higher and prioritized for review.</w:t>
      </w:r>
    </w:p>
    <w:p w14:paraId="178B9D71" w14:textId="1854CC39" w:rsidR="0065131D" w:rsidRDefault="41028EAA" w:rsidP="3C0BAC93">
      <w:pPr>
        <w:spacing w:after="0"/>
      </w:pPr>
      <w:r w:rsidRPr="3C0BAC93">
        <w:rPr>
          <w:rFonts w:ascii="Calibri" w:eastAsia="Calibri" w:hAnsi="Calibri" w:cs="Calibri"/>
        </w:rPr>
        <w:t xml:space="preserve"> </w:t>
      </w:r>
    </w:p>
    <w:p w14:paraId="39240CC5" w14:textId="2E5D064D" w:rsidR="0065131D" w:rsidRDefault="41028EAA" w:rsidP="3C0BAC93">
      <w:pPr>
        <w:spacing w:after="0"/>
        <w:ind w:left="426"/>
      </w:pPr>
      <w:r w:rsidRPr="3C0BAC93">
        <w:rPr>
          <w:rFonts w:ascii="Calibri" w:eastAsia="Calibri" w:hAnsi="Calibri" w:cs="Calibri"/>
          <w:b/>
          <w:bCs/>
          <w:u w:val="single"/>
        </w:rPr>
        <w:t>Alert Review</w:t>
      </w:r>
      <w:r w:rsidRPr="3C0BAC93">
        <w:rPr>
          <w:rFonts w:ascii="Calibri" w:eastAsia="Calibri" w:hAnsi="Calibri" w:cs="Calibri"/>
        </w:rPr>
        <w:t>:  UAE employees review an alert and determine whether further investigation is warranted. The underlying basis for the determination is documented in accordance with an  UAE investigations procedures.  UAE may choose to have alert review decisions subject to Quality Control (“QC”) review, prior to final dispositioning.</w:t>
      </w:r>
    </w:p>
    <w:p w14:paraId="564523A5" w14:textId="3400EF21" w:rsidR="0065131D" w:rsidRDefault="41028EAA" w:rsidP="3C0BAC93">
      <w:pPr>
        <w:spacing w:after="0"/>
      </w:pPr>
      <w:r w:rsidRPr="3C0BAC93">
        <w:rPr>
          <w:rFonts w:ascii="Calibri" w:eastAsia="Calibri" w:hAnsi="Calibri" w:cs="Calibri"/>
        </w:rPr>
        <w:t xml:space="preserve"> </w:t>
      </w:r>
    </w:p>
    <w:p w14:paraId="0D689E2D" w14:textId="04C8BD9D" w:rsidR="0065131D" w:rsidRDefault="41028EAA" w:rsidP="3C0BAC93">
      <w:pPr>
        <w:spacing w:after="0"/>
        <w:ind w:left="426"/>
      </w:pPr>
      <w:r w:rsidRPr="3C0BAC93">
        <w:rPr>
          <w:rFonts w:ascii="Calibri" w:eastAsia="Calibri" w:hAnsi="Calibri" w:cs="Calibri"/>
        </w:rPr>
        <w:t>Where the facts available at the alert review stage are or may be sufficient to warrant an STR or SAR filing without further investigation, or where the transaction may otherwise require immediate attention (per criteria set forth below in 4.4 Activity Requiring Immediate Attention), employees immediately escalate the alerted activity to the designated STR or SAR decision authority for expedited review.</w:t>
      </w:r>
    </w:p>
    <w:p w14:paraId="7B0A99C5" w14:textId="1F24DB94" w:rsidR="0065131D" w:rsidRDefault="41028EAA" w:rsidP="3C0BAC93">
      <w:pPr>
        <w:spacing w:after="0"/>
      </w:pPr>
      <w:r w:rsidRPr="3C0BAC93">
        <w:rPr>
          <w:rFonts w:ascii="Calibri" w:eastAsia="Calibri" w:hAnsi="Calibri" w:cs="Calibri"/>
        </w:rPr>
        <w:t xml:space="preserve"> </w:t>
      </w:r>
    </w:p>
    <w:p w14:paraId="3FB36D81" w14:textId="5097CD3B" w:rsidR="0065131D" w:rsidRDefault="41028EAA" w:rsidP="3C0BAC93">
      <w:pPr>
        <w:spacing w:after="0"/>
        <w:ind w:left="426" w:hanging="142"/>
      </w:pPr>
      <w:r w:rsidRPr="3C0BAC93">
        <w:rPr>
          <w:rFonts w:ascii="Calibri" w:eastAsia="Calibri" w:hAnsi="Calibri" w:cs="Calibri"/>
          <w:b/>
          <w:bCs/>
          <w:u w:val="single"/>
        </w:rPr>
        <w:t>Case Investigation:</w:t>
      </w:r>
      <w:r w:rsidRPr="3C0BAC93">
        <w:rPr>
          <w:rFonts w:ascii="Calibri" w:eastAsia="Calibri" w:hAnsi="Calibri" w:cs="Calibri"/>
        </w:rPr>
        <w:t xml:space="preserve"> For any alerted activity determined to require further investigation, employees conduct and complete (at least preliminarily) an investigation of the alerted activity, document the results of any research or analysis performed, and make a recommendation as to whether an STR or SAR will be filed.</w:t>
      </w:r>
    </w:p>
    <w:p w14:paraId="5B46398F" w14:textId="0D4EF810" w:rsidR="0065131D" w:rsidRDefault="41028EAA" w:rsidP="3C0BAC93">
      <w:pPr>
        <w:spacing w:after="0"/>
        <w:ind w:left="426"/>
      </w:pPr>
      <w:r w:rsidRPr="3C0BAC93">
        <w:rPr>
          <w:rFonts w:ascii="Calibri" w:eastAsia="Calibri" w:hAnsi="Calibri" w:cs="Calibri"/>
        </w:rPr>
        <w:t>Where a case investigator becomes aware of activity that requires immediate attention (per criteria set forth below in 4.4 Activity Requiring Immediate Attention), employees immediately escalate the activity to the designated STR or SAR decision authority for expedited review.</w:t>
      </w:r>
    </w:p>
    <w:p w14:paraId="2F1D7F45" w14:textId="74DDDCFE" w:rsidR="0065131D" w:rsidRDefault="41028EAA" w:rsidP="3C0BAC93">
      <w:pPr>
        <w:spacing w:after="0"/>
      </w:pPr>
      <w:r w:rsidRPr="3C0BAC93">
        <w:rPr>
          <w:rFonts w:ascii="Calibri" w:eastAsia="Calibri" w:hAnsi="Calibri" w:cs="Calibri"/>
        </w:rPr>
        <w:t xml:space="preserve"> </w:t>
      </w:r>
    </w:p>
    <w:p w14:paraId="379EB4BC" w14:textId="53EF49D5" w:rsidR="0065131D" w:rsidRDefault="41028EAA" w:rsidP="3C0BAC93">
      <w:pPr>
        <w:spacing w:after="0"/>
        <w:ind w:left="426"/>
      </w:pPr>
      <w:r w:rsidRPr="3C0BAC93">
        <w:rPr>
          <w:rFonts w:ascii="Calibri" w:eastAsia="Calibri" w:hAnsi="Calibri" w:cs="Calibri"/>
        </w:rPr>
        <w:t xml:space="preserve">If, in the case investigator’s judgment, the facts available at the filing recommendation deadline meet one or more of the UAE regulatory definitions of suspicious activity, the case investigator will submit a recommendation to file an STR or SAR, even if certain aspects of the activity remain unexplained. Unanswered requests for information (RFIs) made in the course of a case investigation should not delay the timely submission of recommendations </w:t>
      </w:r>
      <w:r w:rsidRPr="3C0BAC93">
        <w:rPr>
          <w:rFonts w:ascii="Calibri" w:eastAsia="Calibri" w:hAnsi="Calibri" w:cs="Calibri"/>
        </w:rPr>
        <w:lastRenderedPageBreak/>
        <w:t>with respect to an STR or SAR filing.  UAE define the reasonable RFI timeframe to allow the customer to respond to quires raised during a case investigation as part of the RFI process. This RFI timeframe is within 20 working days from the date of alert generation.</w:t>
      </w:r>
    </w:p>
    <w:p w14:paraId="1D436A33" w14:textId="05B36BE9" w:rsidR="0065131D" w:rsidRDefault="41028EAA" w:rsidP="3C0BAC93">
      <w:pPr>
        <w:spacing w:after="0"/>
      </w:pPr>
      <w:r w:rsidRPr="3C0BAC93">
        <w:rPr>
          <w:rFonts w:ascii="Calibri" w:eastAsia="Calibri" w:hAnsi="Calibri" w:cs="Calibri"/>
        </w:rPr>
        <w:t xml:space="preserve"> </w:t>
      </w:r>
    </w:p>
    <w:p w14:paraId="45B8E636" w14:textId="480DD700" w:rsidR="0065131D" w:rsidRDefault="41028EAA" w:rsidP="3C0BAC93">
      <w:pPr>
        <w:spacing w:after="0"/>
        <w:ind w:left="426"/>
      </w:pPr>
      <w:r w:rsidRPr="3C0BAC93">
        <w:rPr>
          <w:rFonts w:ascii="Calibri" w:eastAsia="Calibri" w:hAnsi="Calibri" w:cs="Calibri"/>
          <w:b/>
          <w:bCs/>
          <w:u w:val="single"/>
        </w:rPr>
        <w:t>STR or SAR Decision Making</w:t>
      </w:r>
      <w:r w:rsidRPr="3C0BAC93">
        <w:rPr>
          <w:rFonts w:ascii="Calibri" w:eastAsia="Calibri" w:hAnsi="Calibri" w:cs="Calibri"/>
        </w:rPr>
        <w:t>: In the absence of escalation for expedited review,  UAE is to file an STR/SAR within a maximum of 35 business days from the date of automated alert generation. The establishment of adequate grounds of suspicion may involve the investigation procedures as per the  UAEs' AML and/or Financial Crime Compliance policies and procedures.  UAE is to complete the required investigative procedures as expeditiously as possible.  UAE will maintain adequately detailed records of investigative procedures performed against alerts and when filing an STR/SAR, it will include a summary justifying the time taken to establish grounds of suspicion.</w:t>
      </w:r>
    </w:p>
    <w:p w14:paraId="6B13D905" w14:textId="700E4396" w:rsidR="0065131D" w:rsidRDefault="41028EAA" w:rsidP="3C0BAC93">
      <w:pPr>
        <w:spacing w:after="0"/>
      </w:pPr>
      <w:r w:rsidRPr="3C0BAC93">
        <w:rPr>
          <w:rFonts w:ascii="Calibri" w:eastAsia="Calibri" w:hAnsi="Calibri" w:cs="Calibri"/>
        </w:rPr>
        <w:t xml:space="preserve"> </w:t>
      </w:r>
    </w:p>
    <w:p w14:paraId="631637B2" w14:textId="289B884D" w:rsidR="0065131D" w:rsidRDefault="41028EAA" w:rsidP="3C0BAC93">
      <w:pPr>
        <w:spacing w:after="0"/>
        <w:ind w:left="426"/>
      </w:pPr>
      <w:r w:rsidRPr="3C0BAC93">
        <w:rPr>
          <w:rFonts w:ascii="Calibri" w:eastAsia="Calibri" w:hAnsi="Calibri" w:cs="Calibri"/>
        </w:rPr>
        <w:t>In the event of escalation for expedited review, the Compliance Officer or MLRO review the activity and decide as to whether it is suspicious within 24 hours of the date of escalation. Where appropriate, the Compliance Officer or MLRO also escalate the activity for potential exit and account closure</w:t>
      </w:r>
    </w:p>
    <w:p w14:paraId="220F20C2" w14:textId="074788E1" w:rsidR="0065131D" w:rsidRDefault="41028EAA" w:rsidP="3C0BAC93">
      <w:pPr>
        <w:spacing w:after="0"/>
      </w:pPr>
      <w:r w:rsidRPr="3C0BAC93">
        <w:rPr>
          <w:rFonts w:ascii="Calibri" w:eastAsia="Calibri" w:hAnsi="Calibri" w:cs="Calibri"/>
        </w:rPr>
        <w:t xml:space="preserve"> </w:t>
      </w:r>
    </w:p>
    <w:p w14:paraId="49E4ED71" w14:textId="7F25E3E4"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STR or SAR Filing</w:t>
      </w:r>
    </w:p>
    <w:p w14:paraId="28F20789" w14:textId="3088D2C6" w:rsidR="0065131D" w:rsidRDefault="41028EAA" w:rsidP="3C0BAC93">
      <w:pPr>
        <w:spacing w:after="0"/>
        <w:ind w:left="720"/>
      </w:pPr>
      <w:r w:rsidRPr="3C0BAC93">
        <w:rPr>
          <w:rFonts w:ascii="Calibri" w:eastAsia="Calibri" w:hAnsi="Calibri" w:cs="Calibri"/>
        </w:rPr>
        <w:t xml:space="preserve">In the absence of escalation for expedited review,  UAE is expected to file an STR/SAR within a maximum of 35 business days from the date of automated alert generation. The establishment of adequate grounds of suspicion may involve the investigation procedures as per the  UAE’s' AML and/or Financial Crime Compliance policies and procedures.  UAE is expected to complete the required investigative procedures as expeditiously as possible.  UAE is to maintain adequately detailed records of investigative procedures performed against alerts and when filing an STR/SAR, it will include a summary justifying the time taken to establish grounds of suspicion. </w:t>
      </w:r>
    </w:p>
    <w:p w14:paraId="78E7F1DE" w14:textId="7B68CAE7" w:rsidR="0065131D" w:rsidRDefault="41028EAA" w:rsidP="3C0BAC93">
      <w:pPr>
        <w:spacing w:after="0"/>
      </w:pPr>
      <w:r w:rsidRPr="3C0BAC93">
        <w:rPr>
          <w:rFonts w:ascii="Calibri" w:eastAsia="Calibri" w:hAnsi="Calibri" w:cs="Calibri"/>
        </w:rPr>
        <w:t xml:space="preserve"> </w:t>
      </w:r>
    </w:p>
    <w:p w14:paraId="45E5008A" w14:textId="3B8E0299" w:rsidR="0065131D" w:rsidRDefault="41028EAA" w:rsidP="3C0BAC93">
      <w:pPr>
        <w:spacing w:after="0"/>
        <w:ind w:left="720"/>
      </w:pPr>
      <w:r w:rsidRPr="3C0BAC93">
        <w:rPr>
          <w:rFonts w:ascii="Calibri" w:eastAsia="Calibri" w:hAnsi="Calibri" w:cs="Calibri"/>
        </w:rPr>
        <w:t xml:space="preserve">In the event of escalation for expedited review, the Compliance Officer or MLRO will file an STR or SAR to the FIU within 24 hours of the determination. All prospective STRs or SARs will be reviewed for accuracy and completeness prior to filing, in accordance with applicable procedures. </w:t>
      </w:r>
    </w:p>
    <w:p w14:paraId="4A3F1606" w14:textId="3B3CA21F" w:rsidR="0065131D" w:rsidRDefault="41028EAA" w:rsidP="3C0BAC93">
      <w:pPr>
        <w:spacing w:after="0"/>
        <w:ind w:left="720"/>
      </w:pPr>
      <w:r w:rsidRPr="3C0BAC93">
        <w:rPr>
          <w:rFonts w:ascii="Calibri" w:eastAsia="Calibri" w:hAnsi="Calibri" w:cs="Calibri"/>
        </w:rPr>
        <w:t xml:space="preserve"> UAE is ultimately responsible under UAE’s AML-CFT Law to report suspicious activity without delay and will seek to file STRs and SARs ahead of the prescribed timeline.</w:t>
      </w:r>
    </w:p>
    <w:p w14:paraId="7DDC3A3B" w14:textId="61A8631D" w:rsidR="0065131D" w:rsidRDefault="41028EAA" w:rsidP="3C0BAC93">
      <w:pPr>
        <w:spacing w:after="0"/>
      </w:pPr>
      <w:r w:rsidRPr="3C0BAC93">
        <w:rPr>
          <w:rFonts w:ascii="Calibri" w:eastAsia="Calibri" w:hAnsi="Calibri" w:cs="Calibri"/>
        </w:rPr>
        <w:t xml:space="preserve"> </w:t>
      </w:r>
    </w:p>
    <w:p w14:paraId="6E038BD9" w14:textId="181CADE1"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Monitoring and Reporting of Continuing Suspicious Activity</w:t>
      </w:r>
    </w:p>
    <w:p w14:paraId="00C16A8C" w14:textId="19D6C936" w:rsidR="0065131D" w:rsidRDefault="41028EAA" w:rsidP="3C0BAC93">
      <w:pPr>
        <w:spacing w:after="0"/>
        <w:ind w:left="720"/>
      </w:pPr>
      <w:r w:rsidRPr="3C0BAC93">
        <w:rPr>
          <w:rFonts w:ascii="Calibri" w:eastAsia="Calibri" w:hAnsi="Calibri" w:cs="Calibri"/>
        </w:rPr>
        <w:t xml:space="preserve">Upon filing an STR/SAR pertaining to an account holder,  UAE will implement enhanced monitoring on such account holders. In the case of continued suspicious activity </w:t>
      </w:r>
      <w:r w:rsidRPr="3C0BAC93">
        <w:rPr>
          <w:rFonts w:ascii="Calibri" w:eastAsia="Calibri" w:hAnsi="Calibri" w:cs="Calibri"/>
        </w:rPr>
        <w:lastRenderedPageBreak/>
        <w:t>detected against said account holder,  UAE will expeditiously file an STR/SAR with the FIU.</w:t>
      </w:r>
    </w:p>
    <w:p w14:paraId="0E892A58" w14:textId="02016B78" w:rsidR="0065131D" w:rsidRDefault="41028EAA" w:rsidP="3C0BAC93">
      <w:pPr>
        <w:spacing w:after="0"/>
      </w:pPr>
      <w:r w:rsidRPr="3C0BAC93">
        <w:rPr>
          <w:rFonts w:ascii="Calibri" w:eastAsia="Calibri" w:hAnsi="Calibri" w:cs="Calibri"/>
        </w:rPr>
        <w:t xml:space="preserve"> </w:t>
      </w:r>
    </w:p>
    <w:p w14:paraId="68DC957E" w14:textId="5D35C69E"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Activity Requiring Immediate Attention</w:t>
      </w:r>
    </w:p>
    <w:p w14:paraId="65CA5C5B" w14:textId="05411684" w:rsidR="0065131D" w:rsidRDefault="41028EAA" w:rsidP="3C0BAC93">
      <w:pPr>
        <w:spacing w:after="0"/>
        <w:ind w:left="720"/>
      </w:pPr>
      <w:r w:rsidRPr="3C0BAC93">
        <w:rPr>
          <w:rFonts w:ascii="Calibri" w:eastAsia="Calibri" w:hAnsi="Calibri" w:cs="Calibri"/>
        </w:rPr>
        <w:t>Situations requiring immediate attention include reportable violations that are ongoing (e.g., part of an ongoing money laundering scheme as indicated by an appropriate law enforcement authority) and transactions that the  UAE suspects are related to the financing of terrorism and illegal organizations.</w:t>
      </w:r>
    </w:p>
    <w:p w14:paraId="4D1DC78C" w14:textId="49B3D8BF" w:rsidR="0065131D" w:rsidRDefault="41028EAA" w:rsidP="3C0BAC93">
      <w:pPr>
        <w:spacing w:after="0"/>
      </w:pPr>
      <w:r w:rsidRPr="3C0BAC93">
        <w:rPr>
          <w:rFonts w:ascii="Calibri" w:eastAsia="Calibri" w:hAnsi="Calibri" w:cs="Calibri"/>
        </w:rPr>
        <w:t xml:space="preserve"> </w:t>
      </w:r>
    </w:p>
    <w:p w14:paraId="47B97680" w14:textId="044B8B03"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Exceptions for Complex Investigations</w:t>
      </w:r>
    </w:p>
    <w:p w14:paraId="7FFB0A90" w14:textId="44E30B3E" w:rsidR="0065131D" w:rsidRDefault="41028EAA" w:rsidP="3C0BAC93">
      <w:pPr>
        <w:spacing w:after="0"/>
        <w:ind w:left="720"/>
      </w:pPr>
      <w:r w:rsidRPr="3C0BAC93">
        <w:rPr>
          <w:rFonts w:ascii="Calibri" w:eastAsia="Calibri" w:hAnsi="Calibri" w:cs="Calibri"/>
        </w:rPr>
        <w:t>There may be instances when the  UAE encounters potentially unusual or suspicious activity that is of a “complex” nature. The following is a non-exhaustive list of factors that are considered to determine whether investigated activity qualifies as a complex investigation: employee-related investigations; significant investigations involving multiple customers, multiple jurisdictions, multiple accounts, multiple transactions, and/or multiple subpoena requests; and legal referred investigations.</w:t>
      </w:r>
    </w:p>
    <w:p w14:paraId="75CAE676" w14:textId="0E9A8878" w:rsidR="0065131D" w:rsidRDefault="41028EAA" w:rsidP="3C0BAC93">
      <w:pPr>
        <w:spacing w:after="0"/>
      </w:pPr>
      <w:r w:rsidRPr="3C0BAC93">
        <w:rPr>
          <w:rFonts w:ascii="Calibri" w:eastAsia="Calibri" w:hAnsi="Calibri" w:cs="Calibri"/>
        </w:rPr>
        <w:t xml:space="preserve"> </w:t>
      </w:r>
    </w:p>
    <w:p w14:paraId="1080C03A" w14:textId="650A85A7" w:rsidR="0065131D" w:rsidRDefault="41028EAA" w:rsidP="3C0BAC93">
      <w:pPr>
        <w:spacing w:after="0"/>
        <w:ind w:left="720"/>
      </w:pPr>
      <w:r w:rsidRPr="3C0BAC93">
        <w:rPr>
          <w:rFonts w:ascii="Calibri" w:eastAsia="Calibri" w:hAnsi="Calibri" w:cs="Calibri"/>
        </w:rPr>
        <w:t>If the  UAE designates an investigation as “complex,” the  UAE submits an initial STR or SAR filing within 15 days of determination that the activity is suspicious, and the STR or SAR filing will be annotated as a “complex investigation” to the FIU. Following the initial STR or SAR filing, the  UAE has an additional 30 days to obtain all necessary information related to the complex investigation and submit a follow-up STR or SAR to the FIU</w:t>
      </w:r>
    </w:p>
    <w:p w14:paraId="6E3DC163" w14:textId="4A052660" w:rsidR="0065131D" w:rsidRDefault="41028EAA" w:rsidP="3C0BAC93">
      <w:pPr>
        <w:spacing w:after="0"/>
      </w:pPr>
      <w:r w:rsidRPr="3C0BAC93">
        <w:rPr>
          <w:rFonts w:ascii="Calibri" w:eastAsia="Calibri" w:hAnsi="Calibri" w:cs="Calibri"/>
        </w:rPr>
        <w:t xml:space="preserve"> </w:t>
      </w:r>
    </w:p>
    <w:p w14:paraId="27B15FF3" w14:textId="526597C9"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Summary of Review, Investigation, and Reporting Timelines</w:t>
      </w:r>
    </w:p>
    <w:p w14:paraId="42C5FA2F" w14:textId="7A4D3714" w:rsidR="0065131D" w:rsidRDefault="41028EAA" w:rsidP="3C0BAC93">
      <w:pPr>
        <w:spacing w:after="0"/>
        <w:ind w:left="720"/>
      </w:pPr>
      <w:r w:rsidRPr="3C0BAC93">
        <w:rPr>
          <w:rFonts w:ascii="Calibri" w:eastAsia="Calibri" w:hAnsi="Calibri" w:cs="Calibri"/>
        </w:rPr>
        <w:t>The following table summarizes the recommended suspicious activity review, investigation, and reporting timelines in the absence of escalation for expedited review. Please note – the following table captures the maximum timeline by which  UAE will identify and report suspicious activity and transactions.  UAE is ultimately responsible under UAE’s AML-CFT Law to report suspicious activity without delay and will seek to file STRs and SARs ahead of the below timelines</w:t>
      </w:r>
    </w:p>
    <w:p w14:paraId="328161FC" w14:textId="69D2C8B1" w:rsidR="0065131D" w:rsidRDefault="41028EAA" w:rsidP="3C0BAC93">
      <w:pPr>
        <w:spacing w:after="0"/>
      </w:pPr>
      <w:r w:rsidRPr="3C0BAC93">
        <w:rPr>
          <w:rFonts w:ascii="Calibri" w:eastAsia="Calibri" w:hAnsi="Calibri" w:cs="Calibri"/>
        </w:rPr>
        <w:t xml:space="preserve"> </w:t>
      </w:r>
    </w:p>
    <w:tbl>
      <w:tblPr>
        <w:tblW w:w="0" w:type="auto"/>
        <w:tblInd w:w="-150" w:type="dxa"/>
        <w:tblLook w:val="01E0" w:firstRow="1" w:lastRow="1" w:firstColumn="1" w:lastColumn="1" w:noHBand="0" w:noVBand="0"/>
      </w:tblPr>
      <w:tblGrid>
        <w:gridCol w:w="5473"/>
        <w:gridCol w:w="4027"/>
      </w:tblGrid>
      <w:tr w:rsidR="3C0BAC93" w14:paraId="0002F637" w14:textId="77777777" w:rsidTr="3C0BAC93">
        <w:trPr>
          <w:trHeight w:val="165"/>
        </w:trPr>
        <w:tc>
          <w:tcPr>
            <w:tcW w:w="59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9FE651" w14:textId="2B6E6B07" w:rsidR="3C0BAC93" w:rsidRDefault="3C0BAC93" w:rsidP="3C0BAC93">
            <w:pPr>
              <w:spacing w:before="34" w:after="0"/>
              <w:ind w:left="102"/>
            </w:pPr>
            <w:r w:rsidRPr="3C0BAC93">
              <w:rPr>
                <w:rFonts w:ascii="Arial" w:eastAsia="Arial" w:hAnsi="Arial" w:cs="Arial"/>
                <w:b/>
                <w:bCs/>
                <w:sz w:val="19"/>
                <w:szCs w:val="19"/>
              </w:rPr>
              <w:t>Action</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8D9DB4" w14:textId="7A7BD1B2" w:rsidR="3C0BAC93" w:rsidRDefault="3C0BAC93" w:rsidP="3C0BAC93">
            <w:pPr>
              <w:spacing w:before="34" w:after="0"/>
              <w:ind w:left="104"/>
            </w:pPr>
            <w:r w:rsidRPr="3C0BAC93">
              <w:rPr>
                <w:rFonts w:ascii="Arial" w:eastAsia="Arial" w:hAnsi="Arial" w:cs="Arial"/>
                <w:b/>
                <w:bCs/>
                <w:sz w:val="19"/>
                <w:szCs w:val="19"/>
              </w:rPr>
              <w:t>Maximum Timeline in Calendar Days</w:t>
            </w:r>
          </w:p>
        </w:tc>
      </w:tr>
      <w:tr w:rsidR="3C0BAC93" w14:paraId="5AEA9E66" w14:textId="77777777" w:rsidTr="3C0BAC93">
        <w:trPr>
          <w:trHeight w:val="405"/>
        </w:trPr>
        <w:tc>
          <w:tcPr>
            <w:tcW w:w="59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8FC1221" w14:textId="71FCA9C9" w:rsidR="3C0BAC93" w:rsidRDefault="3C0BAC93" w:rsidP="3C0BAC93">
            <w:pPr>
              <w:spacing w:before="32" w:after="0" w:line="245" w:lineRule="auto"/>
              <w:ind w:left="102" w:right="93"/>
              <w:jc w:val="both"/>
            </w:pPr>
            <w:r w:rsidRPr="3C0BAC93">
              <w:rPr>
                <w:rFonts w:ascii="Arial" w:eastAsia="Arial" w:hAnsi="Arial" w:cs="Arial"/>
                <w:b/>
                <w:bCs/>
                <w:sz w:val="19"/>
                <w:szCs w:val="19"/>
              </w:rPr>
              <w:t>Dispositioning of alert; recommendation on whether to file an STR or SAR; and decision on whether to file an STR or SAR</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8B7972" w14:textId="199C909A" w:rsidR="3C0BAC93" w:rsidRDefault="3C0BAC93" w:rsidP="3C0BAC93">
            <w:pPr>
              <w:spacing w:before="1" w:after="0"/>
            </w:pPr>
            <w:r w:rsidRPr="3C0BAC93">
              <w:rPr>
                <w:rFonts w:ascii="Arial" w:eastAsia="Arial" w:hAnsi="Arial" w:cs="Arial"/>
                <w:sz w:val="23"/>
                <w:szCs w:val="23"/>
              </w:rPr>
              <w:t xml:space="preserve"> </w:t>
            </w:r>
          </w:p>
          <w:p w14:paraId="4559B551" w14:textId="6EE565B6" w:rsidR="3C0BAC93" w:rsidRDefault="3C0BAC93" w:rsidP="3C0BAC93">
            <w:pPr>
              <w:spacing w:after="0"/>
              <w:ind w:left="104"/>
            </w:pPr>
            <w:r w:rsidRPr="3C0BAC93">
              <w:rPr>
                <w:rFonts w:ascii="Arial" w:eastAsia="Arial" w:hAnsi="Arial" w:cs="Arial"/>
                <w:sz w:val="19"/>
                <w:szCs w:val="19"/>
              </w:rPr>
              <w:t xml:space="preserve"> UAE will file an STR/SAR </w:t>
            </w:r>
          </w:p>
          <w:p w14:paraId="4B4B26B0" w14:textId="40C7B0BE" w:rsidR="3C0BAC93" w:rsidRDefault="3C0BAC93" w:rsidP="3C0BAC93">
            <w:pPr>
              <w:spacing w:after="0"/>
              <w:ind w:left="104"/>
            </w:pPr>
            <w:r w:rsidRPr="3C0BAC93">
              <w:rPr>
                <w:rFonts w:ascii="Arial" w:eastAsia="Arial" w:hAnsi="Arial" w:cs="Arial"/>
                <w:sz w:val="19"/>
                <w:szCs w:val="19"/>
              </w:rPr>
              <w:t xml:space="preserve">within a maximum of 35 business days </w:t>
            </w:r>
          </w:p>
          <w:p w14:paraId="49D73B0E" w14:textId="77B7210B" w:rsidR="3C0BAC93" w:rsidRDefault="3C0BAC93" w:rsidP="3C0BAC93">
            <w:pPr>
              <w:spacing w:after="0"/>
              <w:ind w:left="104"/>
            </w:pPr>
            <w:r w:rsidRPr="3C0BAC93">
              <w:rPr>
                <w:rFonts w:ascii="Arial" w:eastAsia="Arial" w:hAnsi="Arial" w:cs="Arial"/>
                <w:sz w:val="19"/>
                <w:szCs w:val="19"/>
              </w:rPr>
              <w:t xml:space="preserve">from the date of automated alert </w:t>
            </w:r>
          </w:p>
          <w:p w14:paraId="0FAC2E40" w14:textId="1B6F2CC6" w:rsidR="3C0BAC93" w:rsidRDefault="3C0BAC93" w:rsidP="3C0BAC93">
            <w:pPr>
              <w:spacing w:after="0"/>
              <w:ind w:left="104"/>
            </w:pPr>
            <w:r w:rsidRPr="3C0BAC93">
              <w:rPr>
                <w:rFonts w:ascii="Arial" w:eastAsia="Arial" w:hAnsi="Arial" w:cs="Arial"/>
                <w:sz w:val="19"/>
                <w:szCs w:val="19"/>
              </w:rPr>
              <w:t>generation</w:t>
            </w:r>
          </w:p>
        </w:tc>
      </w:tr>
      <w:tr w:rsidR="3C0BAC93" w14:paraId="71381C57" w14:textId="77777777" w:rsidTr="3C0BAC93">
        <w:trPr>
          <w:trHeight w:val="300"/>
        </w:trPr>
        <w:tc>
          <w:tcPr>
            <w:tcW w:w="59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38A29DC" w14:textId="213D5407" w:rsidR="3C0BAC93" w:rsidRDefault="3C0BAC93" w:rsidP="3C0BAC93">
            <w:pPr>
              <w:spacing w:before="52" w:after="0" w:line="242" w:lineRule="auto"/>
              <w:ind w:left="102" w:right="94"/>
            </w:pPr>
            <w:r w:rsidRPr="3C0BAC93">
              <w:rPr>
                <w:rFonts w:ascii="Arial" w:eastAsia="Arial" w:hAnsi="Arial" w:cs="Arial"/>
                <w:b/>
                <w:bCs/>
                <w:sz w:val="19"/>
                <w:szCs w:val="19"/>
              </w:rPr>
              <w:t>Filing of a follow-up STR or SAR for a “complex investigation”</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ABA3EB3" w14:textId="07E7E13D" w:rsidR="3C0BAC93" w:rsidRDefault="3C0BAC93" w:rsidP="3C0BAC93">
            <w:pPr>
              <w:spacing w:before="8" w:after="0"/>
              <w:ind w:left="104" w:right="477"/>
            </w:pPr>
            <w:r w:rsidRPr="3C0BAC93">
              <w:rPr>
                <w:rFonts w:ascii="Arial" w:eastAsia="Arial" w:hAnsi="Arial" w:cs="Arial"/>
                <w:sz w:val="19"/>
                <w:szCs w:val="19"/>
              </w:rPr>
              <w:t xml:space="preserve">If  UAE designates an investigation as “complex”,  UAE will submit an initial STR within 15 business days of </w:t>
            </w:r>
          </w:p>
          <w:p w14:paraId="1561DAAA" w14:textId="656728DF" w:rsidR="3C0BAC93" w:rsidRDefault="3C0BAC93" w:rsidP="3C0BAC93">
            <w:pPr>
              <w:spacing w:before="8" w:after="0"/>
              <w:ind w:left="104" w:right="477"/>
            </w:pPr>
            <w:r w:rsidRPr="3C0BAC93">
              <w:rPr>
                <w:rFonts w:ascii="Arial" w:eastAsia="Arial" w:hAnsi="Arial" w:cs="Arial"/>
                <w:sz w:val="19"/>
                <w:szCs w:val="19"/>
              </w:rPr>
              <w:lastRenderedPageBreak/>
              <w:t xml:space="preserve">alert generation – SAR/STR will be </w:t>
            </w:r>
          </w:p>
          <w:p w14:paraId="7EC04F9F" w14:textId="35B663FA" w:rsidR="3C0BAC93" w:rsidRDefault="3C0BAC93" w:rsidP="3C0BAC93">
            <w:pPr>
              <w:spacing w:before="8" w:after="0"/>
              <w:ind w:left="104" w:right="477"/>
            </w:pPr>
            <w:r w:rsidRPr="3C0BAC93">
              <w:rPr>
                <w:rFonts w:ascii="Arial" w:eastAsia="Arial" w:hAnsi="Arial" w:cs="Arial"/>
                <w:sz w:val="19"/>
                <w:szCs w:val="19"/>
              </w:rPr>
              <w:t>labelled “Complex investigation”. Follow-up SAR/STR will be submitted within 30 business days of filing the initial STR</w:t>
            </w:r>
          </w:p>
        </w:tc>
      </w:tr>
      <w:tr w:rsidR="3C0BAC93" w14:paraId="2096E817" w14:textId="77777777" w:rsidTr="3C0BAC93">
        <w:trPr>
          <w:trHeight w:val="270"/>
        </w:trPr>
        <w:tc>
          <w:tcPr>
            <w:tcW w:w="59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A0883F" w14:textId="32508A74" w:rsidR="3C0BAC93" w:rsidRDefault="3C0BAC93" w:rsidP="3C0BAC93">
            <w:pPr>
              <w:spacing w:before="133" w:after="0"/>
              <w:ind w:left="102"/>
            </w:pPr>
            <w:r w:rsidRPr="3C0BAC93">
              <w:rPr>
                <w:rFonts w:ascii="Arial" w:eastAsia="Arial" w:hAnsi="Arial" w:cs="Arial"/>
                <w:b/>
                <w:bCs/>
                <w:sz w:val="19"/>
                <w:szCs w:val="19"/>
              </w:rPr>
              <w:lastRenderedPageBreak/>
              <w:t>Filing of STR or SAR on continuing activity</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4E5C4E" w14:textId="330ACD9D" w:rsidR="3C0BAC93" w:rsidRDefault="3C0BAC93" w:rsidP="3C0BAC93">
            <w:pPr>
              <w:spacing w:before="138" w:after="0"/>
              <w:ind w:left="104"/>
            </w:pPr>
            <w:r w:rsidRPr="3C0BAC93">
              <w:rPr>
                <w:rFonts w:ascii="Arial" w:eastAsia="Arial" w:hAnsi="Arial" w:cs="Arial"/>
                <w:sz w:val="19"/>
                <w:szCs w:val="19"/>
              </w:rPr>
              <w:t>Upon filing an STR/SAR pertaining to an account holder,  UAE will implement enhanced monitoring on such account holders. In the case of continued suspicious activity detected against said account holder,  UAE will expeditiously file an STR/SAR continuing activity with the FIU.</w:t>
            </w:r>
          </w:p>
        </w:tc>
      </w:tr>
    </w:tbl>
    <w:p w14:paraId="58895BF3" w14:textId="5380428F" w:rsidR="0065131D" w:rsidRDefault="41028EAA" w:rsidP="3C0BAC93">
      <w:pPr>
        <w:spacing w:after="0"/>
      </w:pPr>
      <w:r w:rsidRPr="3C0BAC93">
        <w:rPr>
          <w:rFonts w:ascii="Calibri" w:eastAsia="Calibri" w:hAnsi="Calibri" w:cs="Calibri"/>
        </w:rPr>
        <w:t xml:space="preserve"> </w:t>
      </w:r>
    </w:p>
    <w:p w14:paraId="0574783F" w14:textId="2DC1D0CD"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Escalation for Expedited Review</w:t>
      </w:r>
    </w:p>
    <w:p w14:paraId="04E03D5F" w14:textId="6D8862C0" w:rsidR="0065131D" w:rsidRDefault="41028EAA" w:rsidP="3C0BAC93">
      <w:pPr>
        <w:spacing w:after="0"/>
        <w:ind w:left="720"/>
      </w:pPr>
      <w:r w:rsidRPr="3C0BAC93">
        <w:rPr>
          <w:rFonts w:ascii="Calibri" w:eastAsia="Calibri" w:hAnsi="Calibri" w:cs="Calibri"/>
        </w:rPr>
        <w:t>In certain cases, an alert or case may need to be dispositioned and an STR or SAR filed more rapidly than usual processes allow. In such cases, the alert will be dispositioned and the STR or SAR filed according to the expedited review timeline as laid out below.</w:t>
      </w:r>
    </w:p>
    <w:p w14:paraId="4892A557" w14:textId="7EBABA6F" w:rsidR="0065131D" w:rsidRDefault="41028EAA" w:rsidP="3C0BAC93">
      <w:pPr>
        <w:spacing w:after="0"/>
        <w:ind w:left="720"/>
      </w:pPr>
      <w:r w:rsidRPr="3C0BAC93">
        <w:rPr>
          <w:rFonts w:ascii="Calibri" w:eastAsia="Calibri" w:hAnsi="Calibri" w:cs="Calibri"/>
        </w:rPr>
        <w:t xml:space="preserve"> </w:t>
      </w:r>
    </w:p>
    <w:p w14:paraId="33F1A9A6" w14:textId="56AB28DE" w:rsidR="0065131D" w:rsidRDefault="41028EAA" w:rsidP="3C0BAC93">
      <w:pPr>
        <w:spacing w:after="0"/>
        <w:ind w:firstLine="499"/>
      </w:pPr>
      <w:r w:rsidRPr="3C0BAC93">
        <w:rPr>
          <w:rFonts w:ascii="Calibri" w:eastAsia="Calibri" w:hAnsi="Calibri" w:cs="Calibri"/>
        </w:rPr>
        <w:t>Circumstances where expedited review is expected include:</w:t>
      </w:r>
    </w:p>
    <w:p w14:paraId="2952DAE8" w14:textId="26EAABAF" w:rsidR="0065131D" w:rsidRDefault="41028EAA" w:rsidP="3C0BAC93">
      <w:pPr>
        <w:pStyle w:val="ListParagraph"/>
        <w:numPr>
          <w:ilvl w:val="1"/>
          <w:numId w:val="11"/>
        </w:numPr>
        <w:spacing w:after="0"/>
        <w:ind w:left="850" w:hanging="351"/>
        <w:rPr>
          <w:rFonts w:ascii="Calibri" w:eastAsia="Calibri" w:hAnsi="Calibri" w:cs="Calibri"/>
          <w:sz w:val="22"/>
          <w:szCs w:val="22"/>
        </w:rPr>
      </w:pPr>
      <w:r w:rsidRPr="3C0BAC93">
        <w:rPr>
          <w:rFonts w:ascii="Calibri" w:eastAsia="Calibri" w:hAnsi="Calibri" w:cs="Calibri"/>
          <w:sz w:val="22"/>
          <w:szCs w:val="22"/>
        </w:rPr>
        <w:t>The activity requires immediate attention (as defined above); and</w:t>
      </w:r>
    </w:p>
    <w:p w14:paraId="219E74D1" w14:textId="538B4C97" w:rsidR="0065131D" w:rsidRDefault="41028EAA" w:rsidP="3C0BAC93">
      <w:pPr>
        <w:pStyle w:val="ListParagraph"/>
        <w:numPr>
          <w:ilvl w:val="1"/>
          <w:numId w:val="11"/>
        </w:numPr>
        <w:spacing w:after="0"/>
        <w:ind w:left="850" w:hanging="351"/>
        <w:rPr>
          <w:rFonts w:ascii="Calibri" w:eastAsia="Calibri" w:hAnsi="Calibri" w:cs="Calibri"/>
          <w:sz w:val="22"/>
          <w:szCs w:val="22"/>
        </w:rPr>
      </w:pPr>
      <w:r w:rsidRPr="3C0BAC93">
        <w:rPr>
          <w:rFonts w:ascii="Calibri" w:eastAsia="Calibri" w:hAnsi="Calibri" w:cs="Calibri"/>
          <w:sz w:val="22"/>
          <w:szCs w:val="22"/>
        </w:rPr>
        <w:t>The facts available at the alert review stage are or may be sufficient to warrant an STR or SAR filing without further investigation.</w:t>
      </w:r>
    </w:p>
    <w:p w14:paraId="427A2F72" w14:textId="6C5F5F58" w:rsidR="0065131D" w:rsidRDefault="41028EAA" w:rsidP="3C0BAC93">
      <w:pPr>
        <w:spacing w:after="0"/>
        <w:ind w:left="850"/>
      </w:pPr>
      <w:r w:rsidRPr="3C0BAC93">
        <w:rPr>
          <w:rFonts w:ascii="Calibri" w:eastAsia="Calibri" w:hAnsi="Calibri" w:cs="Calibri"/>
          <w:sz w:val="22"/>
          <w:szCs w:val="22"/>
        </w:rPr>
        <w:t xml:space="preserve"> </w:t>
      </w:r>
    </w:p>
    <w:p w14:paraId="27253028" w14:textId="4213100E" w:rsidR="0065131D" w:rsidRDefault="41028EAA" w:rsidP="3C0BAC93">
      <w:pPr>
        <w:spacing w:after="0"/>
        <w:ind w:left="499"/>
      </w:pPr>
      <w:r w:rsidRPr="3C0BAC93">
        <w:rPr>
          <w:rFonts w:ascii="Calibri" w:eastAsia="Calibri" w:hAnsi="Calibri" w:cs="Calibri"/>
        </w:rPr>
        <w:t>The following table summarizes the recommended suspicious activity review, investigation, and reporting timelines in the event of escalation for expedited review.</w:t>
      </w:r>
    </w:p>
    <w:tbl>
      <w:tblPr>
        <w:tblW w:w="0" w:type="auto"/>
        <w:tblInd w:w="135" w:type="dxa"/>
        <w:tblLook w:val="01E0" w:firstRow="1" w:lastRow="1" w:firstColumn="1" w:lastColumn="1" w:noHBand="0" w:noVBand="0"/>
      </w:tblPr>
      <w:tblGrid>
        <w:gridCol w:w="5419"/>
        <w:gridCol w:w="3796"/>
      </w:tblGrid>
      <w:tr w:rsidR="3C0BAC93" w14:paraId="22C503AF" w14:textId="77777777" w:rsidTr="3C0BAC93">
        <w:trPr>
          <w:trHeight w:val="390"/>
        </w:trPr>
        <w:tc>
          <w:tcPr>
            <w:tcW w:w="5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236CC4" w14:textId="50035BBA" w:rsidR="3C0BAC93" w:rsidRDefault="3C0BAC93" w:rsidP="3C0BAC93">
            <w:pPr>
              <w:spacing w:before="32" w:after="0"/>
              <w:ind w:left="105"/>
            </w:pPr>
            <w:r w:rsidRPr="3C0BAC93">
              <w:rPr>
                <w:rFonts w:ascii="Arial" w:eastAsia="Arial" w:hAnsi="Arial" w:cs="Arial"/>
                <w:b/>
                <w:bCs/>
                <w:sz w:val="19"/>
                <w:szCs w:val="19"/>
              </w:rPr>
              <w:t>Action</w:t>
            </w:r>
          </w:p>
        </w:tc>
        <w:tc>
          <w:tcPr>
            <w:tcW w:w="3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0A8D0F" w14:textId="19C6B147" w:rsidR="3C0BAC93" w:rsidRDefault="3C0BAC93" w:rsidP="3C0BAC93">
            <w:pPr>
              <w:spacing w:before="32" w:after="0" w:line="245" w:lineRule="auto"/>
              <w:ind w:left="104" w:hanging="1"/>
            </w:pPr>
            <w:r w:rsidRPr="3C0BAC93">
              <w:rPr>
                <w:rFonts w:ascii="Arial" w:eastAsia="Arial" w:hAnsi="Arial" w:cs="Arial"/>
                <w:b/>
                <w:bCs/>
                <w:sz w:val="19"/>
                <w:szCs w:val="19"/>
              </w:rPr>
              <w:t>Maximum Timeline in Calendar Days</w:t>
            </w:r>
          </w:p>
        </w:tc>
      </w:tr>
      <w:tr w:rsidR="3C0BAC93" w14:paraId="1AEF17F5" w14:textId="77777777" w:rsidTr="3C0BAC93">
        <w:trPr>
          <w:trHeight w:val="390"/>
        </w:trPr>
        <w:tc>
          <w:tcPr>
            <w:tcW w:w="5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8C2BDD7" w14:textId="737D2EAF" w:rsidR="3C0BAC93" w:rsidRDefault="3C0BAC93" w:rsidP="3C0BAC93">
            <w:pPr>
              <w:spacing w:before="32" w:after="0" w:line="245" w:lineRule="auto"/>
              <w:ind w:left="105"/>
            </w:pPr>
            <w:r w:rsidRPr="3C0BAC93">
              <w:rPr>
                <w:rFonts w:ascii="Arial" w:eastAsia="Arial" w:hAnsi="Arial" w:cs="Arial"/>
                <w:b/>
                <w:bCs/>
                <w:sz w:val="19"/>
                <w:szCs w:val="19"/>
              </w:rPr>
              <w:t>Decision on whether to file an STR or SAR and filing of first STR or SAR</w:t>
            </w:r>
          </w:p>
        </w:tc>
        <w:tc>
          <w:tcPr>
            <w:tcW w:w="3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67CA74D" w14:textId="70E1B09E" w:rsidR="3C0BAC93" w:rsidRDefault="3C0BAC93" w:rsidP="3C0BAC93">
            <w:pPr>
              <w:spacing w:before="152" w:after="0"/>
              <w:ind w:left="104"/>
            </w:pPr>
            <w:r w:rsidRPr="3C0BAC93">
              <w:rPr>
                <w:rFonts w:ascii="Arial" w:eastAsia="Arial" w:hAnsi="Arial" w:cs="Arial"/>
                <w:sz w:val="19"/>
                <w:szCs w:val="19"/>
              </w:rPr>
              <w:t>24 hours from decision to file</w:t>
            </w:r>
          </w:p>
        </w:tc>
      </w:tr>
      <w:tr w:rsidR="3C0BAC93" w14:paraId="6875950B" w14:textId="77777777" w:rsidTr="3C0BAC93">
        <w:trPr>
          <w:trHeight w:val="390"/>
        </w:trPr>
        <w:tc>
          <w:tcPr>
            <w:tcW w:w="5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DC0DF0" w14:textId="5EF52C58" w:rsidR="3C0BAC93" w:rsidRDefault="3C0BAC93" w:rsidP="3C0BAC93">
            <w:pPr>
              <w:spacing w:before="32" w:after="0" w:line="245" w:lineRule="auto"/>
              <w:ind w:left="105" w:right="90"/>
            </w:pPr>
            <w:r w:rsidRPr="3C0BAC93">
              <w:rPr>
                <w:rFonts w:ascii="Arial" w:eastAsia="Arial" w:hAnsi="Arial" w:cs="Arial"/>
                <w:b/>
                <w:bCs/>
                <w:sz w:val="19"/>
                <w:szCs w:val="19"/>
              </w:rPr>
              <w:t>Filing of STR or SAR on continuing activity</w:t>
            </w:r>
          </w:p>
        </w:tc>
        <w:tc>
          <w:tcPr>
            <w:tcW w:w="3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762EB5" w14:textId="5D841E83" w:rsidR="3C0BAC93" w:rsidRDefault="3C0BAC93" w:rsidP="3C0BAC93">
            <w:pPr>
              <w:spacing w:before="40" w:after="0" w:line="245" w:lineRule="auto"/>
              <w:ind w:left="104" w:right="214"/>
            </w:pPr>
            <w:r w:rsidRPr="3C0BAC93">
              <w:rPr>
                <w:rFonts w:ascii="Arial" w:eastAsia="Arial" w:hAnsi="Arial" w:cs="Arial"/>
                <w:sz w:val="19"/>
                <w:szCs w:val="19"/>
              </w:rPr>
              <w:t>Upon filing an STR/SAR pertaining to an account holder,  UAE will implement enhanced monitoring on such account holders. In the case of continued suspicious activity detected against said account holder,  UAE will expeditiously file an STR/SAR continuing activity with the FIU.</w:t>
            </w:r>
          </w:p>
        </w:tc>
      </w:tr>
    </w:tbl>
    <w:p w14:paraId="5338E37B" w14:textId="27EA9CD0" w:rsidR="0065131D" w:rsidRDefault="41028EAA" w:rsidP="3C0BAC93">
      <w:pPr>
        <w:spacing w:after="0"/>
      </w:pPr>
      <w:r w:rsidRPr="3C0BAC93">
        <w:rPr>
          <w:rFonts w:ascii="Calibri" w:eastAsia="Calibri" w:hAnsi="Calibri" w:cs="Calibri"/>
        </w:rPr>
        <w:t xml:space="preserve"> </w:t>
      </w:r>
    </w:p>
    <w:p w14:paraId="45827531" w14:textId="56125E08" w:rsidR="0065131D" w:rsidRDefault="41028EAA" w:rsidP="3C0BAC93">
      <w:pPr>
        <w:spacing w:after="0"/>
      </w:pPr>
      <w:r w:rsidRPr="3C0BAC93">
        <w:rPr>
          <w:rFonts w:ascii="Calibri" w:eastAsia="Calibri" w:hAnsi="Calibri" w:cs="Calibri"/>
        </w:rPr>
        <w:t xml:space="preserve"> </w:t>
      </w:r>
    </w:p>
    <w:p w14:paraId="7B31DA71" w14:textId="4A5C2B1C" w:rsidR="0065131D" w:rsidRDefault="41028EAA" w:rsidP="3C0BAC93">
      <w:pPr>
        <w:spacing w:after="0"/>
      </w:pPr>
      <w:r w:rsidRPr="3C0BAC93">
        <w:rPr>
          <w:rFonts w:ascii="Calibri" w:eastAsia="Calibri" w:hAnsi="Calibri" w:cs="Calibri"/>
        </w:rPr>
        <w:t xml:space="preserve"> </w:t>
      </w:r>
    </w:p>
    <w:p w14:paraId="6EC03E5F" w14:textId="180AC401" w:rsidR="0065131D" w:rsidRDefault="41028EAA" w:rsidP="3C0BAC93">
      <w:pPr>
        <w:spacing w:after="0"/>
      </w:pPr>
      <w:r w:rsidRPr="3C0BAC93">
        <w:rPr>
          <w:rFonts w:ascii="Calibri" w:eastAsia="Calibri" w:hAnsi="Calibri" w:cs="Calibri"/>
        </w:rPr>
        <w:t xml:space="preserve"> </w:t>
      </w:r>
    </w:p>
    <w:p w14:paraId="784859CC" w14:textId="778B8546" w:rsidR="0065131D" w:rsidRDefault="41028EAA" w:rsidP="3C0BAC93">
      <w:pPr>
        <w:spacing w:after="0"/>
      </w:pPr>
      <w:r w:rsidRPr="3C0BAC93">
        <w:rPr>
          <w:rFonts w:ascii="Calibri" w:eastAsia="Calibri" w:hAnsi="Calibri" w:cs="Calibri"/>
        </w:rPr>
        <w:t xml:space="preserve"> </w:t>
      </w:r>
    </w:p>
    <w:p w14:paraId="0CCF6019" w14:textId="282B21ED" w:rsidR="0065131D" w:rsidRDefault="41028EAA" w:rsidP="3C0BAC93">
      <w:pPr>
        <w:spacing w:after="0"/>
      </w:pPr>
      <w:r w:rsidRPr="3C0BAC93">
        <w:rPr>
          <w:rFonts w:ascii="Calibri" w:eastAsia="Calibri" w:hAnsi="Calibri" w:cs="Calibri"/>
        </w:rPr>
        <w:t xml:space="preserve"> </w:t>
      </w:r>
    </w:p>
    <w:p w14:paraId="45875506" w14:textId="6BF5B37A" w:rsidR="0065131D" w:rsidRDefault="41028EAA" w:rsidP="3C0BAC93">
      <w:pPr>
        <w:spacing w:after="0"/>
      </w:pPr>
      <w:r w:rsidRPr="3C0BAC93">
        <w:rPr>
          <w:rFonts w:ascii="Calibri" w:eastAsia="Calibri" w:hAnsi="Calibri" w:cs="Calibri"/>
        </w:rPr>
        <w:t xml:space="preserve"> </w:t>
      </w:r>
    </w:p>
    <w:p w14:paraId="230304F1" w14:textId="0A41628C" w:rsidR="0065131D" w:rsidRDefault="41028EAA" w:rsidP="3C0BAC93">
      <w:pPr>
        <w:spacing w:after="0"/>
      </w:pPr>
      <w:r w:rsidRPr="3C0BAC93">
        <w:rPr>
          <w:rFonts w:ascii="Calibri" w:eastAsia="Calibri" w:hAnsi="Calibri" w:cs="Calibri"/>
        </w:rPr>
        <w:t xml:space="preserve"> </w:t>
      </w:r>
    </w:p>
    <w:p w14:paraId="478E58ED" w14:textId="7C3C0949" w:rsidR="0065131D" w:rsidRDefault="41028EAA" w:rsidP="3C0BAC93">
      <w:pPr>
        <w:spacing w:after="0"/>
      </w:pPr>
      <w:r w:rsidRPr="3C0BAC93">
        <w:rPr>
          <w:rFonts w:ascii="Calibri" w:eastAsia="Calibri" w:hAnsi="Calibri" w:cs="Calibri"/>
        </w:rPr>
        <w:lastRenderedPageBreak/>
        <w:t xml:space="preserve"> </w:t>
      </w:r>
    </w:p>
    <w:p w14:paraId="346269D3" w14:textId="1E20BB7A" w:rsidR="0065131D" w:rsidRDefault="41028EAA" w:rsidP="3C0BAC93">
      <w:pPr>
        <w:spacing w:after="0"/>
      </w:pPr>
      <w:r w:rsidRPr="3C0BAC93">
        <w:rPr>
          <w:rFonts w:ascii="Calibri" w:eastAsia="Calibri" w:hAnsi="Calibri" w:cs="Calibri"/>
        </w:rPr>
        <w:t xml:space="preserve"> </w:t>
      </w:r>
    </w:p>
    <w:p w14:paraId="484F83F7" w14:textId="40014F36" w:rsidR="0065131D" w:rsidRDefault="41028EAA" w:rsidP="3C0BAC93">
      <w:pPr>
        <w:spacing w:after="0"/>
      </w:pPr>
      <w:r w:rsidRPr="3C0BAC93">
        <w:rPr>
          <w:rFonts w:ascii="Calibri" w:eastAsia="Calibri" w:hAnsi="Calibri" w:cs="Calibri"/>
        </w:rPr>
        <w:t xml:space="preserve"> </w:t>
      </w:r>
    </w:p>
    <w:p w14:paraId="097B9779" w14:textId="38EEBC8A" w:rsidR="0065131D" w:rsidRDefault="41028EAA" w:rsidP="3C0BAC93">
      <w:pPr>
        <w:spacing w:after="0"/>
      </w:pPr>
      <w:r w:rsidRPr="3C0BAC93">
        <w:rPr>
          <w:rFonts w:ascii="Calibri" w:eastAsia="Calibri" w:hAnsi="Calibri" w:cs="Calibri"/>
        </w:rPr>
        <w:t xml:space="preserve"> </w:t>
      </w:r>
    </w:p>
    <w:p w14:paraId="0AB64FE4" w14:textId="0929D806" w:rsidR="0065131D" w:rsidRDefault="41028EAA" w:rsidP="3C0BAC93">
      <w:pPr>
        <w:spacing w:after="0"/>
      </w:pPr>
      <w:r w:rsidRPr="3C0BAC93">
        <w:rPr>
          <w:rFonts w:ascii="Calibri" w:eastAsia="Calibri" w:hAnsi="Calibri" w:cs="Calibri"/>
        </w:rPr>
        <w:t xml:space="preserve"> </w:t>
      </w:r>
    </w:p>
    <w:p w14:paraId="2CFC220B" w14:textId="3DBC46E1"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Confidentiality and Prohibition against “Tipping Off”</w:t>
      </w:r>
    </w:p>
    <w:p w14:paraId="72F6E59B" w14:textId="15E46EB3" w:rsidR="0065131D" w:rsidRDefault="41028EAA" w:rsidP="3C0BAC93">
      <w:pPr>
        <w:spacing w:after="0"/>
        <w:ind w:left="709" w:firstLine="11"/>
      </w:pPr>
      <w:r w:rsidRPr="3C0BAC93">
        <w:rPr>
          <w:rFonts w:ascii="Calibri" w:eastAsia="Calibri" w:hAnsi="Calibri" w:cs="Calibri"/>
        </w:rPr>
        <w:t>According to Article 18 of the AML-CFT Decision, when reporting suspicious activity or transactions to the FIU,  UAE is obliged to maintain confidentiality with regard to both the information being reported and to the act of reporting itself, and to make reasonable efforts to ensure that the information and data reported are protected from access by any unauthorized person.</w:t>
      </w:r>
    </w:p>
    <w:p w14:paraId="08AD0C0D" w14:textId="7D8CE5AE" w:rsidR="0065131D" w:rsidRDefault="41028EAA" w:rsidP="3C0BAC93">
      <w:pPr>
        <w:spacing w:after="0"/>
      </w:pPr>
      <w:r w:rsidRPr="3C0BAC93">
        <w:rPr>
          <w:rFonts w:ascii="Calibri" w:eastAsia="Calibri" w:hAnsi="Calibri" w:cs="Calibri"/>
        </w:rPr>
        <w:t xml:space="preserve"> </w:t>
      </w:r>
    </w:p>
    <w:p w14:paraId="15D7E0A0" w14:textId="35ABD35B" w:rsidR="0065131D" w:rsidRDefault="41028EAA" w:rsidP="3C0BAC93">
      <w:pPr>
        <w:spacing w:after="0"/>
        <w:ind w:left="709"/>
      </w:pPr>
      <w:r w:rsidRPr="3C0BAC93">
        <w:rPr>
          <w:rFonts w:ascii="Calibri" w:eastAsia="Calibri" w:hAnsi="Calibri" w:cs="Calibri"/>
        </w:rPr>
        <w:t>As part of A UAE risk-based AML/CFT framework, and in keeping with the nature and size of business,  UAE has established adequate policies, procedures and controls to ensure the confidentiality and protection of information and data related to STRs, SARs, and other report types. These policies, procedures and controls are documented, approved by senior management, and communicated to the appropriate levels of the organization.</w:t>
      </w:r>
    </w:p>
    <w:p w14:paraId="0A1A7BE8" w14:textId="597616C7" w:rsidR="0065131D" w:rsidRDefault="41028EAA" w:rsidP="3C0BAC93">
      <w:pPr>
        <w:spacing w:after="0"/>
      </w:pPr>
      <w:r w:rsidRPr="3C0BAC93">
        <w:rPr>
          <w:rFonts w:ascii="Calibri" w:eastAsia="Calibri" w:hAnsi="Calibri" w:cs="Calibri"/>
        </w:rPr>
        <w:t xml:space="preserve"> </w:t>
      </w:r>
    </w:p>
    <w:p w14:paraId="4C391AB3" w14:textId="1977E7A1" w:rsidR="0065131D" w:rsidRDefault="41028EAA" w:rsidP="3C0BAC93">
      <w:pPr>
        <w:spacing w:after="0"/>
        <w:ind w:left="709"/>
      </w:pPr>
      <w:r w:rsidRPr="3C0BAC93">
        <w:rPr>
          <w:rFonts w:ascii="Calibri" w:eastAsia="Calibri" w:hAnsi="Calibri" w:cs="Calibri"/>
        </w:rPr>
        <w:t xml:space="preserve"> UAE ensures that all relevant information relating to STRs, SARs, and other report types is kept confidential, with due regard to the conditions and exceptions provided for in the law, and the guiding principles for this must be established in policies and procedures.  UAE ensures that policy and procedures are reflected in for example, appropriate access rights with regard to core systems used for case management and notifications, secure information flows and guidance/training to all employees involved. This guidance and training are particularly important for the first line of defense employees who have contact with customers. It is essential that these employees know when there may be cases of suspicious transactions, what questions they have to ask the customer and which information they must not under any circumstances disclose to the customer.</w:t>
      </w:r>
    </w:p>
    <w:p w14:paraId="1FBAF142" w14:textId="5987BA07" w:rsidR="0065131D" w:rsidRDefault="41028EAA" w:rsidP="3C0BAC93">
      <w:pPr>
        <w:spacing w:after="0"/>
        <w:ind w:left="709"/>
      </w:pPr>
      <w:r w:rsidRPr="3C0BAC93">
        <w:rPr>
          <w:rFonts w:ascii="Calibri" w:eastAsia="Calibri" w:hAnsi="Calibri" w:cs="Calibri"/>
        </w:rPr>
        <w:t>It should be noted that the confidentiality requirement does not pertain to communication within the  UAE or its affiliated group members (foreign branches, subsidiaries, or parent company) for the purpose of sharing information relevant to the identification, prevention or reporting of suspicious transactions and/or crimes related to money laundering and the financing of terrorism and illegal organizations, according to the Article 39.1 of the AML-CFT Decision.</w:t>
      </w:r>
    </w:p>
    <w:p w14:paraId="7FB2894A" w14:textId="22442729" w:rsidR="0065131D" w:rsidRDefault="41028EAA" w:rsidP="3C0BAC93">
      <w:pPr>
        <w:spacing w:after="0"/>
      </w:pPr>
      <w:r w:rsidRPr="3C0BAC93">
        <w:rPr>
          <w:rFonts w:ascii="Calibri" w:eastAsia="Calibri" w:hAnsi="Calibri" w:cs="Calibri"/>
        </w:rPr>
        <w:t xml:space="preserve"> </w:t>
      </w:r>
    </w:p>
    <w:p w14:paraId="48791570" w14:textId="568C3EFB" w:rsidR="0065131D" w:rsidRDefault="41028EAA" w:rsidP="3C0BAC93">
      <w:pPr>
        <w:spacing w:after="0"/>
        <w:ind w:left="709"/>
      </w:pPr>
      <w:r w:rsidRPr="3C0BAC93">
        <w:rPr>
          <w:rFonts w:ascii="Calibri" w:eastAsia="Calibri" w:hAnsi="Calibri" w:cs="Calibri"/>
        </w:rPr>
        <w:t xml:space="preserve">It is a federal crime for  UAE or their managers, employees, or representatives, to inform a customer or any other person, whether directly or indirectly, that a report has been </w:t>
      </w:r>
      <w:r w:rsidRPr="3C0BAC93">
        <w:rPr>
          <w:rFonts w:ascii="Calibri" w:eastAsia="Calibri" w:hAnsi="Calibri" w:cs="Calibri"/>
        </w:rPr>
        <w:lastRenderedPageBreak/>
        <w:t>filed or will be filed, or of any information or data contained in the report, or that an investigation is under way concerning the transaction, otherwise known as “tipping off.” Any person violating this prohibition is liable to a penalty of no less than AED100,000 and no more than AED500,000 and imprisonment for a term of not less than six months, according to the Article 25 of the AML-CFT Law.</w:t>
      </w:r>
    </w:p>
    <w:p w14:paraId="5C537DAB" w14:textId="446CD906" w:rsidR="0065131D" w:rsidRDefault="41028EAA" w:rsidP="3C0BAC93">
      <w:pPr>
        <w:spacing w:after="0"/>
      </w:pPr>
      <w:r w:rsidRPr="3C0BAC93">
        <w:rPr>
          <w:rFonts w:ascii="Calibri" w:eastAsia="Calibri" w:hAnsi="Calibri" w:cs="Calibri"/>
        </w:rPr>
        <w:t xml:space="preserve"> </w:t>
      </w:r>
    </w:p>
    <w:p w14:paraId="34A725D0" w14:textId="54DEDD7D"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Handling of Transactions and Business Relationships after Filing STRs or SARs</w:t>
      </w:r>
    </w:p>
    <w:p w14:paraId="778A944C" w14:textId="151F61D5" w:rsidR="0065131D" w:rsidRDefault="41028EAA" w:rsidP="3C0BAC93">
      <w:pPr>
        <w:spacing w:after="0"/>
        <w:ind w:left="709"/>
      </w:pPr>
      <w:r w:rsidRPr="3C0BAC93">
        <w:rPr>
          <w:rFonts w:ascii="Calibri" w:eastAsia="Calibri" w:hAnsi="Calibri" w:cs="Calibri"/>
        </w:rPr>
        <w:t>Requirements for Corresponding with the FIU</w:t>
      </w:r>
    </w:p>
    <w:p w14:paraId="5FAA2D1C" w14:textId="2D080F1C" w:rsidR="0065131D" w:rsidRDefault="41028EAA" w:rsidP="3C0BAC93">
      <w:pPr>
        <w:spacing w:after="0"/>
        <w:ind w:left="709"/>
      </w:pPr>
      <w:r w:rsidRPr="3C0BAC93">
        <w:rPr>
          <w:rFonts w:ascii="Calibri" w:eastAsia="Calibri" w:hAnsi="Calibri" w:cs="Calibri"/>
        </w:rPr>
        <w:t xml:space="preserve">As a standard practice and as specified in Article 9.1 of the AML-CFT Law, the FIU can reach out to  UAE to provide additional requested information pertaining to an STR or SAR. Therefore, when responding to the FIU’s inquiries, details will be provided in a way that is precise and outlined as per the request. </w:t>
      </w:r>
    </w:p>
    <w:p w14:paraId="2A01518F" w14:textId="1A642B37" w:rsidR="0065131D" w:rsidRDefault="41028EAA" w:rsidP="3C0BAC93">
      <w:pPr>
        <w:spacing w:after="0"/>
      </w:pPr>
      <w:r w:rsidRPr="3C0BAC93">
        <w:rPr>
          <w:rFonts w:ascii="Calibri" w:eastAsia="Calibri" w:hAnsi="Calibri" w:cs="Calibri"/>
        </w:rPr>
        <w:t xml:space="preserve"> </w:t>
      </w:r>
    </w:p>
    <w:p w14:paraId="7BC7E8AF" w14:textId="1D5B512F" w:rsidR="0065131D" w:rsidRDefault="41028EAA" w:rsidP="3C0BAC93">
      <w:pPr>
        <w:spacing w:after="0"/>
        <w:ind w:left="709"/>
      </w:pPr>
      <w:r w:rsidRPr="3C0BAC93">
        <w:rPr>
          <w:rFonts w:ascii="Calibri" w:eastAsia="Calibri" w:hAnsi="Calibri" w:cs="Calibri"/>
        </w:rPr>
        <w:t xml:space="preserve"> UAE maintains clarity on the presented information and provide it in the required format (e.g., tabular format, pdf, etc.). Moreover,  UAE avoids adding unnecessary codes and abbreviations or any raw information extracted directly from the core databases, which are unknown to the FIU. It is important to understand that the details pertaining to the source and destination of funds are essential for investigating the reported activity. Therefore, names; account numbers; country of origin and destination; currencies; dates; source and purpose of transactions; and other related information are detailed in  UAE response. Once the report is filed,  UAE sends the report web reference number and inform the FIU via the goAML Message Board.</w:t>
      </w:r>
    </w:p>
    <w:p w14:paraId="6E03DE0E" w14:textId="5ECBC190" w:rsidR="0065131D" w:rsidRDefault="41028EAA" w:rsidP="3C0BAC93">
      <w:pPr>
        <w:spacing w:after="0"/>
      </w:pPr>
      <w:r w:rsidRPr="3C0BAC93">
        <w:rPr>
          <w:rFonts w:ascii="Calibri" w:eastAsia="Calibri" w:hAnsi="Calibri" w:cs="Calibri"/>
        </w:rPr>
        <w:t xml:space="preserve"> </w:t>
      </w:r>
    </w:p>
    <w:p w14:paraId="7C2335D1" w14:textId="17066B4C"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Post STR and SAR Process</w:t>
      </w:r>
    </w:p>
    <w:p w14:paraId="1A61568C" w14:textId="2DB1395B" w:rsidR="0065131D" w:rsidRDefault="41028EAA" w:rsidP="3C0BAC93">
      <w:pPr>
        <w:spacing w:after="0"/>
        <w:ind w:left="709"/>
      </w:pPr>
      <w:r w:rsidRPr="3C0BAC93">
        <w:rPr>
          <w:rFonts w:ascii="Calibri" w:eastAsia="Calibri" w:hAnsi="Calibri" w:cs="Calibri"/>
        </w:rPr>
        <w:t>Following an STR or SAR filing, the FIU may or may not revert to the  UAE with specific instructions, requests for additional information, feedback or further guidance related to the STR or SAR, or to the business relationship in general. In such cases, these communications will generally be directed to the Compliance Officer or MLRO of the  UAE. However,  UAE may not receive instructions, additional information requests, or other feedback from the FIU regarding STRs or SARs that have been filed; or the receipt of such communications may be delayed beyond what they consider to be a reasonable time period. In such instances,  UAE will follow their internal policies in relation to such customers and determines the appropriate handling of the STR or SAR and of the business relationship in general, taking into consideration all of the risk factors involved.</w:t>
      </w:r>
    </w:p>
    <w:p w14:paraId="6D3F775B" w14:textId="725C3267" w:rsidR="0065131D" w:rsidRDefault="41028EAA" w:rsidP="3C0BAC93">
      <w:pPr>
        <w:spacing w:after="0"/>
      </w:pPr>
      <w:r w:rsidRPr="3C0BAC93">
        <w:rPr>
          <w:rFonts w:ascii="Calibri" w:eastAsia="Calibri" w:hAnsi="Calibri" w:cs="Calibri"/>
        </w:rPr>
        <w:t xml:space="preserve"> </w:t>
      </w:r>
    </w:p>
    <w:p w14:paraId="3251BC4D" w14:textId="168457EA" w:rsidR="0065131D" w:rsidRDefault="41028EAA" w:rsidP="3C0BAC93">
      <w:pPr>
        <w:spacing w:after="0"/>
        <w:ind w:left="709"/>
      </w:pPr>
      <w:r w:rsidRPr="3C0BAC93">
        <w:rPr>
          <w:rFonts w:ascii="Calibri" w:eastAsia="Calibri" w:hAnsi="Calibri" w:cs="Calibri"/>
        </w:rPr>
        <w:t>Specifically, once a suspicious transaction or other suspicious information related to a customer or business relationship has been reported to the FIU, the  UAE will take the following immediate responses:</w:t>
      </w:r>
    </w:p>
    <w:p w14:paraId="583EB824" w14:textId="6DDD4FE7" w:rsidR="0065131D" w:rsidRDefault="41028EAA" w:rsidP="3C0BAC93">
      <w:pPr>
        <w:spacing w:after="0"/>
        <w:ind w:left="567"/>
      </w:pPr>
      <w:r w:rsidRPr="3C0BAC93">
        <w:rPr>
          <w:rFonts w:ascii="Calibri" w:eastAsia="Calibri" w:hAnsi="Calibri" w:cs="Calibri"/>
        </w:rPr>
        <w:lastRenderedPageBreak/>
        <w:t xml:space="preserve"> </w:t>
      </w:r>
    </w:p>
    <w:p w14:paraId="33CE649B" w14:textId="5838F131" w:rsidR="0065131D" w:rsidRDefault="41028EAA" w:rsidP="3C0BAC93">
      <w:pPr>
        <w:pStyle w:val="ListParagraph"/>
        <w:numPr>
          <w:ilvl w:val="0"/>
          <w:numId w:val="6"/>
        </w:numPr>
        <w:spacing w:after="0"/>
        <w:rPr>
          <w:rFonts w:ascii="Calibri" w:eastAsia="Calibri" w:hAnsi="Calibri" w:cs="Calibri"/>
          <w:sz w:val="22"/>
          <w:szCs w:val="22"/>
        </w:rPr>
      </w:pPr>
      <w:r w:rsidRPr="3C0BAC93">
        <w:rPr>
          <w:rFonts w:ascii="Calibri" w:eastAsia="Calibri" w:hAnsi="Calibri" w:cs="Calibri"/>
          <w:sz w:val="22"/>
          <w:szCs w:val="22"/>
        </w:rPr>
        <w:t xml:space="preserve"> UAE will follow the instructions, if any, of the FIU in relation to both the specific transaction and to the business relationship in general.</w:t>
      </w:r>
    </w:p>
    <w:p w14:paraId="3FD0D636" w14:textId="19A1E8AF" w:rsidR="0065131D" w:rsidRDefault="41028EAA" w:rsidP="3C0BAC93">
      <w:pPr>
        <w:pStyle w:val="ListParagraph"/>
        <w:numPr>
          <w:ilvl w:val="0"/>
          <w:numId w:val="6"/>
        </w:numPr>
        <w:spacing w:after="0"/>
        <w:rPr>
          <w:rFonts w:ascii="Calibri" w:eastAsia="Calibri" w:hAnsi="Calibri" w:cs="Calibri"/>
          <w:sz w:val="22"/>
          <w:szCs w:val="22"/>
        </w:rPr>
      </w:pPr>
      <w:r w:rsidRPr="3C0BAC93">
        <w:rPr>
          <w:rFonts w:ascii="Calibri" w:eastAsia="Calibri" w:hAnsi="Calibri" w:cs="Calibri"/>
          <w:sz w:val="22"/>
          <w:szCs w:val="22"/>
        </w:rPr>
        <w:t xml:space="preserve"> UAE will identify all related/associated accounts or relationship of STR or SAR customers and conduct a review on those accounts/relationship to check whether any suspicious transaction(s) has taken place. If yes, appropriate risk-based Enhanced Due Diligence (“EDD”) and ongoing monitoring procedures will be implemented.</w:t>
      </w:r>
    </w:p>
    <w:p w14:paraId="4A81AFFD" w14:textId="0E0C22A2" w:rsidR="0065131D" w:rsidRDefault="41028EAA" w:rsidP="3C0BAC93">
      <w:pPr>
        <w:pStyle w:val="ListParagraph"/>
        <w:numPr>
          <w:ilvl w:val="0"/>
          <w:numId w:val="6"/>
        </w:numPr>
        <w:spacing w:after="0"/>
        <w:rPr>
          <w:rFonts w:ascii="Calibri" w:eastAsia="Calibri" w:hAnsi="Calibri" w:cs="Calibri"/>
          <w:sz w:val="22"/>
          <w:szCs w:val="22"/>
        </w:rPr>
      </w:pPr>
      <w:r w:rsidRPr="3C0BAC93">
        <w:rPr>
          <w:rFonts w:ascii="Calibri" w:eastAsia="Calibri" w:hAnsi="Calibri" w:cs="Calibri"/>
          <w:sz w:val="22"/>
          <w:szCs w:val="22"/>
        </w:rPr>
        <w:t>The customer or business relationship, including the related/associated accounts and relationship to the STR or SAR customers, will immediately be classified as a high-risk customer and appropriate risk-based EDD and ongoing monitoring procedures will be implemented in order to mitigate the associated money laundering and the financing of terrorism and illegal organizations risks.</w:t>
      </w:r>
    </w:p>
    <w:p w14:paraId="2912A4F8" w14:textId="201A55F0" w:rsidR="0065131D" w:rsidRDefault="41028EAA" w:rsidP="3C0BAC93">
      <w:pPr>
        <w:spacing w:after="0"/>
      </w:pPr>
      <w:r w:rsidRPr="3C0BAC93">
        <w:rPr>
          <w:rFonts w:ascii="Calibri" w:eastAsia="Calibri" w:hAnsi="Calibri" w:cs="Calibri"/>
        </w:rPr>
        <w:t xml:space="preserve"> </w:t>
      </w:r>
    </w:p>
    <w:p w14:paraId="73F52F8A" w14:textId="0E3E74FF" w:rsidR="0065131D" w:rsidRDefault="41028EAA" w:rsidP="3C0BAC93">
      <w:pPr>
        <w:spacing w:after="0"/>
        <w:ind w:left="709"/>
      </w:pPr>
      <w:r w:rsidRPr="3C0BAC93">
        <w:rPr>
          <w:rFonts w:ascii="Calibri" w:eastAsia="Calibri" w:hAnsi="Calibri" w:cs="Calibri"/>
        </w:rPr>
        <w:t>Unless specifically instructed by the FIU to do so,  UAE is under no obligation to carry out transactions they suspect, or have reasonable grounds to suspect, of being related to a crime. Furthermore, unless specifically instructed by the FIU to maintain the business relationship (for example, so that the competent authorities may monitor the customer’s activity), it will be  UAE responsibility to take appropriate steps in order to decide whether or not to maintain the business relationship based on risk appetite. However,  UAE will consider the risk of tipping off a customer when taking these restrictive measures on the account. These steps may include, but are not limited to:</w:t>
      </w:r>
    </w:p>
    <w:p w14:paraId="55B8809F" w14:textId="32CC16CB" w:rsidR="0065131D" w:rsidRDefault="41028EAA" w:rsidP="3C0BAC93">
      <w:pPr>
        <w:spacing w:after="0"/>
      </w:pPr>
      <w:r w:rsidRPr="3C0BAC93">
        <w:rPr>
          <w:rFonts w:ascii="Calibri" w:eastAsia="Calibri" w:hAnsi="Calibri" w:cs="Calibri"/>
        </w:rPr>
        <w:t xml:space="preserve"> </w:t>
      </w:r>
    </w:p>
    <w:p w14:paraId="608755B6" w14:textId="04FA2A57" w:rsidR="0065131D" w:rsidRDefault="41028EAA" w:rsidP="3C0BAC93">
      <w:pPr>
        <w:spacing w:after="0"/>
        <w:ind w:left="709"/>
      </w:pPr>
      <w:r w:rsidRPr="3C0BAC93">
        <w:rPr>
          <w:rFonts w:ascii="Calibri" w:eastAsia="Calibri" w:hAnsi="Calibri" w:cs="Calibri"/>
        </w:rPr>
        <w:t>Reassessing the business relationship risk and re-evaluating the customer’s risk profile, where necessary.</w:t>
      </w:r>
    </w:p>
    <w:p w14:paraId="383CF787" w14:textId="14269CFB" w:rsidR="0065131D" w:rsidRDefault="41028EAA" w:rsidP="3C0BAC93">
      <w:pPr>
        <w:spacing w:after="0"/>
        <w:ind w:firstLine="709"/>
      </w:pPr>
      <w:r w:rsidRPr="3C0BAC93">
        <w:rPr>
          <w:rFonts w:ascii="Calibri" w:eastAsia="Calibri" w:hAnsi="Calibri" w:cs="Calibri"/>
        </w:rPr>
        <w:t>Initiating an enhanced customer due diligence review.</w:t>
      </w:r>
    </w:p>
    <w:p w14:paraId="756AC781" w14:textId="379E15D7" w:rsidR="0065131D" w:rsidRDefault="41028EAA" w:rsidP="3C0BAC93">
      <w:pPr>
        <w:spacing w:after="0"/>
      </w:pPr>
      <w:r w:rsidRPr="3C0BAC93">
        <w:rPr>
          <w:rFonts w:ascii="Calibri" w:eastAsia="Calibri" w:hAnsi="Calibri" w:cs="Calibri"/>
        </w:rPr>
        <w:t xml:space="preserve"> </w:t>
      </w:r>
    </w:p>
    <w:p w14:paraId="2FCA3D63" w14:textId="59799BFC" w:rsidR="0065131D" w:rsidRDefault="41028EAA" w:rsidP="3C0BAC93">
      <w:pPr>
        <w:spacing w:after="0"/>
        <w:ind w:left="709"/>
      </w:pPr>
      <w:r w:rsidRPr="3C0BAC93">
        <w:rPr>
          <w:rFonts w:ascii="Calibri" w:eastAsia="Calibri" w:hAnsi="Calibri" w:cs="Calibri"/>
        </w:rPr>
        <w:t>Considering the performance of an enhanced background investigation (including, if appropriate, the use of a third-party investigation service).</w:t>
      </w:r>
    </w:p>
    <w:p w14:paraId="036CEAED" w14:textId="2CB21A58" w:rsidR="0065131D" w:rsidRDefault="41028EAA" w:rsidP="3C0BAC93">
      <w:pPr>
        <w:spacing w:after="0"/>
      </w:pPr>
      <w:r w:rsidRPr="3C0BAC93">
        <w:rPr>
          <w:rFonts w:ascii="Calibri" w:eastAsia="Calibri" w:hAnsi="Calibri" w:cs="Calibri"/>
        </w:rPr>
        <w:t xml:space="preserve"> </w:t>
      </w:r>
    </w:p>
    <w:p w14:paraId="3183453A" w14:textId="2118AC41" w:rsidR="0065131D" w:rsidRDefault="41028EAA" w:rsidP="3C0BAC93">
      <w:pPr>
        <w:spacing w:after="0"/>
        <w:ind w:left="709"/>
      </w:pPr>
      <w:r w:rsidRPr="3C0BAC93">
        <w:rPr>
          <w:rFonts w:ascii="Calibri" w:eastAsia="Calibri" w:hAnsi="Calibri" w:cs="Calibri"/>
        </w:rPr>
        <w:t>Any other reasonable steps, commensurate with the nature and size of their businesses, and bearing in mind the obligation to avoid “tipping off” the customer.</w:t>
      </w:r>
    </w:p>
    <w:p w14:paraId="6280F4AE" w14:textId="60B7E5AF" w:rsidR="0065131D" w:rsidRDefault="41028EAA" w:rsidP="3C0BAC93">
      <w:pPr>
        <w:spacing w:after="0"/>
      </w:pPr>
      <w:r w:rsidRPr="3C0BAC93">
        <w:rPr>
          <w:rFonts w:ascii="Calibri" w:eastAsia="Calibri" w:hAnsi="Calibri" w:cs="Calibri"/>
        </w:rPr>
        <w:t xml:space="preserve"> </w:t>
      </w:r>
    </w:p>
    <w:p w14:paraId="39F026B0" w14:textId="3F1DC085" w:rsidR="0065131D" w:rsidRDefault="41028EAA" w:rsidP="3C0BAC93">
      <w:pPr>
        <w:spacing w:after="0"/>
        <w:ind w:left="709"/>
      </w:pPr>
      <w:r w:rsidRPr="3C0BAC93">
        <w:rPr>
          <w:rFonts w:ascii="Calibri" w:eastAsia="Calibri" w:hAnsi="Calibri" w:cs="Calibri"/>
        </w:rPr>
        <w:t xml:space="preserve"> UAE will determine to maintain the business relationship if it commensurate with the nature and size of their businesses:</w:t>
      </w:r>
    </w:p>
    <w:p w14:paraId="359FE103" w14:textId="1543470B" w:rsidR="0065131D" w:rsidRDefault="41028EAA" w:rsidP="3C0BAC93">
      <w:pPr>
        <w:spacing w:after="0"/>
      </w:pPr>
      <w:r w:rsidRPr="3C0BAC93">
        <w:rPr>
          <w:rFonts w:ascii="Calibri" w:eastAsia="Calibri" w:hAnsi="Calibri" w:cs="Calibri"/>
        </w:rPr>
        <w:t xml:space="preserve"> </w:t>
      </w:r>
    </w:p>
    <w:p w14:paraId="304A9B13" w14:textId="7FE275E7" w:rsidR="0065131D" w:rsidRDefault="41028EAA" w:rsidP="3C0BAC93">
      <w:pPr>
        <w:spacing w:after="0"/>
        <w:ind w:left="709"/>
      </w:pPr>
      <w:r w:rsidRPr="3C0BAC93">
        <w:rPr>
          <w:rFonts w:ascii="Calibri" w:eastAsia="Calibri" w:hAnsi="Calibri" w:cs="Calibri"/>
        </w:rPr>
        <w:t>Document the process by which the decision was made to maintain the business relationship, along with the rationale for, and any conditions related to, the decision; and</w:t>
      </w:r>
    </w:p>
    <w:p w14:paraId="476A8A19" w14:textId="7132FF32" w:rsidR="0065131D" w:rsidRDefault="41028EAA" w:rsidP="3C0BAC93">
      <w:pPr>
        <w:spacing w:after="0"/>
      </w:pPr>
      <w:r w:rsidRPr="3C0BAC93">
        <w:rPr>
          <w:rFonts w:ascii="Calibri" w:eastAsia="Calibri" w:hAnsi="Calibri" w:cs="Calibri"/>
        </w:rPr>
        <w:t xml:space="preserve"> </w:t>
      </w:r>
    </w:p>
    <w:p w14:paraId="18079C86" w14:textId="4B43B381" w:rsidR="0065131D" w:rsidRDefault="41028EAA" w:rsidP="3C0BAC93">
      <w:pPr>
        <w:spacing w:after="0"/>
        <w:ind w:left="709"/>
      </w:pPr>
      <w:r w:rsidRPr="3C0BAC93">
        <w:rPr>
          <w:rFonts w:ascii="Calibri" w:eastAsia="Calibri" w:hAnsi="Calibri" w:cs="Calibri"/>
        </w:rPr>
        <w:lastRenderedPageBreak/>
        <w:t>Implement adequate EDD measures to manage and mitigate the money laundering/the financing of terrorism and illegal organizations risks associated with the business relationship.</w:t>
      </w:r>
    </w:p>
    <w:p w14:paraId="3C7AC544" w14:textId="10B8E5F4" w:rsidR="0065131D" w:rsidRDefault="41028EAA" w:rsidP="3C0BAC93">
      <w:pPr>
        <w:spacing w:after="0"/>
      </w:pPr>
      <w:r w:rsidRPr="3C0BAC93">
        <w:rPr>
          <w:rFonts w:ascii="Calibri" w:eastAsia="Calibri" w:hAnsi="Calibri" w:cs="Calibri"/>
        </w:rPr>
        <w:t xml:space="preserve"> </w:t>
      </w:r>
    </w:p>
    <w:p w14:paraId="1AA76389" w14:textId="708AD0B1" w:rsidR="0065131D" w:rsidRDefault="41028EAA" w:rsidP="3C0BAC93">
      <w:pPr>
        <w:spacing w:after="0"/>
        <w:ind w:left="709"/>
      </w:pPr>
      <w:r w:rsidRPr="3C0BAC93">
        <w:rPr>
          <w:rFonts w:ascii="Calibri" w:eastAsia="Calibri" w:hAnsi="Calibri" w:cs="Calibri"/>
        </w:rPr>
        <w:t>In such cases, beyond EDD measures,  UAE will also implement additional control measures such as, but not limited to:</w:t>
      </w:r>
    </w:p>
    <w:p w14:paraId="46B620CB" w14:textId="0E55C929" w:rsidR="0065131D" w:rsidRDefault="41028EAA" w:rsidP="3C0BAC93">
      <w:pPr>
        <w:spacing w:after="0"/>
      </w:pPr>
      <w:r w:rsidRPr="3C0BAC93">
        <w:rPr>
          <w:rFonts w:ascii="Calibri" w:eastAsia="Calibri" w:hAnsi="Calibri" w:cs="Calibri"/>
        </w:rPr>
        <w:t xml:space="preserve"> </w:t>
      </w:r>
    </w:p>
    <w:p w14:paraId="5042EF7A" w14:textId="0A52AE51" w:rsidR="0065131D" w:rsidRDefault="41028EAA" w:rsidP="3C0BAC93">
      <w:pPr>
        <w:spacing w:after="0"/>
        <w:ind w:left="709"/>
      </w:pPr>
      <w:r w:rsidRPr="3C0BAC93">
        <w:rPr>
          <w:rFonts w:ascii="Calibri" w:eastAsia="Calibri" w:hAnsi="Calibri" w:cs="Calibri"/>
        </w:rPr>
        <w:t>Requiring additional data, information or documents from the customer in order to carry out transactions (for example, evidence of relevant licenses or authorizations, customs documents, additional identification documents, bank or other references).</w:t>
      </w:r>
    </w:p>
    <w:p w14:paraId="405B46DD" w14:textId="4997E462" w:rsidR="0065131D" w:rsidRDefault="41028EAA" w:rsidP="3C0BAC93">
      <w:pPr>
        <w:spacing w:after="0"/>
      </w:pPr>
      <w:r w:rsidRPr="3C0BAC93">
        <w:rPr>
          <w:rFonts w:ascii="Calibri" w:eastAsia="Calibri" w:hAnsi="Calibri" w:cs="Calibri"/>
        </w:rPr>
        <w:t xml:space="preserve"> </w:t>
      </w:r>
    </w:p>
    <w:p w14:paraId="339AA98D" w14:textId="681A4675" w:rsidR="0065131D" w:rsidRDefault="41028EAA" w:rsidP="3C0BAC93">
      <w:pPr>
        <w:spacing w:after="0"/>
        <w:ind w:firstLine="709"/>
      </w:pPr>
      <w:r w:rsidRPr="3C0BAC93">
        <w:rPr>
          <w:rFonts w:ascii="Calibri" w:eastAsia="Calibri" w:hAnsi="Calibri" w:cs="Calibri"/>
        </w:rPr>
        <w:t>Restricting the customer’s use of certain products or services.</w:t>
      </w:r>
    </w:p>
    <w:p w14:paraId="2B641F1F" w14:textId="3A57F01A" w:rsidR="0065131D" w:rsidRDefault="41028EAA" w:rsidP="3C0BAC93">
      <w:pPr>
        <w:spacing w:after="0"/>
        <w:ind w:left="709"/>
      </w:pPr>
      <w:r w:rsidRPr="3C0BAC93">
        <w:rPr>
          <w:rFonts w:ascii="Calibri" w:eastAsia="Calibri" w:hAnsi="Calibri" w:cs="Calibri"/>
        </w:rPr>
        <w:t>Placing restrictions and/or additional approval requirements on the processing of the customer’s transactions (for example, transaction size and/or volume limits, or limits to the number of transactions of certain types that can be executed during a given time period).</w:t>
      </w:r>
    </w:p>
    <w:p w14:paraId="5E139D05" w14:textId="526361E3" w:rsidR="0065131D" w:rsidRDefault="41028EAA" w:rsidP="3C0BAC93">
      <w:pPr>
        <w:spacing w:after="0"/>
      </w:pPr>
      <w:r w:rsidRPr="3C0BAC93">
        <w:rPr>
          <w:rFonts w:ascii="Calibri" w:eastAsia="Calibri" w:hAnsi="Calibri" w:cs="Calibri"/>
        </w:rPr>
        <w:t xml:space="preserve"> </w:t>
      </w:r>
    </w:p>
    <w:p w14:paraId="25BA7630" w14:textId="39957EB0" w:rsidR="0065131D" w:rsidRDefault="41028EAA" w:rsidP="3C0BAC93">
      <w:pPr>
        <w:spacing w:after="0"/>
        <w:ind w:left="709"/>
      </w:pPr>
      <w:r w:rsidRPr="3C0BAC93">
        <w:rPr>
          <w:rFonts w:ascii="Calibri" w:eastAsia="Calibri" w:hAnsi="Calibri" w:cs="Calibri"/>
        </w:rPr>
        <w:t xml:space="preserve"> UAE will also document the specific EDD, ongoing monitoring, and additional control measures to be taken. In this regard,  UAE will obtain senior management approval for the plan, including its specific conditions, duration and any requirements for its removal, as well as the roles and responsibilities for its implementation, monitoring and reporting, commensurate with the nature and degree of the money laundering and the financing of terrorism and illegal organizations risks associated with the business relationship.</w:t>
      </w:r>
    </w:p>
    <w:p w14:paraId="4440A9DD" w14:textId="2D19C5A2" w:rsidR="0065131D" w:rsidRDefault="41028EAA" w:rsidP="3C0BAC93">
      <w:pPr>
        <w:spacing w:after="0"/>
      </w:pPr>
      <w:r w:rsidRPr="3C0BAC93">
        <w:rPr>
          <w:rFonts w:ascii="Calibri" w:eastAsia="Calibri" w:hAnsi="Calibri" w:cs="Calibri"/>
        </w:rPr>
        <w:t xml:space="preserve"> </w:t>
      </w:r>
    </w:p>
    <w:p w14:paraId="7B6C2639" w14:textId="1DAC5202" w:rsidR="0065131D" w:rsidRDefault="41028EAA" w:rsidP="3C0BAC93">
      <w:pPr>
        <w:spacing w:after="0"/>
        <w:ind w:left="709"/>
      </w:pPr>
      <w:r w:rsidRPr="3C0BAC93">
        <w:rPr>
          <w:rFonts w:ascii="Calibri" w:eastAsia="Calibri" w:hAnsi="Calibri" w:cs="Calibri"/>
        </w:rPr>
        <w:t>Thus, retaining a customer relationship, exiting the relationship, restricting an account, or any other actions taken by an  UAE following the filing of an STR, SAR, or other report is a decision based on the  UAE senior management to safeguard the  UAE from relevant risks. This is unless  UAE receives instructions from the FIU or any other competent authority that will be immediately implemented without delay. In cases where the  UAE decides to reject a new customer or to exit an existing relationship due to an STR or SAR filing (or other report), the  UAE will ensure that the subject of the filing is added to internal watch lists, (e.g., a list of individuals and entities that have been exited for financial crime-related reasons and that it will be screened by  UAE to avoid future on-boarding).</w:t>
      </w:r>
    </w:p>
    <w:p w14:paraId="44645BB4" w14:textId="7C6BAEF8" w:rsidR="0065131D" w:rsidRDefault="41028EAA" w:rsidP="3C0BAC93">
      <w:pPr>
        <w:spacing w:after="0"/>
      </w:pPr>
      <w:r w:rsidRPr="3C0BAC93">
        <w:rPr>
          <w:rFonts w:ascii="Calibri" w:eastAsia="Calibri" w:hAnsi="Calibri" w:cs="Calibri"/>
        </w:rPr>
        <w:t xml:space="preserve"> </w:t>
      </w:r>
    </w:p>
    <w:p w14:paraId="6FF63AC9" w14:textId="0ACC00BD" w:rsidR="0065131D" w:rsidRDefault="41028EAA" w:rsidP="3C0BAC93">
      <w:pPr>
        <w:spacing w:after="0"/>
        <w:ind w:left="709"/>
      </w:pPr>
      <w:r w:rsidRPr="3C0BAC93">
        <w:rPr>
          <w:rFonts w:ascii="Calibri" w:eastAsia="Calibri" w:hAnsi="Calibri" w:cs="Calibri"/>
        </w:rPr>
        <w:t xml:space="preserve">While individual STRs, SARs, or other reports that pose particular risk may require escalation and review for potential exit, repeated filings on a single account or group of </w:t>
      </w:r>
      <w:r w:rsidRPr="3C0BAC93">
        <w:rPr>
          <w:rFonts w:ascii="Calibri" w:eastAsia="Calibri" w:hAnsi="Calibri" w:cs="Calibri"/>
        </w:rPr>
        <w:lastRenderedPageBreak/>
        <w:t>related accounts trigger consideration of customer exit. Repeat filings also prompt a review of risks associated with accounts of a similar type and of whether internal controls are effectively mitigating risk.  UAE determine a threshold for which an account that has been subject to a certain amount of STR or SAR filings (or other report) will be escalated to senior management for consideration of account closure, possible restrictions on the account, and/or enhanced monitoring.</w:t>
      </w:r>
    </w:p>
    <w:p w14:paraId="0E4B9059" w14:textId="612DD028" w:rsidR="0065131D" w:rsidRDefault="41028EAA" w:rsidP="3C0BAC93">
      <w:pPr>
        <w:spacing w:after="0"/>
      </w:pPr>
      <w:r w:rsidRPr="3C0BAC93">
        <w:rPr>
          <w:rFonts w:ascii="Calibri" w:eastAsia="Calibri" w:hAnsi="Calibri" w:cs="Calibri"/>
        </w:rPr>
        <w:t xml:space="preserve"> </w:t>
      </w:r>
    </w:p>
    <w:p w14:paraId="2805DB9F" w14:textId="1A29B6FC" w:rsidR="0065131D" w:rsidRDefault="41028EAA" w:rsidP="3C0BAC93">
      <w:pPr>
        <w:spacing w:after="0"/>
        <w:ind w:left="709"/>
      </w:pPr>
      <w:r w:rsidRPr="3C0BAC93">
        <w:rPr>
          <w:rFonts w:ascii="Calibri" w:eastAsia="Calibri" w:hAnsi="Calibri" w:cs="Calibri"/>
        </w:rPr>
        <w:t xml:space="preserve"> UAE also maintain a customer exit policy that outlines the process for reviewing the overall customer relationship and deciding on next steps, including ending the relationship and notifying law enforcement and/or other group affiliates, as appropriate. Customer exit policies include criteria for when these actions are appropriate and outline how the  UAE monitor the activity of a customer it decides to retain. The  contact law enforcement before closing an account if SNAB UAE has knowledge of an ongoing law enforcement investigation involving that account or customer, or the  UAE has filed an STR(s), SAR(s), or other report types on the customer or account due to continuing suspicious activity.  UAE is aware that law enforcement may have an interest in ensuring that certain accounts remain open notwithstanding suspicious or potential criminal activity in connection with those accounts. If a law enforcement agency requests that an  UAE keep a particular account open, the  UAE ask for a written request. The written request will indicate that the agency has requested that the  UAE maintain the account along with the purpose and duration of the request. Ultimately, the decision to maintain or close an account will be made by  UAE in accordance with its own standards and guidelines.</w:t>
      </w:r>
    </w:p>
    <w:p w14:paraId="51D60624" w14:textId="4D410F9F" w:rsidR="0065131D" w:rsidRDefault="41028EAA" w:rsidP="3C0BAC93">
      <w:pPr>
        <w:spacing w:after="0"/>
      </w:pPr>
      <w:r w:rsidRPr="3C0BAC93">
        <w:rPr>
          <w:rFonts w:ascii="Calibri" w:eastAsia="Calibri" w:hAnsi="Calibri" w:cs="Calibri"/>
        </w:rPr>
        <w:t xml:space="preserve"> </w:t>
      </w:r>
    </w:p>
    <w:p w14:paraId="31F2E07C" w14:textId="4BBAFD30"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Governance and Reporting to Senior Management</w:t>
      </w:r>
    </w:p>
    <w:p w14:paraId="5945FACC" w14:textId="0C5822F7" w:rsidR="0065131D" w:rsidRDefault="41028EAA" w:rsidP="3C0BAC93">
      <w:pPr>
        <w:spacing w:after="0"/>
        <w:ind w:left="720"/>
      </w:pPr>
      <w:r w:rsidRPr="3C0BAC93">
        <w:rPr>
          <w:rFonts w:ascii="Calibri" w:eastAsia="Calibri" w:hAnsi="Calibri" w:cs="Calibri"/>
        </w:rPr>
        <w:t xml:space="preserve"> UAE has mechanisms to inform the senior management and Head Office of compliance initiatives, compliance deficiencies, STRs, SARs, or other regulatory reports filed, and corrective actions taken.  UAE also develop and maintain a system of reporting that provides accurate and timely information on the status of the AML/CFT program, including statistics on key elements of the program, such as the number of transactions monitored, alerts generated, cases created, and STRs, SARs, or other report types filed.</w:t>
      </w:r>
    </w:p>
    <w:p w14:paraId="54645336" w14:textId="3B231814" w:rsidR="0065131D" w:rsidRDefault="41028EAA" w:rsidP="3C0BAC93">
      <w:pPr>
        <w:spacing w:after="0"/>
      </w:pPr>
      <w:r w:rsidRPr="3C0BAC93">
        <w:rPr>
          <w:rFonts w:ascii="Calibri" w:eastAsia="Calibri" w:hAnsi="Calibri" w:cs="Calibri"/>
        </w:rPr>
        <w:t xml:space="preserve"> </w:t>
      </w:r>
    </w:p>
    <w:p w14:paraId="42432D45" w14:textId="2FC5FE87" w:rsidR="0065131D" w:rsidRDefault="41028EAA" w:rsidP="3C0BAC93">
      <w:pPr>
        <w:spacing w:after="0"/>
        <w:ind w:left="720"/>
      </w:pPr>
      <w:r w:rsidRPr="3C0BAC93">
        <w:rPr>
          <w:rFonts w:ascii="Calibri" w:eastAsia="Calibri" w:hAnsi="Calibri" w:cs="Calibri"/>
        </w:rPr>
        <w:t xml:space="preserve">While employees are not required to provide actual copies of STRs, SARs, or other regulatory reports to the senior management, such notifications contain sufficient information to enable the senior management or Head Office to provide appropriate oversight over the ’s AML/CFT program. Where an individual filing documents activity that poses a particular risk, management may provide a copy of the report to the Board or Board-designated committee. Where appropriate, the suspicious activity or </w:t>
      </w:r>
      <w:r w:rsidRPr="3C0BAC93">
        <w:rPr>
          <w:rFonts w:ascii="Calibri" w:eastAsia="Calibri" w:hAnsi="Calibri" w:cs="Calibri"/>
        </w:rPr>
        <w:lastRenderedPageBreak/>
        <w:t>transaction underlying the filing of an STR, SAR, or other regulatory reports are communicated to those individuals responsible for managing the risk associated with the customer and/or activity that is the subject of the STR, SAR, or other regulatory reports in order to permit such employees to respond appropriately to the AML/CFT risks identified. Although all such communications are subject to the confidentiality restrictions, it is to be noted that the confidentiality requirement does not pertain to communication within the  UAE or its affiliated group members (foreign branches, subsidiaries, or parent company) for the purpose of sharing information relevant to the identification, prevention, or reporting of suspicious transactions and/or crimes related to money laundering and the financing of terrorism and illegal organizations, according to Article 39.1 of the AML-CFT Decision (also referenced in Section 5. Confidentiality and Prohibition against “Tipping Off”).</w:t>
      </w:r>
    </w:p>
    <w:p w14:paraId="1E218665" w14:textId="1F359261" w:rsidR="0065131D" w:rsidRDefault="41028EAA" w:rsidP="3C0BAC93">
      <w:pPr>
        <w:spacing w:after="0"/>
      </w:pPr>
      <w:r w:rsidRPr="3C0BAC93">
        <w:rPr>
          <w:rFonts w:ascii="Calibri" w:eastAsia="Calibri" w:hAnsi="Calibri" w:cs="Calibri"/>
        </w:rPr>
        <w:t xml:space="preserve"> </w:t>
      </w:r>
    </w:p>
    <w:p w14:paraId="63A6B54B" w14:textId="24B231AC"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Record Retention</w:t>
      </w:r>
    </w:p>
    <w:p w14:paraId="29558817" w14:textId="6F5EDF39" w:rsidR="0065131D" w:rsidRDefault="41028EAA" w:rsidP="3C0BAC93">
      <w:pPr>
        <w:spacing w:after="0"/>
        <w:ind w:left="720"/>
      </w:pPr>
      <w:r w:rsidRPr="3C0BAC93">
        <w:rPr>
          <w:rFonts w:ascii="Calibri" w:eastAsia="Calibri" w:hAnsi="Calibri" w:cs="Calibri"/>
        </w:rPr>
        <w:t>According to Article 24 of the AML-CFT Decision,  UAE is required to retain all records and documents pertaining to STRs and the results of all analysis or investigations performed for at least five (5) years from the date of completion of the transaction or termination of the business relationship. Such records relate to both internal STRs and those filed with the FIU, and will include but are not limited to Suspicious transaction indicator alert records, logs, investigations, recommendations and decision records, and all related correspondence;</w:t>
      </w:r>
    </w:p>
    <w:p w14:paraId="39081F7E" w14:textId="118A5341" w:rsidR="0065131D" w:rsidRDefault="41028EAA" w:rsidP="3C0BAC93">
      <w:pPr>
        <w:spacing w:after="0"/>
      </w:pPr>
      <w:r w:rsidRPr="3C0BAC93">
        <w:rPr>
          <w:rFonts w:ascii="Calibri" w:eastAsia="Calibri" w:hAnsi="Calibri" w:cs="Calibri"/>
        </w:rPr>
        <w:t xml:space="preserve"> </w:t>
      </w:r>
    </w:p>
    <w:p w14:paraId="2EDB3F94" w14:textId="5D76E33C" w:rsidR="0065131D" w:rsidRDefault="41028EAA" w:rsidP="3C0BAC93">
      <w:pPr>
        <w:spacing w:after="0"/>
        <w:ind w:left="720"/>
      </w:pPr>
      <w:r w:rsidRPr="3C0BAC93">
        <w:rPr>
          <w:rFonts w:ascii="Calibri" w:eastAsia="Calibri" w:hAnsi="Calibri" w:cs="Calibri"/>
        </w:rPr>
        <w:t>Competent authority request for information, correspondent bank requests for assistance, and their related investigation files and correspondence; CDD and Business Relationship monitoring records, documents, and information obtained in the course of analyzing or investigating potentially suspicious transactions, requests for assistance by  UAE, and all internal or external correspondence or communication records associated with them; STRs, SARs, and other report types (internal and external), logs, and statistics, together with their related analysis, recommendations and decision records, and all related correspondence; and Notes concerning feedback provided by the FIU with respect to reported STRs, SARs, and other report types, as well as notes or records pertaining to any other actions taken by, or requested by, the FIU.</w:t>
      </w:r>
    </w:p>
    <w:p w14:paraId="617D770F" w14:textId="59E247AA" w:rsidR="0065131D" w:rsidRDefault="41028EAA" w:rsidP="3C0BAC93">
      <w:pPr>
        <w:spacing w:after="0"/>
      </w:pPr>
      <w:r w:rsidRPr="3C0BAC93">
        <w:rPr>
          <w:rFonts w:ascii="Times New Roman" w:eastAsia="Times New Roman" w:hAnsi="Times New Roman" w:cs="Times New Roman"/>
        </w:rPr>
        <w:t xml:space="preserve"> </w:t>
      </w:r>
    </w:p>
    <w:p w14:paraId="52A6332D" w14:textId="7238CB04" w:rsidR="0065131D" w:rsidRDefault="41028EAA" w:rsidP="3C0BAC93">
      <w:pPr>
        <w:pStyle w:val="Heading1"/>
        <w:numPr>
          <w:ilvl w:val="0"/>
          <w:numId w:val="27"/>
        </w:numPr>
        <w:spacing w:before="0" w:after="0" w:line="360" w:lineRule="auto"/>
        <w:ind w:left="360" w:right="247" w:firstLine="349"/>
        <w:rPr>
          <w:rFonts w:ascii="Calibri" w:eastAsia="Calibri" w:hAnsi="Calibri" w:cs="Calibri"/>
          <w:b/>
          <w:bCs/>
          <w:sz w:val="28"/>
          <w:szCs w:val="28"/>
        </w:rPr>
      </w:pPr>
      <w:r w:rsidRPr="3C0BAC93">
        <w:rPr>
          <w:rFonts w:ascii="Calibri" w:eastAsia="Calibri" w:hAnsi="Calibri" w:cs="Calibri"/>
          <w:b/>
          <w:bCs/>
          <w:sz w:val="28"/>
          <w:szCs w:val="28"/>
        </w:rPr>
        <w:t>Reviews and Updates</w:t>
      </w:r>
    </w:p>
    <w:p w14:paraId="32C23644" w14:textId="4C769A16" w:rsidR="0065131D" w:rsidRDefault="41028EAA" w:rsidP="3C0BAC93">
      <w:pPr>
        <w:spacing w:after="0"/>
        <w:ind w:left="709" w:right="247"/>
      </w:pPr>
      <w:r w:rsidRPr="3C0BAC93">
        <w:rPr>
          <w:rFonts w:ascii="Calibri" w:eastAsia="Calibri" w:hAnsi="Calibri" w:cs="Calibri"/>
        </w:rPr>
        <w:t>This document shall be reviewed and updated at least once every three years by concerned Business Units or whenever deemed necessary.</w:t>
      </w:r>
    </w:p>
    <w:p w14:paraId="706B5367" w14:textId="022AC143" w:rsidR="0065131D" w:rsidRDefault="41028EAA" w:rsidP="3C0BAC93">
      <w:pPr>
        <w:pStyle w:val="Heading1"/>
        <w:numPr>
          <w:ilvl w:val="0"/>
          <w:numId w:val="27"/>
        </w:numPr>
        <w:spacing w:before="0" w:after="0" w:line="360" w:lineRule="auto"/>
        <w:ind w:left="360" w:right="247" w:firstLine="207"/>
        <w:rPr>
          <w:rFonts w:ascii="Calibri" w:eastAsia="Calibri" w:hAnsi="Calibri" w:cs="Calibri"/>
          <w:b/>
          <w:bCs/>
          <w:sz w:val="28"/>
          <w:szCs w:val="28"/>
        </w:rPr>
      </w:pPr>
      <w:r w:rsidRPr="3C0BAC93">
        <w:rPr>
          <w:rFonts w:ascii="Calibri" w:eastAsia="Calibri" w:hAnsi="Calibri" w:cs="Calibri"/>
          <w:b/>
          <w:bCs/>
          <w:sz w:val="28"/>
          <w:szCs w:val="28"/>
        </w:rPr>
        <w:lastRenderedPageBreak/>
        <w:t>AML Statement and Whistleblowing Unit</w:t>
      </w:r>
    </w:p>
    <w:p w14:paraId="599B33CF" w14:textId="426F7A98" w:rsidR="0065131D" w:rsidRDefault="41028EAA" w:rsidP="3C0BAC93">
      <w:pPr>
        <w:pStyle w:val="Heading2"/>
        <w:numPr>
          <w:ilvl w:val="1"/>
          <w:numId w:val="27"/>
        </w:numPr>
        <w:spacing w:before="0" w:after="0"/>
        <w:ind w:left="993" w:right="247" w:hanging="432"/>
        <w:jc w:val="both"/>
        <w:rPr>
          <w:rFonts w:ascii="Calibri" w:eastAsia="Calibri" w:hAnsi="Calibri" w:cs="Calibri"/>
          <w:b/>
          <w:bCs/>
          <w:sz w:val="22"/>
          <w:szCs w:val="22"/>
        </w:rPr>
      </w:pPr>
      <w:r w:rsidRPr="3C0BAC93">
        <w:rPr>
          <w:rFonts w:ascii="Calibri" w:eastAsia="Calibri" w:hAnsi="Calibri" w:cs="Calibri"/>
          <w:b/>
          <w:bCs/>
          <w:sz w:val="22"/>
          <w:szCs w:val="22"/>
        </w:rPr>
        <w:t>Anti-Money Laundering, Counter Terrorist Financing and Sanction Statement</w:t>
      </w:r>
    </w:p>
    <w:p w14:paraId="5CCE2C30" w14:textId="61D838B0" w:rsidR="0065131D" w:rsidRDefault="41028EAA" w:rsidP="3C0BAC93">
      <w:pPr>
        <w:spacing w:after="0"/>
        <w:ind w:left="630" w:right="247"/>
      </w:pPr>
      <w:r w:rsidRPr="3C0BAC93">
        <w:rPr>
          <w:rFonts w:ascii="Calibri" w:eastAsia="Calibri" w:hAnsi="Calibri" w:cs="Calibri"/>
        </w:rPr>
        <w:t>In Case of suspecting money laundering or terrorist financing activities and Sanctions*, then you are obliged to report this suspicion to the AML/CTF Division by using the Suspicious Transaction Report (STR).</w:t>
      </w:r>
    </w:p>
    <w:p w14:paraId="0A10C5E0" w14:textId="03E0ABBF" w:rsidR="0065131D" w:rsidRDefault="41028EAA" w:rsidP="3C0BAC93">
      <w:pPr>
        <w:spacing w:after="0"/>
        <w:ind w:left="630" w:right="247"/>
      </w:pPr>
      <w:r w:rsidRPr="3C0BAC93">
        <w:rPr>
          <w:rFonts w:ascii="Calibri" w:eastAsia="Calibri" w:hAnsi="Calibri" w:cs="Calibri"/>
        </w:rPr>
        <w:t>Please access the Indicators of Suspected Money Laundering, Terrorist Financing and Sanctions through net portal Home page and click on Rules and Regulations Guidelines then click on Indicators of Suspected Money Laundering and Terrorist Financing</w:t>
      </w:r>
    </w:p>
    <w:p w14:paraId="4C6F041F" w14:textId="718E440D" w:rsidR="0065131D" w:rsidRDefault="41028EAA" w:rsidP="3C0BAC93">
      <w:pPr>
        <w:spacing w:after="0"/>
        <w:ind w:left="630" w:right="247"/>
      </w:pPr>
      <w:r w:rsidRPr="3C0BAC93">
        <w:rPr>
          <w:rFonts w:ascii="Calibri" w:eastAsia="Calibri" w:hAnsi="Calibri" w:cs="Calibri"/>
        </w:rPr>
        <w:t>Tipping off the customer or any other party of suspicion is considered a crime and the violator will be held totally responsible.</w:t>
      </w:r>
    </w:p>
    <w:p w14:paraId="55DF64DF" w14:textId="2AF11CAF" w:rsidR="0065131D" w:rsidRDefault="41028EAA" w:rsidP="3C0BAC93">
      <w:pPr>
        <w:spacing w:after="0"/>
        <w:ind w:left="630" w:right="247"/>
      </w:pPr>
      <w:r w:rsidRPr="3C0BAC93">
        <w:rPr>
          <w:rFonts w:ascii="Calibri" w:eastAsia="Calibri" w:hAnsi="Calibri" w:cs="Calibri"/>
        </w:rPr>
        <w:t xml:space="preserve"> </w:t>
      </w:r>
    </w:p>
    <w:p w14:paraId="71197F16" w14:textId="1AF9A636" w:rsidR="0065131D" w:rsidRDefault="41028EAA" w:rsidP="3C0BAC93">
      <w:pPr>
        <w:spacing w:after="0"/>
        <w:ind w:left="630" w:right="247"/>
      </w:pPr>
      <w:r w:rsidRPr="3C0BAC93">
        <w:rPr>
          <w:rFonts w:ascii="Calibri" w:eastAsia="Calibri" w:hAnsi="Calibri" w:cs="Calibri"/>
        </w:rPr>
        <w:t>To report any Suspicious activities related to the Anti-Money Laundering and Combating the Financing of Terrorism and Sanctions Department, please utilize any of the following communication channels:</w:t>
      </w:r>
    </w:p>
    <w:p w14:paraId="7222BB22" w14:textId="4E2B2653" w:rsidR="0065131D" w:rsidRDefault="41028EAA" w:rsidP="3C0BAC93">
      <w:pPr>
        <w:spacing w:after="0"/>
        <w:ind w:left="630" w:right="247"/>
      </w:pPr>
      <w:r w:rsidRPr="3C0BAC93">
        <w:rPr>
          <w:rFonts w:ascii="Calibri" w:eastAsia="Calibri" w:hAnsi="Calibri" w:cs="Calibri"/>
        </w:rPr>
        <w:t>AML/CTF:</w:t>
      </w:r>
    </w:p>
    <w:p w14:paraId="27266F9B" w14:textId="7A64B629" w:rsidR="0065131D" w:rsidRDefault="41028EAA" w:rsidP="3C0BAC93">
      <w:pPr>
        <w:spacing w:after="0"/>
        <w:ind w:left="630" w:right="247"/>
      </w:pPr>
      <w:r w:rsidRPr="3C0BAC93">
        <w:rPr>
          <w:rFonts w:ascii="Calibri" w:eastAsia="Calibri" w:hAnsi="Calibri" w:cs="Calibri"/>
        </w:rPr>
        <w:t xml:space="preserve">net Portal Home: E-STR </w:t>
      </w:r>
    </w:p>
    <w:p w14:paraId="5E34C37F" w14:textId="65BE9A26" w:rsidR="0065131D" w:rsidRDefault="41028EAA" w:rsidP="3C0BAC93">
      <w:pPr>
        <w:spacing w:after="0"/>
        <w:ind w:left="630" w:right="247"/>
      </w:pPr>
      <w:r w:rsidRPr="3C0BAC93">
        <w:rPr>
          <w:rFonts w:ascii="Calibri" w:eastAsia="Calibri" w:hAnsi="Calibri" w:cs="Calibri"/>
        </w:rPr>
        <w:t>E-mail: (aml_str@.com)</w:t>
      </w:r>
    </w:p>
    <w:p w14:paraId="574B0E5F" w14:textId="60BF6F5F" w:rsidR="0065131D" w:rsidRDefault="41028EAA" w:rsidP="3C0BAC93">
      <w:pPr>
        <w:spacing w:after="0"/>
        <w:ind w:left="630" w:right="247"/>
      </w:pPr>
      <w:r w:rsidRPr="3C0BAC93">
        <w:rPr>
          <w:rFonts w:ascii="Calibri" w:eastAsia="Calibri" w:hAnsi="Calibri" w:cs="Calibri"/>
        </w:rPr>
        <w:t>Direct Phone: (012-6464949)</w:t>
      </w:r>
    </w:p>
    <w:p w14:paraId="059A0A8E" w14:textId="5F9A1B71" w:rsidR="0065131D" w:rsidRDefault="41028EAA" w:rsidP="3C0BAC93">
      <w:pPr>
        <w:spacing w:after="0"/>
        <w:ind w:left="630" w:right="247"/>
      </w:pPr>
      <w:r w:rsidRPr="3C0BAC93">
        <w:rPr>
          <w:rFonts w:ascii="Calibri" w:eastAsia="Calibri" w:hAnsi="Calibri" w:cs="Calibri"/>
        </w:rPr>
        <w:t>Sanctions:</w:t>
      </w:r>
    </w:p>
    <w:p w14:paraId="443B0863" w14:textId="4209A625" w:rsidR="0065131D" w:rsidRDefault="41028EAA" w:rsidP="3C0BAC93">
      <w:pPr>
        <w:spacing w:after="0"/>
        <w:ind w:left="630" w:right="247"/>
      </w:pPr>
      <w:r w:rsidRPr="3C0BAC93">
        <w:rPr>
          <w:rFonts w:ascii="Calibri" w:eastAsia="Calibri" w:hAnsi="Calibri" w:cs="Calibri"/>
        </w:rPr>
        <w:t xml:space="preserve">net Portal Home: E-STR </w:t>
      </w:r>
    </w:p>
    <w:p w14:paraId="39A83722" w14:textId="77EAAC55" w:rsidR="0065131D" w:rsidRDefault="41028EAA" w:rsidP="3C0BAC93">
      <w:pPr>
        <w:spacing w:after="0"/>
        <w:ind w:left="630" w:right="247"/>
      </w:pPr>
      <w:r w:rsidRPr="3C0BAC93">
        <w:rPr>
          <w:rFonts w:ascii="Calibri" w:eastAsia="Calibri" w:hAnsi="Calibri" w:cs="Calibri"/>
        </w:rPr>
        <w:t>E-mail: (</w:t>
      </w:r>
      <w:hyperlink r:id="rId17">
        <w:r w:rsidRPr="3C0BAC93">
          <w:rPr>
            <w:rStyle w:val="Hyperlink"/>
            <w:rFonts w:ascii="Calibri" w:eastAsia="Calibri" w:hAnsi="Calibri" w:cs="Calibri"/>
            <w:color w:val="0000FF"/>
          </w:rPr>
          <w:t>Compliance-Sanctions@.com</w:t>
        </w:r>
      </w:hyperlink>
      <w:r w:rsidRPr="3C0BAC93">
        <w:rPr>
          <w:rFonts w:ascii="Calibri" w:eastAsia="Calibri" w:hAnsi="Calibri" w:cs="Calibri"/>
        </w:rPr>
        <w:t>)</w:t>
      </w:r>
    </w:p>
    <w:p w14:paraId="53DB44A3" w14:textId="33A42411" w:rsidR="0065131D" w:rsidRDefault="41028EAA" w:rsidP="3C0BAC93">
      <w:pPr>
        <w:bidi/>
        <w:spacing w:after="0"/>
        <w:ind w:left="284" w:right="247"/>
      </w:pPr>
      <w:r w:rsidRPr="3C0BAC93">
        <w:rPr>
          <w:rFonts w:ascii="Calibri" w:eastAsia="Calibri" w:hAnsi="Calibri" w:cs="Calibri"/>
          <w:rtl/>
        </w:rPr>
        <w:t xml:space="preserve"> </w:t>
      </w:r>
    </w:p>
    <w:p w14:paraId="6C07B624" w14:textId="6F6A6F5D"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Reporting to the Whistleblowing Unit</w:t>
      </w:r>
    </w:p>
    <w:p w14:paraId="79CB2928" w14:textId="179F2B19" w:rsidR="0065131D" w:rsidRDefault="41028EAA" w:rsidP="3C0BAC93">
      <w:pPr>
        <w:spacing w:after="0"/>
        <w:ind w:left="720" w:right="247"/>
      </w:pPr>
      <w:r w:rsidRPr="3C0BAC93">
        <w:rPr>
          <w:rFonts w:ascii="Calibri" w:eastAsia="Calibri" w:hAnsi="Calibri" w:cs="Calibri"/>
        </w:rPr>
        <w:t>Your commitment to ethical standards within  is of utmost importance. If you are aware of any violations that have been committed, are being committed or are about to be committed in order to combat fraud, embezzlement, corruption, bribery and illegal behavior, we encourage you to report them immediately through the designated Whistleblowing reporting channels, your reporting will contribute to ensuring the integrity of the Bank.</w:t>
      </w:r>
    </w:p>
    <w:p w14:paraId="4545D831" w14:textId="6D3BEC35" w:rsidR="0065131D" w:rsidRDefault="41028EAA" w:rsidP="3C0BAC93">
      <w:pPr>
        <w:spacing w:after="0"/>
        <w:ind w:left="720" w:right="247"/>
      </w:pPr>
      <w:r w:rsidRPr="3C0BAC93">
        <w:rPr>
          <w:rFonts w:ascii="Calibri" w:eastAsia="Calibri" w:hAnsi="Calibri" w:cs="Calibri"/>
        </w:rPr>
        <w:t xml:space="preserve">Your vigilance helps ensure the integrity of our bank. To report such incidents, please utilize any of the following communication channels: </w:t>
      </w:r>
    </w:p>
    <w:p w14:paraId="16BCD69F" w14:textId="45A4472A" w:rsidR="0065131D" w:rsidRDefault="41028EAA" w:rsidP="3C0BAC93">
      <w:pPr>
        <w:spacing w:after="0"/>
        <w:ind w:left="720" w:right="247"/>
      </w:pPr>
      <w:r w:rsidRPr="3C0BAC93">
        <w:rPr>
          <w:rFonts w:ascii="Calibri" w:eastAsia="Calibri" w:hAnsi="Calibri" w:cs="Calibri"/>
          <w:b/>
          <w:bCs/>
        </w:rPr>
        <w:t>Direct Phone</w:t>
      </w:r>
      <w:r w:rsidRPr="3C0BAC93">
        <w:rPr>
          <w:rFonts w:ascii="Calibri" w:eastAsia="Calibri" w:hAnsi="Calibri" w:cs="Calibri"/>
        </w:rPr>
        <w:t xml:space="preserve">: (012-6463514) </w:t>
      </w:r>
    </w:p>
    <w:p w14:paraId="4502B5D7" w14:textId="0BCE8872" w:rsidR="0065131D" w:rsidRDefault="41028EAA" w:rsidP="3C0BAC93">
      <w:pPr>
        <w:spacing w:after="0"/>
        <w:ind w:left="720" w:right="247"/>
      </w:pPr>
      <w:r w:rsidRPr="3C0BAC93">
        <w:rPr>
          <w:rFonts w:ascii="Calibri" w:eastAsia="Calibri" w:hAnsi="Calibri" w:cs="Calibri"/>
          <w:b/>
          <w:bCs/>
        </w:rPr>
        <w:t>E-mail</w:t>
      </w:r>
      <w:r w:rsidRPr="3C0BAC93">
        <w:rPr>
          <w:rFonts w:ascii="Calibri" w:eastAsia="Calibri" w:hAnsi="Calibri" w:cs="Calibri"/>
        </w:rPr>
        <w:t xml:space="preserve">: </w:t>
      </w:r>
      <w:hyperlink r:id="rId18">
        <w:r w:rsidRPr="3C0BAC93">
          <w:rPr>
            <w:rStyle w:val="Hyperlink"/>
            <w:rFonts w:ascii="Calibri" w:eastAsia="Calibri" w:hAnsi="Calibri" w:cs="Calibri"/>
            <w:color w:val="0000FF"/>
          </w:rPr>
          <w:t>whistleblowing@.com</w:t>
        </w:r>
      </w:hyperlink>
      <w:r w:rsidRPr="3C0BAC93">
        <w:rPr>
          <w:rFonts w:ascii="Calibri" w:eastAsia="Calibri" w:hAnsi="Calibri" w:cs="Calibri"/>
        </w:rPr>
        <w:t xml:space="preserve"> </w:t>
      </w:r>
    </w:p>
    <w:p w14:paraId="6F0B626B" w14:textId="42C040FD" w:rsidR="0065131D" w:rsidRDefault="41028EAA" w:rsidP="3C0BAC93">
      <w:pPr>
        <w:spacing w:after="0"/>
        <w:ind w:left="720" w:right="247"/>
      </w:pPr>
      <w:r w:rsidRPr="3C0BAC93">
        <w:rPr>
          <w:rFonts w:ascii="Calibri" w:eastAsia="Calibri" w:hAnsi="Calibri" w:cs="Calibri"/>
          <w:b/>
          <w:bCs/>
        </w:rPr>
        <w:t>Postal address:</w:t>
      </w:r>
      <w:r w:rsidRPr="3C0BAC93">
        <w:rPr>
          <w:rFonts w:ascii="Calibri" w:eastAsia="Calibri" w:hAnsi="Calibri" w:cs="Calibri"/>
        </w:rPr>
        <w:t xml:space="preserve">  – KAFD 12th Floor – Head of Whistleblowing Unit Compliance Group – PO Box: 3208 – Unit No. 778 – Zip code: 13519</w:t>
      </w:r>
    </w:p>
    <w:p w14:paraId="01420328" w14:textId="77AC2387" w:rsidR="0065131D" w:rsidRDefault="41028EAA" w:rsidP="3C0BAC93">
      <w:pPr>
        <w:spacing w:after="0"/>
        <w:ind w:left="720" w:right="247"/>
      </w:pPr>
      <w:r w:rsidRPr="3C0BAC93">
        <w:rPr>
          <w:rFonts w:ascii="Calibri" w:eastAsia="Calibri" w:hAnsi="Calibri" w:cs="Calibri"/>
          <w:b/>
          <w:bCs/>
        </w:rPr>
        <w:t>Online Form</w:t>
      </w:r>
      <w:r w:rsidRPr="3C0BAC93">
        <w:rPr>
          <w:rFonts w:ascii="Calibri" w:eastAsia="Calibri" w:hAnsi="Calibri" w:cs="Calibri"/>
        </w:rPr>
        <w:t xml:space="preserve">: You can submit your report through the dedicated whistleblowing form on the Home Page of  at </w:t>
      </w:r>
      <w:hyperlink r:id="rId19">
        <w:r w:rsidRPr="3C0BAC93">
          <w:rPr>
            <w:rStyle w:val="Hyperlink"/>
            <w:rFonts w:ascii="Times New Roman" w:eastAsia="Times New Roman" w:hAnsi="Times New Roman" w:cs="Times New Roman"/>
            <w:color w:val="0000FF"/>
            <w:sz w:val="20"/>
            <w:szCs w:val="20"/>
          </w:rPr>
          <w:t>E-Forms Report suspicious activities (.com)</w:t>
        </w:r>
      </w:hyperlink>
    </w:p>
    <w:p w14:paraId="616B0C0C" w14:textId="04EFFAF6" w:rsidR="0065131D" w:rsidRDefault="41028EAA" w:rsidP="3C0BAC93">
      <w:pPr>
        <w:spacing w:after="0"/>
        <w:ind w:left="720" w:right="247" w:hanging="450"/>
      </w:pPr>
      <w:r w:rsidRPr="3C0BAC93">
        <w:rPr>
          <w:rFonts w:ascii="Calibri" w:eastAsia="Calibri" w:hAnsi="Calibri" w:cs="Calibri"/>
        </w:rPr>
        <w:lastRenderedPageBreak/>
        <w:t xml:space="preserve"> </w:t>
      </w:r>
    </w:p>
    <w:p w14:paraId="4F61C935" w14:textId="1FAEBE1F" w:rsidR="0065131D" w:rsidRDefault="41028EAA" w:rsidP="3C0BAC93">
      <w:pPr>
        <w:spacing w:after="0"/>
        <w:ind w:left="630" w:right="247"/>
      </w:pPr>
      <w:r w:rsidRPr="3C0BAC93">
        <w:rPr>
          <w:rFonts w:ascii="Calibri" w:eastAsia="Calibri" w:hAnsi="Calibri" w:cs="Calibri"/>
        </w:rPr>
        <w:t>Please rest assured that we are committed to safeguarding the confidentiality of whistleblowers. Your identity will remain anonymous, and you will not face any retaliation for bringing such matters to our attention. Thank you for your dedication to our shared values and the continued success of our Bank.</w:t>
      </w:r>
    </w:p>
    <w:p w14:paraId="27B48E56" w14:textId="259F8477" w:rsidR="0065131D" w:rsidRDefault="41028EAA" w:rsidP="3C0BAC93">
      <w:pPr>
        <w:pStyle w:val="Heading1"/>
        <w:numPr>
          <w:ilvl w:val="0"/>
          <w:numId w:val="27"/>
        </w:numPr>
        <w:spacing w:before="0" w:after="0" w:line="360" w:lineRule="auto"/>
        <w:ind w:left="360" w:right="247"/>
        <w:rPr>
          <w:rFonts w:ascii="Calibri" w:eastAsia="Calibri" w:hAnsi="Calibri" w:cs="Calibri"/>
          <w:b/>
          <w:bCs/>
          <w:sz w:val="28"/>
          <w:szCs w:val="28"/>
        </w:rPr>
      </w:pPr>
      <w:r w:rsidRPr="3C0BAC93">
        <w:rPr>
          <w:rFonts w:ascii="Calibri" w:eastAsia="Calibri" w:hAnsi="Calibri" w:cs="Calibri"/>
          <w:b/>
          <w:bCs/>
          <w:sz w:val="28"/>
          <w:szCs w:val="28"/>
        </w:rPr>
        <w:t>Shariah Governance Requirements</w:t>
      </w:r>
    </w:p>
    <w:p w14:paraId="424143F1" w14:textId="2A69B766" w:rsidR="0065131D" w:rsidRDefault="41028EAA" w:rsidP="3C0BAC93">
      <w:pPr>
        <w:spacing w:after="240"/>
        <w:ind w:left="284" w:right="247"/>
      </w:pPr>
      <w:r w:rsidRPr="3C0BAC93">
        <w:rPr>
          <w:rFonts w:ascii="Calibri" w:eastAsia="Calibri" w:hAnsi="Calibri" w:cs="Calibri"/>
        </w:rPr>
        <w:t>For any Shariah services a request application must be filed by Business Unit (product owner), and to be sent to Shariah Support Development SSD department, as SSD is the contact point in Shariah Division to ensure the completeness and Shariah reasonable requirements are met and support business submission for Shariah approvals, opinions, or sign off, related to products development, for matters related to Product(s)’ development/enhancement.</w:t>
      </w:r>
    </w:p>
    <w:p w14:paraId="688BDA11" w14:textId="3FD92D9C"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Business Unit (document owner) is required to Obtain Shariah approval on:</w:t>
      </w:r>
    </w:p>
    <w:p w14:paraId="7C3B6774" w14:textId="79ABEC36" w:rsidR="0065131D" w:rsidRDefault="41028EAA" w:rsidP="3C0BAC93">
      <w:pPr>
        <w:pStyle w:val="ListParagraph"/>
        <w:numPr>
          <w:ilvl w:val="1"/>
          <w:numId w:val="4"/>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All Islamic product(s) and services development, amendment (enhancement or deletion) of product features including all Islamic structures, executive documentation such as agreements, contracts, addendums, and forms, notifications, and scripts.</w:t>
      </w:r>
    </w:p>
    <w:p w14:paraId="0FD3B7DC" w14:textId="094A2734" w:rsidR="0065131D" w:rsidRDefault="41028EAA" w:rsidP="3C0BAC93">
      <w:pPr>
        <w:pStyle w:val="ListParagraph"/>
        <w:numPr>
          <w:ilvl w:val="1"/>
          <w:numId w:val="4"/>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Any fees, commissions, other revenue related to the Islamic products or services.</w:t>
      </w:r>
    </w:p>
    <w:p w14:paraId="341459B9" w14:textId="34AC6EA4" w:rsidR="0065131D" w:rsidRDefault="41028EAA" w:rsidP="3C0BAC93">
      <w:pPr>
        <w:spacing w:after="0"/>
        <w:ind w:left="284" w:right="247"/>
        <w:jc w:val="both"/>
      </w:pPr>
      <w:r w:rsidRPr="3C0BAC93">
        <w:rPr>
          <w:rFonts w:ascii="Calibri" w:eastAsia="Calibri" w:hAnsi="Calibri" w:cs="Calibri"/>
          <w:color w:val="000000" w:themeColor="text1"/>
        </w:rPr>
        <w:t xml:space="preserve"> </w:t>
      </w:r>
    </w:p>
    <w:p w14:paraId="369AC725" w14:textId="42C06E9B"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 xml:space="preserve">  Business Unit (document owner) is required to Obtain Shariah compliance sign off on:</w:t>
      </w:r>
    </w:p>
    <w:p w14:paraId="67007356" w14:textId="5D9C6144" w:rsidR="0065131D" w:rsidRDefault="41028EAA" w:rsidP="3C0BAC93">
      <w:pPr>
        <w:pStyle w:val="ListParagraph"/>
        <w:numPr>
          <w:ilvl w:val="0"/>
          <w:numId w:val="2"/>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Policies &amp; procedure,</w:t>
      </w:r>
    </w:p>
    <w:p w14:paraId="5C5134BD" w14:textId="75AB935D" w:rsidR="0065131D" w:rsidRDefault="41028EAA" w:rsidP="3C0BAC93">
      <w:pPr>
        <w:pStyle w:val="ListParagraph"/>
        <w:numPr>
          <w:ilvl w:val="0"/>
          <w:numId w:val="2"/>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New Product or Services template (NPST)</w:t>
      </w:r>
    </w:p>
    <w:p w14:paraId="57C37533" w14:textId="732B8BD4" w:rsidR="0065131D" w:rsidRDefault="41028EAA" w:rsidP="3C0BAC93">
      <w:pPr>
        <w:pStyle w:val="ListParagraph"/>
        <w:numPr>
          <w:ilvl w:val="0"/>
          <w:numId w:val="2"/>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 xml:space="preserve">Product Program </w:t>
      </w:r>
    </w:p>
    <w:p w14:paraId="35D2E5A7" w14:textId="384CBF62" w:rsidR="0065131D" w:rsidRDefault="41028EAA" w:rsidP="3C0BAC93">
      <w:pPr>
        <w:pStyle w:val="ListParagraph"/>
        <w:numPr>
          <w:ilvl w:val="0"/>
          <w:numId w:val="2"/>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 xml:space="preserve">System changes, changes request. </w:t>
      </w:r>
    </w:p>
    <w:p w14:paraId="0EB0F0AE" w14:textId="00FB667C" w:rsidR="0065131D" w:rsidRDefault="41028EAA" w:rsidP="3C0BAC93">
      <w:pPr>
        <w:pStyle w:val="ListParagraph"/>
        <w:numPr>
          <w:ilvl w:val="0"/>
          <w:numId w:val="2"/>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System documentations: Term of Reference (TOR),</w:t>
      </w:r>
    </w:p>
    <w:p w14:paraId="1CDF2E71" w14:textId="4F54AB8A" w:rsidR="0065131D" w:rsidRDefault="41028EAA" w:rsidP="3C0BAC93">
      <w:pPr>
        <w:pStyle w:val="ListParagraph"/>
        <w:numPr>
          <w:ilvl w:val="0"/>
          <w:numId w:val="2"/>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 xml:space="preserve">Business Requirements Document (BRD), </w:t>
      </w:r>
    </w:p>
    <w:p w14:paraId="42B5F596" w14:textId="746FBF89" w:rsidR="0065131D" w:rsidRDefault="41028EAA" w:rsidP="3C0BAC93">
      <w:pPr>
        <w:pStyle w:val="ListParagraph"/>
        <w:numPr>
          <w:ilvl w:val="0"/>
          <w:numId w:val="2"/>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Solution Specification Document (SSD) Function System Document (FSD).</w:t>
      </w:r>
    </w:p>
    <w:p w14:paraId="3E272D66" w14:textId="071072A5" w:rsidR="0065131D" w:rsidRDefault="41028EAA" w:rsidP="3C0BAC93">
      <w:pPr>
        <w:pStyle w:val="ListParagraph"/>
        <w:numPr>
          <w:ilvl w:val="0"/>
          <w:numId w:val="2"/>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 xml:space="preserve">User Acceptance Test Scenario (UAT), </w:t>
      </w:r>
    </w:p>
    <w:p w14:paraId="2B0C9131" w14:textId="743C1C53" w:rsidR="0065131D" w:rsidRDefault="41028EAA" w:rsidP="3C0BAC93">
      <w:pPr>
        <w:pStyle w:val="ListParagraph"/>
        <w:numPr>
          <w:ilvl w:val="0"/>
          <w:numId w:val="2"/>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 xml:space="preserve">Marketing materials, </w:t>
      </w:r>
    </w:p>
    <w:p w14:paraId="01FBF8F5" w14:textId="05F0DFA2" w:rsidR="0065131D" w:rsidRDefault="41028EAA" w:rsidP="3C0BAC93">
      <w:pPr>
        <w:pStyle w:val="ListParagraph"/>
        <w:numPr>
          <w:ilvl w:val="0"/>
          <w:numId w:val="2"/>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 xml:space="preserve">Social media and campaigns, road shows if any, and </w:t>
      </w:r>
    </w:p>
    <w:p w14:paraId="3FCEA17E" w14:textId="13E3E752" w:rsidR="0065131D" w:rsidRDefault="41028EAA" w:rsidP="3C0BAC93">
      <w:pPr>
        <w:pStyle w:val="ListParagraph"/>
        <w:numPr>
          <w:ilvl w:val="0"/>
          <w:numId w:val="2"/>
        </w:numPr>
        <w:spacing w:after="0"/>
        <w:ind w:left="1350" w:right="247" w:hanging="270"/>
        <w:jc w:val="both"/>
        <w:rPr>
          <w:rFonts w:ascii="Calibri" w:eastAsia="Calibri" w:hAnsi="Calibri" w:cs="Calibri"/>
          <w:color w:val="000000" w:themeColor="text1"/>
          <w:sz w:val="22"/>
          <w:szCs w:val="22"/>
        </w:rPr>
      </w:pPr>
      <w:r w:rsidRPr="3C0BAC93">
        <w:rPr>
          <w:rFonts w:ascii="Calibri" w:eastAsia="Calibri" w:hAnsi="Calibri" w:cs="Calibri"/>
          <w:color w:val="000000" w:themeColor="text1"/>
          <w:sz w:val="22"/>
          <w:szCs w:val="22"/>
        </w:rPr>
        <w:t xml:space="preserve">Training materials, etc. </w:t>
      </w:r>
    </w:p>
    <w:p w14:paraId="4350025A" w14:textId="32740A76" w:rsidR="0065131D" w:rsidRDefault="41028EAA" w:rsidP="3C0BAC93">
      <w:pPr>
        <w:spacing w:after="0"/>
        <w:ind w:right="247"/>
        <w:jc w:val="both"/>
      </w:pPr>
      <w:r w:rsidRPr="3C0BAC93">
        <w:rPr>
          <w:rFonts w:ascii="Calibri" w:eastAsia="Calibri" w:hAnsi="Calibri" w:cs="Calibri"/>
          <w:color w:val="000000" w:themeColor="text1"/>
        </w:rPr>
        <w:t xml:space="preserve"> </w:t>
      </w:r>
    </w:p>
    <w:p w14:paraId="7B44076A" w14:textId="2FFFA111"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2"/>
          <w:szCs w:val="22"/>
        </w:rPr>
      </w:pPr>
      <w:r w:rsidRPr="3C0BAC93">
        <w:rPr>
          <w:rFonts w:ascii="Calibri" w:eastAsia="Calibri" w:hAnsi="Calibri" w:cs="Calibri"/>
          <w:b/>
          <w:bCs/>
          <w:sz w:val="22"/>
          <w:szCs w:val="22"/>
        </w:rPr>
        <w:t>Product Launch Notification:</w:t>
      </w:r>
    </w:p>
    <w:p w14:paraId="1BCA9A5A" w14:textId="41502788" w:rsidR="0065131D" w:rsidRDefault="41028EAA" w:rsidP="3C0BAC93">
      <w:pPr>
        <w:tabs>
          <w:tab w:val="left" w:pos="720"/>
        </w:tabs>
        <w:spacing w:after="0"/>
        <w:ind w:left="900" w:right="247"/>
      </w:pPr>
      <w:r w:rsidRPr="3C0BAC93">
        <w:rPr>
          <w:rFonts w:ascii="Calibri" w:eastAsia="Calibri" w:hAnsi="Calibri" w:cs="Calibri"/>
          <w:sz w:val="22"/>
          <w:szCs w:val="22"/>
        </w:rPr>
        <w:t>Upon a successful launch classified Shariah Compliant product, or services, Business Unit (document owner) is required to notify the Shariah Internal Control include</w:t>
      </w:r>
      <w:r w:rsidRPr="3C0BAC93">
        <w:rPr>
          <w:rFonts w:ascii="Calibri" w:eastAsia="Calibri" w:hAnsi="Calibri" w:cs="Calibri"/>
          <w:b/>
          <w:bCs/>
          <w:sz w:val="22"/>
          <w:szCs w:val="22"/>
        </w:rPr>
        <w:t xml:space="preserve"> (</w:t>
      </w:r>
      <w:r w:rsidRPr="3C0BAC93">
        <w:rPr>
          <w:rFonts w:ascii="Calibri" w:eastAsia="Calibri" w:hAnsi="Calibri" w:cs="Calibri"/>
          <w:sz w:val="22"/>
          <w:szCs w:val="22"/>
        </w:rPr>
        <w:t>Shariah Compliance and Shariah Audit).</w:t>
      </w:r>
    </w:p>
    <w:p w14:paraId="4B985315" w14:textId="47E8FA70" w:rsidR="0065131D" w:rsidRDefault="41028EAA" w:rsidP="3C0BAC93">
      <w:pPr>
        <w:pStyle w:val="Heading1"/>
        <w:numPr>
          <w:ilvl w:val="0"/>
          <w:numId w:val="27"/>
        </w:numPr>
        <w:spacing w:before="0" w:after="0" w:line="360" w:lineRule="auto"/>
        <w:ind w:left="360" w:right="247"/>
        <w:rPr>
          <w:rFonts w:ascii="Calibri" w:eastAsia="Calibri" w:hAnsi="Calibri" w:cs="Calibri"/>
          <w:b/>
          <w:bCs/>
          <w:sz w:val="28"/>
          <w:szCs w:val="28"/>
        </w:rPr>
      </w:pPr>
      <w:r w:rsidRPr="3C0BAC93">
        <w:rPr>
          <w:rFonts w:ascii="Calibri" w:eastAsia="Calibri" w:hAnsi="Calibri" w:cs="Calibri"/>
          <w:b/>
          <w:bCs/>
          <w:sz w:val="28"/>
          <w:szCs w:val="28"/>
        </w:rPr>
        <w:lastRenderedPageBreak/>
        <w:t>Risk policies from fraud and social engineering</w:t>
      </w:r>
    </w:p>
    <w:p w14:paraId="28BA822B" w14:textId="10B1698D" w:rsidR="0065131D" w:rsidRDefault="41028EAA" w:rsidP="3C0BAC93">
      <w:pPr>
        <w:pStyle w:val="Heading2"/>
        <w:numPr>
          <w:ilvl w:val="1"/>
          <w:numId w:val="27"/>
        </w:numPr>
        <w:spacing w:before="0" w:after="0"/>
        <w:ind w:left="1424" w:right="247" w:hanging="432"/>
        <w:jc w:val="both"/>
        <w:rPr>
          <w:rFonts w:ascii="Calibri" w:eastAsia="Calibri" w:hAnsi="Calibri" w:cs="Calibri"/>
          <w:b/>
          <w:bCs/>
          <w:sz w:val="24"/>
          <w:szCs w:val="24"/>
        </w:rPr>
      </w:pPr>
      <w:r w:rsidRPr="3C0BAC93">
        <w:rPr>
          <w:rFonts w:ascii="Calibri" w:eastAsia="Calibri" w:hAnsi="Calibri" w:cs="Calibri"/>
          <w:b/>
          <w:bCs/>
          <w:sz w:val="24"/>
          <w:szCs w:val="24"/>
        </w:rPr>
        <w:t>Counter Fraud</w:t>
      </w:r>
    </w:p>
    <w:p w14:paraId="5D104C05" w14:textId="539E3A4B" w:rsidR="0065131D" w:rsidRDefault="41028EAA" w:rsidP="3C0BAC93">
      <w:pPr>
        <w:spacing w:after="0"/>
        <w:ind w:left="900"/>
      </w:pPr>
      <w:r w:rsidRPr="3C0BAC93">
        <w:rPr>
          <w:rFonts w:ascii="Calibri" w:eastAsia="Calibri" w:hAnsi="Calibri" w:cs="Calibri"/>
        </w:rPr>
        <w:t>The Counter Fraud Guide at , which is part of the financial fraud prevention system under the Central Bank's policies, aims to assist customers in establishing minimum procedures and policies to combat cases of financial fraud they may encounter, and enhance measures to mitigate the risks of financial fraud.</w:t>
      </w:r>
    </w:p>
    <w:p w14:paraId="0EDA4EDD" w14:textId="558A28B0" w:rsidR="0065131D" w:rsidRDefault="41028EAA" w:rsidP="3C0BAC93">
      <w:pPr>
        <w:pStyle w:val="Heading2"/>
        <w:numPr>
          <w:ilvl w:val="1"/>
          <w:numId w:val="27"/>
        </w:numPr>
        <w:spacing w:before="0" w:after="0"/>
        <w:ind w:left="900" w:right="247" w:hanging="522"/>
        <w:jc w:val="both"/>
        <w:rPr>
          <w:rFonts w:ascii="Calibri" w:eastAsia="Calibri" w:hAnsi="Calibri" w:cs="Calibri"/>
          <w:b/>
          <w:bCs/>
          <w:sz w:val="24"/>
          <w:szCs w:val="24"/>
        </w:rPr>
      </w:pPr>
      <w:r w:rsidRPr="3C0BAC93">
        <w:rPr>
          <w:rFonts w:ascii="Calibri" w:eastAsia="Calibri" w:hAnsi="Calibri" w:cs="Calibri"/>
          <w:b/>
          <w:bCs/>
          <w:sz w:val="24"/>
          <w:szCs w:val="24"/>
        </w:rPr>
        <w:t>Social Engineering</w:t>
      </w:r>
    </w:p>
    <w:p w14:paraId="69977C3B" w14:textId="70806523" w:rsidR="0065131D" w:rsidRDefault="41028EAA" w:rsidP="3C0BAC93">
      <w:pPr>
        <w:spacing w:after="0"/>
        <w:ind w:left="900"/>
        <w:rPr>
          <w:rFonts w:ascii="Calibri" w:eastAsia="Calibri" w:hAnsi="Calibri" w:cs="Calibri"/>
        </w:rPr>
      </w:pPr>
      <w:r w:rsidRPr="3C0BAC93">
        <w:rPr>
          <w:rFonts w:ascii="Calibri" w:eastAsia="Calibri" w:hAnsi="Calibri" w:cs="Calibri"/>
        </w:rPr>
        <w:t>Governance and strategy to prevent financial fraud and alert the client through various means regularly to avoid fraud.</w:t>
      </w:r>
      <w:r w:rsidR="005E0C3C">
        <w:br/>
      </w:r>
      <w:r w:rsidRPr="3C0BAC93">
        <w:rPr>
          <w:rFonts w:ascii="Calibri" w:eastAsia="Calibri" w:hAnsi="Calibri" w:cs="Calibri"/>
        </w:rPr>
        <w:t xml:space="preserve"> If suspicion of any fraudulent transactions is proven, please send an email to:  </w:t>
      </w:r>
      <w:r w:rsidR="005E0C3C">
        <w:tab/>
      </w:r>
    </w:p>
    <w:p w14:paraId="7EED4FAF" w14:textId="2EC5A76C" w:rsidR="0065131D" w:rsidRDefault="41028EAA" w:rsidP="3C0BAC93">
      <w:pPr>
        <w:spacing w:after="0"/>
        <w:ind w:left="900"/>
      </w:pPr>
      <w:r w:rsidRPr="3C0BAC93">
        <w:rPr>
          <w:rFonts w:ascii="Calibri" w:eastAsia="Calibri" w:hAnsi="Calibri" w:cs="Calibri"/>
        </w:rPr>
        <w:t xml:space="preserve">Fraud Prevention </w:t>
      </w:r>
      <w:hyperlink r:id="rId20">
        <w:r w:rsidRPr="3C0BAC93">
          <w:rPr>
            <w:rStyle w:val="Hyperlink"/>
            <w:rFonts w:ascii="Times New Roman" w:eastAsia="Times New Roman" w:hAnsi="Times New Roman" w:cs="Times New Roman"/>
            <w:color w:val="0000FF"/>
            <w:sz w:val="20"/>
            <w:szCs w:val="20"/>
          </w:rPr>
          <w:t>Fraud_Prevention@.com</w:t>
        </w:r>
      </w:hyperlink>
    </w:p>
    <w:p w14:paraId="0ADCFB65" w14:textId="7171BE6E" w:rsidR="0065131D" w:rsidRDefault="41028EAA" w:rsidP="3C0BAC93">
      <w:pPr>
        <w:spacing w:after="0"/>
        <w:ind w:left="900"/>
      </w:pPr>
      <w:r w:rsidRPr="3C0BAC93">
        <w:rPr>
          <w:rFonts w:ascii="Calibri" w:eastAsia="Calibri" w:hAnsi="Calibri" w:cs="Calibri"/>
        </w:rPr>
        <w:t xml:space="preserve"> </w:t>
      </w:r>
    </w:p>
    <w:p w14:paraId="709623C1" w14:textId="6F17785B" w:rsidR="0065131D" w:rsidRDefault="41028EAA" w:rsidP="3C0BAC93">
      <w:pPr>
        <w:spacing w:after="0"/>
        <w:ind w:left="900"/>
      </w:pPr>
      <w:r w:rsidRPr="3C0BAC93">
        <w:rPr>
          <w:rFonts w:ascii="Calibri" w:eastAsia="Calibri" w:hAnsi="Calibri" w:cs="Calibri"/>
        </w:rPr>
        <w:t xml:space="preserve"> </w:t>
      </w:r>
    </w:p>
    <w:p w14:paraId="23C715EE" w14:textId="58A454D8" w:rsidR="0065131D" w:rsidRDefault="41028EAA" w:rsidP="3C0BAC93">
      <w:pPr>
        <w:spacing w:after="0"/>
        <w:ind w:left="900"/>
      </w:pPr>
      <w:r w:rsidRPr="3C0BAC93">
        <w:rPr>
          <w:rFonts w:ascii="Calibri" w:eastAsia="Calibri" w:hAnsi="Calibri" w:cs="Calibri"/>
        </w:rPr>
        <w:t xml:space="preserve"> </w:t>
      </w:r>
    </w:p>
    <w:p w14:paraId="16036D52" w14:textId="64FBF49A" w:rsidR="0065131D" w:rsidRDefault="41028EAA" w:rsidP="3C0BAC93">
      <w:pPr>
        <w:spacing w:after="0"/>
        <w:ind w:left="900"/>
      </w:pPr>
      <w:r w:rsidRPr="3C0BAC93">
        <w:rPr>
          <w:rFonts w:ascii="Calibri" w:eastAsia="Calibri" w:hAnsi="Calibri" w:cs="Calibri"/>
        </w:rPr>
        <w:t xml:space="preserve"> </w:t>
      </w:r>
    </w:p>
    <w:p w14:paraId="07EC2BD0" w14:textId="7480E47B" w:rsidR="0065131D" w:rsidRDefault="41028EAA" w:rsidP="3C0BAC93">
      <w:pPr>
        <w:spacing w:after="0"/>
        <w:ind w:left="900"/>
      </w:pPr>
      <w:r w:rsidRPr="3C0BAC93">
        <w:rPr>
          <w:rFonts w:ascii="Calibri" w:eastAsia="Calibri" w:hAnsi="Calibri" w:cs="Calibri"/>
        </w:rPr>
        <w:t xml:space="preserve"> </w:t>
      </w:r>
    </w:p>
    <w:p w14:paraId="70D403E2" w14:textId="27AE63F2" w:rsidR="0065131D" w:rsidRDefault="41028EAA" w:rsidP="3C0BAC93">
      <w:pPr>
        <w:spacing w:after="0"/>
        <w:ind w:left="900"/>
      </w:pPr>
      <w:r w:rsidRPr="3C0BAC93">
        <w:rPr>
          <w:rFonts w:ascii="Calibri" w:eastAsia="Calibri" w:hAnsi="Calibri" w:cs="Calibri"/>
        </w:rPr>
        <w:t xml:space="preserve"> </w:t>
      </w:r>
    </w:p>
    <w:p w14:paraId="4CDF36D4" w14:textId="6EA61D40" w:rsidR="0065131D" w:rsidRDefault="41028EAA" w:rsidP="3C0BAC93">
      <w:pPr>
        <w:spacing w:after="0"/>
        <w:ind w:left="900"/>
      </w:pPr>
      <w:r w:rsidRPr="3C0BAC93">
        <w:rPr>
          <w:rFonts w:ascii="Calibri" w:eastAsia="Calibri" w:hAnsi="Calibri" w:cs="Calibri"/>
        </w:rPr>
        <w:t xml:space="preserve"> </w:t>
      </w:r>
    </w:p>
    <w:p w14:paraId="10484157" w14:textId="709598CB" w:rsidR="0065131D" w:rsidRDefault="41028EAA" w:rsidP="3C0BAC93">
      <w:pPr>
        <w:spacing w:after="0"/>
        <w:ind w:left="900"/>
      </w:pPr>
      <w:r w:rsidRPr="3C0BAC93">
        <w:rPr>
          <w:rFonts w:ascii="Calibri" w:eastAsia="Calibri" w:hAnsi="Calibri" w:cs="Calibri"/>
        </w:rPr>
        <w:t xml:space="preserve"> </w:t>
      </w:r>
    </w:p>
    <w:p w14:paraId="0E5FEA63" w14:textId="661852CE" w:rsidR="0065131D" w:rsidRDefault="41028EAA" w:rsidP="3C0BAC93">
      <w:pPr>
        <w:spacing w:after="0"/>
        <w:ind w:left="900"/>
      </w:pPr>
      <w:r w:rsidRPr="3C0BAC93">
        <w:rPr>
          <w:rFonts w:ascii="Calibri" w:eastAsia="Calibri" w:hAnsi="Calibri" w:cs="Calibri"/>
        </w:rPr>
        <w:t xml:space="preserve"> </w:t>
      </w:r>
    </w:p>
    <w:p w14:paraId="2ECBA302" w14:textId="5A7904E4" w:rsidR="0065131D" w:rsidRDefault="41028EAA" w:rsidP="3C0BAC93">
      <w:pPr>
        <w:spacing w:after="0"/>
        <w:ind w:left="900"/>
      </w:pPr>
      <w:r w:rsidRPr="3C0BAC93">
        <w:rPr>
          <w:rFonts w:ascii="Calibri" w:eastAsia="Calibri" w:hAnsi="Calibri" w:cs="Calibri"/>
        </w:rPr>
        <w:t xml:space="preserve"> </w:t>
      </w:r>
    </w:p>
    <w:p w14:paraId="468CD5A9" w14:textId="5A4F8938" w:rsidR="0065131D" w:rsidRDefault="41028EAA" w:rsidP="3C0BAC93">
      <w:pPr>
        <w:spacing w:after="0"/>
        <w:ind w:left="900"/>
      </w:pPr>
      <w:r w:rsidRPr="3C0BAC93">
        <w:rPr>
          <w:rFonts w:ascii="Calibri" w:eastAsia="Calibri" w:hAnsi="Calibri" w:cs="Calibri"/>
        </w:rPr>
        <w:t xml:space="preserve"> </w:t>
      </w:r>
    </w:p>
    <w:p w14:paraId="4259314E" w14:textId="4FBAD636" w:rsidR="0065131D" w:rsidRDefault="41028EAA" w:rsidP="3C0BAC93">
      <w:pPr>
        <w:spacing w:after="0"/>
        <w:ind w:left="900"/>
      </w:pPr>
      <w:r w:rsidRPr="3C0BAC93">
        <w:rPr>
          <w:rFonts w:ascii="Calibri" w:eastAsia="Calibri" w:hAnsi="Calibri" w:cs="Calibri"/>
        </w:rPr>
        <w:t xml:space="preserve"> </w:t>
      </w:r>
    </w:p>
    <w:p w14:paraId="4396C7A3" w14:textId="3A5FB7CA" w:rsidR="0065131D" w:rsidRDefault="41028EAA" w:rsidP="3C0BAC93">
      <w:pPr>
        <w:spacing w:after="0"/>
        <w:ind w:left="900"/>
      </w:pPr>
      <w:r w:rsidRPr="3C0BAC93">
        <w:rPr>
          <w:rFonts w:ascii="Calibri" w:eastAsia="Calibri" w:hAnsi="Calibri" w:cs="Calibri"/>
        </w:rPr>
        <w:t xml:space="preserve"> </w:t>
      </w:r>
    </w:p>
    <w:p w14:paraId="0DC0C888" w14:textId="30598827" w:rsidR="0065131D" w:rsidRDefault="41028EAA" w:rsidP="3C0BAC93">
      <w:pPr>
        <w:spacing w:after="0"/>
        <w:ind w:left="900"/>
      </w:pPr>
      <w:r w:rsidRPr="3C0BAC93">
        <w:rPr>
          <w:rFonts w:ascii="Calibri" w:eastAsia="Calibri" w:hAnsi="Calibri" w:cs="Calibri"/>
        </w:rPr>
        <w:t xml:space="preserve"> </w:t>
      </w:r>
    </w:p>
    <w:p w14:paraId="47150473" w14:textId="50166F1D" w:rsidR="0065131D" w:rsidRDefault="41028EAA" w:rsidP="3C0BAC93">
      <w:pPr>
        <w:spacing w:after="0"/>
        <w:ind w:left="900"/>
      </w:pPr>
      <w:r w:rsidRPr="3C0BAC93">
        <w:rPr>
          <w:rFonts w:ascii="Calibri" w:eastAsia="Calibri" w:hAnsi="Calibri" w:cs="Calibri"/>
        </w:rPr>
        <w:t xml:space="preserve"> </w:t>
      </w:r>
    </w:p>
    <w:p w14:paraId="4E24FE9A" w14:textId="1CE54040" w:rsidR="0065131D" w:rsidRDefault="41028EAA" w:rsidP="3C0BAC93">
      <w:pPr>
        <w:spacing w:after="0"/>
        <w:ind w:left="900"/>
      </w:pPr>
      <w:r w:rsidRPr="3C0BAC93">
        <w:rPr>
          <w:rFonts w:ascii="Calibri" w:eastAsia="Calibri" w:hAnsi="Calibri" w:cs="Calibri"/>
        </w:rPr>
        <w:t xml:space="preserve"> </w:t>
      </w:r>
    </w:p>
    <w:p w14:paraId="7FF52565" w14:textId="09F44E1F" w:rsidR="0065131D" w:rsidRDefault="41028EAA" w:rsidP="3C0BAC93">
      <w:pPr>
        <w:spacing w:after="0"/>
        <w:ind w:left="900"/>
      </w:pPr>
      <w:r w:rsidRPr="3C0BAC93">
        <w:rPr>
          <w:rFonts w:ascii="Calibri" w:eastAsia="Calibri" w:hAnsi="Calibri" w:cs="Calibri"/>
        </w:rPr>
        <w:t xml:space="preserve"> </w:t>
      </w:r>
    </w:p>
    <w:p w14:paraId="1E9E0417" w14:textId="767074D5" w:rsidR="0065131D" w:rsidRDefault="41028EAA" w:rsidP="3C0BAC93">
      <w:pPr>
        <w:spacing w:after="0"/>
        <w:ind w:left="900"/>
      </w:pPr>
      <w:r w:rsidRPr="3C0BAC93">
        <w:rPr>
          <w:rFonts w:ascii="Calibri" w:eastAsia="Calibri" w:hAnsi="Calibri" w:cs="Calibri"/>
        </w:rPr>
        <w:t xml:space="preserve"> </w:t>
      </w:r>
    </w:p>
    <w:p w14:paraId="6140E9F5" w14:textId="66837666" w:rsidR="0065131D" w:rsidRDefault="41028EAA" w:rsidP="3C0BAC93">
      <w:pPr>
        <w:spacing w:after="0"/>
        <w:ind w:left="900"/>
      </w:pPr>
      <w:r w:rsidRPr="3C0BAC93">
        <w:rPr>
          <w:rFonts w:ascii="Calibri" w:eastAsia="Calibri" w:hAnsi="Calibri" w:cs="Calibri"/>
        </w:rPr>
        <w:t xml:space="preserve"> </w:t>
      </w:r>
    </w:p>
    <w:p w14:paraId="11EA2858" w14:textId="5AA74837" w:rsidR="0065131D" w:rsidRDefault="41028EAA" w:rsidP="3C0BAC93">
      <w:pPr>
        <w:spacing w:after="0"/>
        <w:ind w:left="900"/>
      </w:pPr>
      <w:r w:rsidRPr="3C0BAC93">
        <w:rPr>
          <w:rFonts w:ascii="Calibri" w:eastAsia="Calibri" w:hAnsi="Calibri" w:cs="Calibri"/>
        </w:rPr>
        <w:t xml:space="preserve"> </w:t>
      </w:r>
    </w:p>
    <w:p w14:paraId="5F00DE0E" w14:textId="50EC19AD" w:rsidR="0065131D" w:rsidRDefault="41028EAA" w:rsidP="3C0BAC93">
      <w:pPr>
        <w:spacing w:after="0"/>
        <w:ind w:left="900"/>
      </w:pPr>
      <w:r w:rsidRPr="3C0BAC93">
        <w:rPr>
          <w:rFonts w:ascii="Calibri" w:eastAsia="Calibri" w:hAnsi="Calibri" w:cs="Calibri"/>
        </w:rPr>
        <w:t xml:space="preserve"> </w:t>
      </w:r>
    </w:p>
    <w:p w14:paraId="57817095" w14:textId="35360CEB" w:rsidR="0065131D" w:rsidRDefault="41028EAA" w:rsidP="3C0BAC93">
      <w:pPr>
        <w:spacing w:after="0"/>
        <w:ind w:left="900"/>
      </w:pPr>
      <w:r w:rsidRPr="3C0BAC93">
        <w:rPr>
          <w:rFonts w:ascii="Calibri" w:eastAsia="Calibri" w:hAnsi="Calibri" w:cs="Calibri"/>
        </w:rPr>
        <w:t xml:space="preserve"> </w:t>
      </w:r>
    </w:p>
    <w:p w14:paraId="162C704E" w14:textId="712DF292" w:rsidR="0065131D" w:rsidRDefault="41028EAA" w:rsidP="3C0BAC93">
      <w:pPr>
        <w:spacing w:after="0"/>
        <w:ind w:left="900"/>
      </w:pPr>
      <w:r w:rsidRPr="3C0BAC93">
        <w:rPr>
          <w:rFonts w:ascii="Calibri" w:eastAsia="Calibri" w:hAnsi="Calibri" w:cs="Calibri"/>
        </w:rPr>
        <w:t xml:space="preserve"> </w:t>
      </w:r>
    </w:p>
    <w:p w14:paraId="3137236E" w14:textId="3F6BD8AD" w:rsidR="0065131D" w:rsidRDefault="41028EAA" w:rsidP="3C0BAC93">
      <w:pPr>
        <w:spacing w:after="0"/>
        <w:ind w:left="900"/>
      </w:pPr>
      <w:r w:rsidRPr="3C0BAC93">
        <w:rPr>
          <w:rFonts w:ascii="Calibri" w:eastAsia="Calibri" w:hAnsi="Calibri" w:cs="Calibri"/>
        </w:rPr>
        <w:t xml:space="preserve"> </w:t>
      </w:r>
    </w:p>
    <w:p w14:paraId="7CCB91B0" w14:textId="696AD753" w:rsidR="0065131D" w:rsidRDefault="41028EAA" w:rsidP="3C0BAC93">
      <w:pPr>
        <w:spacing w:after="0"/>
        <w:ind w:left="900"/>
      </w:pPr>
      <w:r w:rsidRPr="3C0BAC93">
        <w:rPr>
          <w:rFonts w:ascii="Calibri" w:eastAsia="Calibri" w:hAnsi="Calibri" w:cs="Calibri"/>
        </w:rPr>
        <w:t xml:space="preserve"> </w:t>
      </w:r>
    </w:p>
    <w:p w14:paraId="46329670" w14:textId="1496C881" w:rsidR="0065131D" w:rsidRDefault="41028EAA" w:rsidP="3C0BAC93">
      <w:pPr>
        <w:spacing w:after="0"/>
        <w:ind w:left="900"/>
      </w:pPr>
      <w:r w:rsidRPr="3C0BAC93">
        <w:rPr>
          <w:rFonts w:ascii="Calibri" w:eastAsia="Calibri" w:hAnsi="Calibri" w:cs="Calibri"/>
        </w:rPr>
        <w:t xml:space="preserve"> </w:t>
      </w:r>
    </w:p>
    <w:p w14:paraId="29AF885E" w14:textId="543EE578" w:rsidR="0065131D" w:rsidRDefault="41028EAA" w:rsidP="3C0BAC93">
      <w:pPr>
        <w:spacing w:after="0"/>
        <w:ind w:left="900"/>
      </w:pPr>
      <w:r w:rsidRPr="3C0BAC93">
        <w:rPr>
          <w:rFonts w:ascii="Calibri" w:eastAsia="Calibri" w:hAnsi="Calibri" w:cs="Calibri"/>
        </w:rPr>
        <w:lastRenderedPageBreak/>
        <w:t xml:space="preserve"> </w:t>
      </w:r>
    </w:p>
    <w:p w14:paraId="5A553354" w14:textId="2623B24A" w:rsidR="0065131D" w:rsidRDefault="41028EAA" w:rsidP="3C0BAC93">
      <w:pPr>
        <w:pStyle w:val="Heading1"/>
        <w:numPr>
          <w:ilvl w:val="0"/>
          <w:numId w:val="27"/>
        </w:numPr>
        <w:spacing w:before="0" w:after="0" w:line="360" w:lineRule="auto"/>
        <w:ind w:left="360" w:right="247"/>
        <w:rPr>
          <w:rFonts w:ascii="Calibri" w:eastAsia="Calibri" w:hAnsi="Calibri" w:cs="Calibri"/>
          <w:b/>
          <w:bCs/>
          <w:sz w:val="28"/>
          <w:szCs w:val="28"/>
        </w:rPr>
      </w:pPr>
      <w:r w:rsidRPr="3C0BAC93">
        <w:rPr>
          <w:rFonts w:ascii="Calibri" w:eastAsia="Calibri" w:hAnsi="Calibri" w:cs="Calibri"/>
          <w:b/>
          <w:bCs/>
          <w:sz w:val="28"/>
          <w:szCs w:val="28"/>
        </w:rPr>
        <w:t>Appendices</w:t>
      </w:r>
    </w:p>
    <w:p w14:paraId="1FAE8450" w14:textId="6C568610" w:rsidR="0065131D" w:rsidRDefault="41028EAA" w:rsidP="3C0BAC93">
      <w:pPr>
        <w:spacing w:after="0"/>
        <w:ind w:left="284" w:right="247"/>
      </w:pPr>
      <w:r w:rsidRPr="3C0BAC93">
        <w:rPr>
          <w:rFonts w:ascii="Calibri" w:eastAsia="Calibri" w:hAnsi="Calibri" w:cs="Calibri"/>
          <w:b/>
          <w:bCs/>
        </w:rPr>
        <w:t>Indicative Examples of Insufficient STR and SAR Narratives</w:t>
      </w:r>
    </w:p>
    <w:p w14:paraId="6549981A" w14:textId="2A913277" w:rsidR="0065131D" w:rsidRDefault="41028EAA" w:rsidP="3C0BAC93">
      <w:pPr>
        <w:spacing w:after="0"/>
        <w:ind w:left="284" w:right="247"/>
      </w:pPr>
      <w:r w:rsidRPr="3C0BAC93">
        <w:rPr>
          <w:rFonts w:ascii="Calibri" w:eastAsia="Calibri" w:hAnsi="Calibri" w:cs="Calibri"/>
        </w:rPr>
        <w:t>Example 1:</w:t>
      </w:r>
    </w:p>
    <w:p w14:paraId="08B18A62" w14:textId="33ACBB0E" w:rsidR="0065131D" w:rsidRDefault="41028EAA" w:rsidP="3C0BAC93">
      <w:pPr>
        <w:spacing w:after="0"/>
        <w:ind w:left="284" w:right="247"/>
      </w:pPr>
      <w:r w:rsidRPr="3C0BAC93">
        <w:rPr>
          <w:rFonts w:ascii="Calibri" w:eastAsia="Calibri" w:hAnsi="Calibri" w:cs="Calibri"/>
        </w:rPr>
        <w:t>•Reason for reporting: Statements show large payments to luxury car companies. High amounts of funds transfers continue over several months.</w:t>
      </w:r>
    </w:p>
    <w:p w14:paraId="067F75FB" w14:textId="3EF7BCCB" w:rsidR="0065131D" w:rsidRDefault="41028EAA" w:rsidP="3C0BAC93">
      <w:pPr>
        <w:spacing w:after="0"/>
        <w:ind w:left="284" w:right="247"/>
      </w:pPr>
      <w:r w:rsidRPr="3C0BAC93">
        <w:rPr>
          <w:rFonts w:ascii="Calibri" w:eastAsia="Calibri" w:hAnsi="Calibri" w:cs="Calibri"/>
        </w:rPr>
        <w:t>Comments: The narrative lacks identifying information on the STR subject (name, occupation, address, account number, etc.), and no explanation is given as to why the  UAE considers this activity suspicious. The narrative lacks specific transaction data that identifies the dates and amounts of the large payments and specific details on the destination of the funds (the name, location, bank, and account number of the beneficiary car companies, if identifiable).</w:t>
      </w:r>
    </w:p>
    <w:p w14:paraId="29F142F0" w14:textId="468600E5" w:rsidR="0065131D" w:rsidRDefault="41028EAA" w:rsidP="3C0BAC93">
      <w:pPr>
        <w:spacing w:after="0"/>
        <w:ind w:left="284" w:right="247"/>
      </w:pPr>
      <w:r w:rsidRPr="3C0BAC93">
        <w:rPr>
          <w:rFonts w:ascii="Calibri" w:eastAsia="Calibri" w:hAnsi="Calibri" w:cs="Calibri"/>
        </w:rPr>
        <w:t>Example 2:</w:t>
      </w:r>
    </w:p>
    <w:p w14:paraId="18C19B29" w14:textId="29280422" w:rsidR="0065131D" w:rsidRDefault="41028EAA" w:rsidP="3C0BAC93">
      <w:pPr>
        <w:spacing w:after="0"/>
        <w:ind w:left="284" w:right="247"/>
      </w:pPr>
      <w:r w:rsidRPr="3C0BAC93">
        <w:rPr>
          <w:rFonts w:ascii="Calibri" w:eastAsia="Calibri" w:hAnsi="Calibri" w:cs="Calibri"/>
        </w:rPr>
        <w:t>•Money orders were purchased on 03-28-21 to ABC Corporation in the amount of AED30,000.</w:t>
      </w:r>
    </w:p>
    <w:p w14:paraId="3181BCD0" w14:textId="1E5A852F" w:rsidR="0065131D" w:rsidRDefault="41028EAA" w:rsidP="3C0BAC93">
      <w:pPr>
        <w:spacing w:after="0"/>
        <w:ind w:left="284" w:right="247"/>
      </w:pPr>
      <w:r w:rsidRPr="3C0BAC93">
        <w:rPr>
          <w:rFonts w:ascii="Calibri" w:eastAsia="Calibri" w:hAnsi="Calibri" w:cs="Calibri"/>
        </w:rPr>
        <w:t>Comments: No explanation is given as to why the MVTS considers this activity suspicious. The  UAE does not indicate if money orders were purchased with cash. The  UAE does not provide any information about the purchaser or nature of the business (ABC Corporation) and if this activity was normal or unusual for the purchaser or the business.</w:t>
      </w:r>
    </w:p>
    <w:p w14:paraId="54E2508E" w14:textId="6DC102C0" w:rsidR="0065131D" w:rsidRDefault="41028EAA" w:rsidP="3C0BAC93">
      <w:pPr>
        <w:spacing w:after="0"/>
        <w:ind w:left="284" w:right="247"/>
      </w:pPr>
      <w:r w:rsidRPr="3C0BAC93">
        <w:rPr>
          <w:rFonts w:ascii="Calibri" w:eastAsia="Calibri" w:hAnsi="Calibri" w:cs="Calibri"/>
        </w:rPr>
        <w:t xml:space="preserve"> </w:t>
      </w:r>
    </w:p>
    <w:p w14:paraId="619D9E4B" w14:textId="5028EABE" w:rsidR="0065131D" w:rsidRDefault="41028EAA" w:rsidP="3C0BAC93">
      <w:pPr>
        <w:spacing w:after="0"/>
        <w:ind w:left="284" w:right="247"/>
      </w:pPr>
      <w:r w:rsidRPr="3C0BAC93">
        <w:rPr>
          <w:rFonts w:ascii="Calibri" w:eastAsia="Calibri" w:hAnsi="Calibri" w:cs="Calibri"/>
        </w:rPr>
        <w:t>Example 3:</w:t>
      </w:r>
    </w:p>
    <w:p w14:paraId="1713DD07" w14:textId="442ABF4A" w:rsidR="0065131D" w:rsidRDefault="41028EAA" w:rsidP="3C0BAC93">
      <w:pPr>
        <w:spacing w:after="0"/>
        <w:ind w:left="284" w:right="247"/>
      </w:pPr>
      <w:r w:rsidRPr="3C0BAC93">
        <w:rPr>
          <w:rFonts w:ascii="Calibri" w:eastAsia="Calibri" w:hAnsi="Calibri" w:cs="Calibri"/>
        </w:rPr>
        <w:t>•Mr. X was the originator of 12 wires totaling AED400,000. All of the wires were remitted to a Hong Kong based company. During the same period of time, Mr. X deposited cash into his account.</w:t>
      </w:r>
    </w:p>
    <w:p w14:paraId="782E68B7" w14:textId="6796F0DF" w:rsidR="0065131D" w:rsidRDefault="41028EAA" w:rsidP="3C0BAC93">
      <w:pPr>
        <w:spacing w:after="0"/>
        <w:ind w:left="284" w:right="247"/>
      </w:pPr>
      <w:r w:rsidRPr="3C0BAC93">
        <w:rPr>
          <w:rFonts w:ascii="Calibri" w:eastAsia="Calibri" w:hAnsi="Calibri" w:cs="Calibri"/>
        </w:rPr>
        <w:t>Comments: The narrative lacks specific details on the destination of the funds (the name of the Hong Kong based company, bank, and account number of the beneficiary, if identifiable). The depository  UAE fails to include any information concerning the relationship, if any, between the  UAE and the customer. Also, no specific transaction data is provided that identifies the dates and amounts of each wire transfer and the cash deposit.</w:t>
      </w:r>
    </w:p>
    <w:p w14:paraId="59AA4B35" w14:textId="7A8CDD7E" w:rsidR="0065131D" w:rsidRDefault="41028EAA" w:rsidP="3C0BAC93">
      <w:pPr>
        <w:spacing w:after="0"/>
        <w:ind w:left="284" w:right="247"/>
      </w:pPr>
      <w:r w:rsidRPr="3C0BAC93">
        <w:rPr>
          <w:rFonts w:ascii="Calibri" w:eastAsia="Calibri" w:hAnsi="Calibri" w:cs="Calibri"/>
        </w:rPr>
        <w:t xml:space="preserve"> </w:t>
      </w:r>
    </w:p>
    <w:p w14:paraId="4138497E" w14:textId="5CF95893" w:rsidR="0065131D" w:rsidRDefault="41028EAA" w:rsidP="3C0BAC93">
      <w:pPr>
        <w:spacing w:after="0"/>
        <w:ind w:left="284" w:right="247"/>
      </w:pPr>
      <w:r w:rsidRPr="3C0BAC93">
        <w:rPr>
          <w:rFonts w:ascii="Calibri" w:eastAsia="Calibri" w:hAnsi="Calibri" w:cs="Calibri"/>
        </w:rPr>
        <w:t>Example 4:</w:t>
      </w:r>
    </w:p>
    <w:p w14:paraId="25172F8D" w14:textId="1E2C87E5" w:rsidR="0065131D" w:rsidRDefault="41028EAA" w:rsidP="3C0BAC93">
      <w:pPr>
        <w:spacing w:after="0"/>
        <w:ind w:left="284" w:right="247"/>
      </w:pPr>
      <w:r w:rsidRPr="3C0BAC93">
        <w:rPr>
          <w:rFonts w:ascii="Calibri" w:eastAsia="Calibri" w:hAnsi="Calibri" w:cs="Calibri"/>
        </w:rPr>
        <w:t>•The reason for the suspicion is due to multiple third-party transfers being paid into Mr. Y account that were soon followed by multiple cash withdrawals. Funds sent from the account to multiple third parties.</w:t>
      </w:r>
    </w:p>
    <w:p w14:paraId="5ED85063" w14:textId="1A8F059B" w:rsidR="0065131D" w:rsidRDefault="41028EAA" w:rsidP="3C0BAC93">
      <w:pPr>
        <w:spacing w:after="0"/>
        <w:ind w:left="284" w:right="247"/>
      </w:pPr>
      <w:r w:rsidRPr="3C0BAC93">
        <w:rPr>
          <w:rFonts w:ascii="Calibri" w:eastAsia="Calibri" w:hAnsi="Calibri" w:cs="Calibri"/>
        </w:rPr>
        <w:t xml:space="preserve">Comments: The narrative lacks specific details on the source of the funds (the individual/entity sending the multiple third-party transfers). The STR does not provide a </w:t>
      </w:r>
      <w:r w:rsidRPr="3C0BAC93">
        <w:rPr>
          <w:rFonts w:ascii="Calibri" w:eastAsia="Calibri" w:hAnsi="Calibri" w:cs="Calibri"/>
        </w:rPr>
        <w:lastRenderedPageBreak/>
        <w:t>timeframe of when the transfers were made, the number and value of the third-party transfers, the number and value of the cash withdrawals, and the timeframe (how soon) the cash withdrawals were made following the third-party transfers. The depository  UAE fails to include any information concerning the relationship, if any, between the individual/entity sending the multiple third-party transfers and the customer.</w:t>
      </w:r>
    </w:p>
    <w:p w14:paraId="16CDEB89" w14:textId="52208038" w:rsidR="0065131D" w:rsidRDefault="41028EAA" w:rsidP="3C0BAC93">
      <w:pPr>
        <w:spacing w:after="0"/>
        <w:ind w:left="284" w:right="247"/>
      </w:pPr>
      <w:r w:rsidRPr="3C0BAC93">
        <w:rPr>
          <w:rFonts w:ascii="Calibri" w:eastAsia="Calibri" w:hAnsi="Calibri" w:cs="Calibri"/>
        </w:rPr>
        <w:t xml:space="preserve"> </w:t>
      </w:r>
    </w:p>
    <w:p w14:paraId="0B296D60" w14:textId="17BF74C4" w:rsidR="0065131D" w:rsidRDefault="41028EAA" w:rsidP="3C0BAC93">
      <w:pPr>
        <w:spacing w:after="0"/>
        <w:ind w:left="284" w:right="247"/>
      </w:pPr>
      <w:r w:rsidRPr="3C0BAC93">
        <w:rPr>
          <w:rFonts w:ascii="Calibri" w:eastAsia="Calibri" w:hAnsi="Calibri" w:cs="Calibri"/>
        </w:rPr>
        <w:t>Example 5:</w:t>
      </w:r>
    </w:p>
    <w:p w14:paraId="51190CA9" w14:textId="68AAAB30" w:rsidR="0065131D" w:rsidRDefault="41028EAA" w:rsidP="3C0BAC93">
      <w:pPr>
        <w:spacing w:after="0"/>
        <w:ind w:left="284" w:right="247"/>
      </w:pPr>
      <w:r w:rsidRPr="3C0BAC93">
        <w:rPr>
          <w:rFonts w:ascii="Calibri" w:eastAsia="Calibri" w:hAnsi="Calibri" w:cs="Calibri"/>
        </w:rPr>
        <w:t>•Information has come to our attention that the Mrs. Y has been convicted of a drug trafficking offense.</w:t>
      </w:r>
    </w:p>
    <w:p w14:paraId="53AE94F8" w14:textId="11D69B8B" w:rsidR="0065131D" w:rsidRDefault="41028EAA" w:rsidP="3C0BAC93">
      <w:pPr>
        <w:spacing w:after="0"/>
        <w:ind w:left="284" w:right="247"/>
      </w:pPr>
      <w:r w:rsidRPr="3C0BAC93">
        <w:rPr>
          <w:rFonts w:ascii="Calibri" w:eastAsia="Calibri" w:hAnsi="Calibri" w:cs="Calibri"/>
        </w:rPr>
        <w:t>Comments: The narrative fails to describe the depository  UAE relationship with the subject and include additional identifying details about the subject (name, occupation, address, account number, etc.). The narrative does not describe any suspicious activity aside from the conviction and fails to state if the suspicion is related to money laundering or if there are possible links to the financing of terrorism and illegal organizations.</w:t>
      </w:r>
    </w:p>
    <w:p w14:paraId="789AE149" w14:textId="1A7BAE74" w:rsidR="0065131D" w:rsidRDefault="41028EAA" w:rsidP="3C0BAC93">
      <w:pPr>
        <w:spacing w:after="0"/>
        <w:ind w:left="284" w:right="247"/>
      </w:pPr>
      <w:r w:rsidRPr="3C0BAC93">
        <w:rPr>
          <w:rFonts w:ascii="Calibri" w:eastAsia="Calibri" w:hAnsi="Calibri" w:cs="Calibri"/>
        </w:rPr>
        <w:t xml:space="preserve"> </w:t>
      </w:r>
    </w:p>
    <w:p w14:paraId="78054E20" w14:textId="338D9DC3" w:rsidR="0065131D" w:rsidRDefault="41028EAA" w:rsidP="3C0BAC93">
      <w:pPr>
        <w:spacing w:after="0"/>
        <w:ind w:left="284" w:right="247"/>
      </w:pPr>
      <w:r w:rsidRPr="3C0BAC93">
        <w:rPr>
          <w:rFonts w:ascii="Calibri" w:eastAsia="Calibri" w:hAnsi="Calibri" w:cs="Calibri"/>
        </w:rPr>
        <w:t>Example 6:</w:t>
      </w:r>
    </w:p>
    <w:p w14:paraId="45F92B15" w14:textId="36937EFA" w:rsidR="0065131D" w:rsidRDefault="41028EAA" w:rsidP="3C0BAC93">
      <w:pPr>
        <w:spacing w:after="0"/>
        <w:ind w:left="284" w:right="247"/>
      </w:pPr>
      <w:r w:rsidRPr="3C0BAC93">
        <w:rPr>
          <w:rFonts w:ascii="Calibri" w:eastAsia="Calibri" w:hAnsi="Calibri" w:cs="Calibri"/>
        </w:rPr>
        <w:t>•Mrs. Y came into the bank and asked questions during the account opening process that were suspicious.</w:t>
      </w:r>
    </w:p>
    <w:p w14:paraId="4EB498DF" w14:textId="18967DF7" w:rsidR="0065131D" w:rsidRDefault="41028EAA" w:rsidP="3C0BAC93">
      <w:pPr>
        <w:spacing w:after="0"/>
        <w:ind w:left="284" w:right="247"/>
      </w:pPr>
      <w:r w:rsidRPr="3C0BAC93">
        <w:rPr>
          <w:rFonts w:ascii="Calibri" w:eastAsia="Calibri" w:hAnsi="Calibri" w:cs="Calibri"/>
        </w:rPr>
        <w:t>Comments: The narrative does not describe the suspicious activity in detail as a basis for filing the SAR (e.g., the customer refusing to answer account opening questions; providing falsified or counterfeit documentation; exhibiting reluctance to provide detailed information about the customer’s business). The narrative template also fails to describe information that  UAE was able to gather on the prospective customer during account opening (occupation, address, etc.).</w:t>
      </w:r>
    </w:p>
    <w:p w14:paraId="55BA07B3" w14:textId="55D0BC56" w:rsidR="0065131D" w:rsidRDefault="41028EAA" w:rsidP="3C0BAC93">
      <w:pPr>
        <w:spacing w:after="0"/>
        <w:ind w:left="284" w:right="247"/>
      </w:pPr>
      <w:r w:rsidRPr="3C0BAC93">
        <w:rPr>
          <w:rFonts w:ascii="Calibri" w:eastAsia="Calibri" w:hAnsi="Calibri" w:cs="Calibri"/>
        </w:rPr>
        <w:t xml:space="preserve"> </w:t>
      </w:r>
    </w:p>
    <w:p w14:paraId="42529AEF" w14:textId="313F7F95" w:rsidR="0065131D" w:rsidRDefault="41028EAA" w:rsidP="3C0BAC93">
      <w:pPr>
        <w:spacing w:after="0"/>
        <w:ind w:left="284" w:right="247"/>
      </w:pPr>
      <w:r w:rsidRPr="3C0BAC93">
        <w:rPr>
          <w:rFonts w:ascii="Calibri" w:eastAsia="Calibri" w:hAnsi="Calibri" w:cs="Calibri"/>
        </w:rPr>
        <w:t>Example 7:</w:t>
      </w:r>
    </w:p>
    <w:p w14:paraId="0EAFAC77" w14:textId="660D1642" w:rsidR="0065131D" w:rsidRDefault="41028EAA" w:rsidP="3C0BAC93">
      <w:pPr>
        <w:spacing w:after="0"/>
        <w:ind w:left="284" w:right="247"/>
      </w:pPr>
      <w:r w:rsidRPr="3C0BAC93">
        <w:rPr>
          <w:rFonts w:ascii="Calibri" w:eastAsia="Calibri" w:hAnsi="Calibri" w:cs="Calibri"/>
        </w:rPr>
        <w:t>•Mr. LMN was the subject of adverse media involving his association with a terrorist group.</w:t>
      </w:r>
    </w:p>
    <w:p w14:paraId="43F4028E" w14:textId="446CB497" w:rsidR="0065131D" w:rsidRDefault="41028EAA" w:rsidP="3C0BAC93">
      <w:pPr>
        <w:spacing w:after="0"/>
        <w:ind w:left="284" w:right="247"/>
      </w:pPr>
      <w:r w:rsidRPr="3C0BAC93">
        <w:rPr>
          <w:rFonts w:ascii="Calibri" w:eastAsia="Calibri" w:hAnsi="Calibri" w:cs="Calibri"/>
        </w:rPr>
        <w:t>Comments: The narrative fails to describe the depository  UAE relationship with the subject and include additional identifying details about the subject (name, occupation, address, account number, etc.). The narrative template also does not identify the terrorist group, describe the customer’s relationship with the terrorist group, the timeframe for the customer’s involvement with the terrorist group, and how the  became aware of this association, such as a hyperlink to the adverse media report.</w:t>
      </w:r>
    </w:p>
    <w:p w14:paraId="47409CEC" w14:textId="1A3AEF74" w:rsidR="0065131D" w:rsidRDefault="41028EAA" w:rsidP="3C0BAC93">
      <w:pPr>
        <w:spacing w:after="0"/>
        <w:ind w:left="284" w:right="247"/>
      </w:pPr>
      <w:r w:rsidRPr="3C0BAC93">
        <w:rPr>
          <w:rFonts w:ascii="Calibri" w:eastAsia="Calibri" w:hAnsi="Calibri" w:cs="Calibri"/>
        </w:rPr>
        <w:t xml:space="preserve"> </w:t>
      </w:r>
    </w:p>
    <w:p w14:paraId="2896117B" w14:textId="2A183BE9" w:rsidR="0065131D" w:rsidRDefault="41028EAA" w:rsidP="3C0BAC93">
      <w:pPr>
        <w:spacing w:after="0"/>
        <w:ind w:left="284" w:right="247"/>
      </w:pPr>
      <w:r w:rsidRPr="3C0BAC93">
        <w:rPr>
          <w:rFonts w:ascii="Calibri" w:eastAsia="Calibri" w:hAnsi="Calibri" w:cs="Calibri"/>
        </w:rPr>
        <w:t>Example 8:</w:t>
      </w:r>
    </w:p>
    <w:p w14:paraId="4E239208" w14:textId="2C5F4460" w:rsidR="0065131D" w:rsidRDefault="41028EAA" w:rsidP="3C0BAC93">
      <w:pPr>
        <w:spacing w:after="0"/>
        <w:ind w:left="284" w:right="247"/>
      </w:pPr>
      <w:r w:rsidRPr="3C0BAC93">
        <w:rPr>
          <w:rFonts w:ascii="Calibri" w:eastAsia="Calibri" w:hAnsi="Calibri" w:cs="Calibri"/>
        </w:rPr>
        <w:lastRenderedPageBreak/>
        <w:t>•Mrs. ABC purchased an insurance product using unusual payment methods. Mrs. ABC is a teacher at Happy Day Elementary School in Dubai and resides at 11111 Street Name, Dubai, UAE. Mrs. ABC also has two motor vehicles insured with the  UAE since April 2019.</w:t>
      </w:r>
    </w:p>
    <w:p w14:paraId="13D68E5C" w14:textId="0628E896" w:rsidR="0065131D" w:rsidRDefault="41028EAA" w:rsidP="3C0BAC93">
      <w:pPr>
        <w:spacing w:after="0"/>
        <w:ind w:left="284" w:right="247"/>
      </w:pPr>
      <w:r w:rsidRPr="3C0BAC93">
        <w:rPr>
          <w:rFonts w:ascii="Calibri" w:eastAsia="Calibri" w:hAnsi="Calibri" w:cs="Calibri"/>
        </w:rPr>
        <w:t>Comments: The narrative fails to describe the type of insurance product purchased, on what date, with what payment method, and why the institution considers this payment method unusual. The institution also does not indicate the customer’s stated purpose for purchasing the insurance product and if this is line with what the  UAE knows about the customer.</w:t>
      </w:r>
    </w:p>
    <w:p w14:paraId="4549B0C1" w14:textId="31C5C65A" w:rsidR="0065131D" w:rsidRDefault="41028EAA" w:rsidP="3C0BAC93">
      <w:pPr>
        <w:spacing w:after="0"/>
        <w:ind w:left="284" w:right="247"/>
      </w:pPr>
      <w:r w:rsidRPr="3C0BAC93">
        <w:rPr>
          <w:rFonts w:ascii="Calibri" w:eastAsia="Calibri" w:hAnsi="Calibri" w:cs="Calibri"/>
        </w:rPr>
        <w:t xml:space="preserve"> </w:t>
      </w:r>
    </w:p>
    <w:p w14:paraId="05E76186" w14:textId="4A6756D3" w:rsidR="0065131D" w:rsidRDefault="41028EAA" w:rsidP="3C0BAC93">
      <w:pPr>
        <w:spacing w:after="0"/>
        <w:ind w:left="284" w:right="247"/>
      </w:pPr>
      <w:r w:rsidRPr="3C0BAC93">
        <w:rPr>
          <w:rFonts w:ascii="Calibri" w:eastAsia="Calibri" w:hAnsi="Calibri" w:cs="Calibri"/>
        </w:rPr>
        <w:t>Example 9:</w:t>
      </w:r>
    </w:p>
    <w:p w14:paraId="5A116C30" w14:textId="4ED8FCFA" w:rsidR="0065131D" w:rsidRDefault="41028EAA" w:rsidP="3C0BAC93">
      <w:pPr>
        <w:spacing w:after="0"/>
        <w:ind w:left="284" w:right="247"/>
      </w:pPr>
      <w:r w:rsidRPr="3C0BAC93">
        <w:rPr>
          <w:rFonts w:ascii="Calibri" w:eastAsia="Calibri" w:hAnsi="Calibri" w:cs="Calibri"/>
        </w:rPr>
        <w:t>•Mr. XYZ requests to increase payments on his life insurance policy during the period from 02-01- 21 to 05-01-21, and the payments appear to be excessive, given Mr. XYZ’s prior history.</w:t>
      </w:r>
    </w:p>
    <w:p w14:paraId="0FA998D1" w14:textId="243F7F05" w:rsidR="0065131D" w:rsidRDefault="41028EAA" w:rsidP="3C0BAC93">
      <w:pPr>
        <w:spacing w:after="0"/>
        <w:ind w:left="284" w:right="247"/>
      </w:pPr>
      <w:r w:rsidRPr="3C0BAC93">
        <w:rPr>
          <w:rFonts w:ascii="Calibri" w:eastAsia="Calibri" w:hAnsi="Calibri" w:cs="Calibri"/>
        </w:rPr>
        <w:t>Comments: The narrative fails to include additional identifying details about the subject (name, occupation, address, etc.). The narrative lacks specific transaction data that identifies the dates, amounts, and method of payment on the life insurance policy. The narrative also does not describe why the institution considers these payments to be excessive based on the customer’s prior history of payments. The narrative does not indicate how long the subject has been in possession of the life insurance policy.</w:t>
      </w:r>
    </w:p>
    <w:p w14:paraId="29EA4EEA" w14:textId="3A3D5D26" w:rsidR="0065131D" w:rsidRDefault="41028EAA" w:rsidP="3C0BAC93">
      <w:pPr>
        <w:spacing w:after="0"/>
        <w:ind w:left="284" w:right="247"/>
      </w:pPr>
      <w:r w:rsidRPr="3C0BAC93">
        <w:rPr>
          <w:rFonts w:ascii="Calibri" w:eastAsia="Calibri" w:hAnsi="Calibri" w:cs="Calibri"/>
        </w:rPr>
        <w:t xml:space="preserve"> </w:t>
      </w:r>
    </w:p>
    <w:p w14:paraId="5E001FE4" w14:textId="04A0A316" w:rsidR="0065131D" w:rsidRDefault="41028EAA" w:rsidP="3C0BAC93">
      <w:pPr>
        <w:spacing w:after="0"/>
        <w:ind w:left="284" w:right="247"/>
      </w:pPr>
      <w:r w:rsidRPr="3C0BAC93">
        <w:rPr>
          <w:rFonts w:ascii="Calibri" w:eastAsia="Calibri" w:hAnsi="Calibri" w:cs="Calibri"/>
          <w:b/>
          <w:bCs/>
        </w:rPr>
        <w:t>Red Flag Indicators in the Context of the UAE</w:t>
      </w:r>
      <w:r w:rsidR="005E0C3C">
        <w:br/>
      </w:r>
      <w:r w:rsidRPr="3C0BAC93">
        <w:rPr>
          <w:rFonts w:ascii="Calibri" w:eastAsia="Calibri" w:hAnsi="Calibri" w:cs="Calibri"/>
          <w:b/>
          <w:bCs/>
        </w:rPr>
        <w:t xml:space="preserve"> </w:t>
      </w:r>
      <w:r w:rsidRPr="3C0BAC93">
        <w:rPr>
          <w:rFonts w:ascii="Calibri" w:eastAsia="Calibri" w:hAnsi="Calibri" w:cs="Calibri"/>
        </w:rPr>
        <w:t>General indicators</w:t>
      </w:r>
    </w:p>
    <w:p w14:paraId="256E2539" w14:textId="46153143" w:rsidR="0065131D" w:rsidRDefault="41028EAA" w:rsidP="3C0BAC93">
      <w:pPr>
        <w:spacing w:after="0"/>
        <w:ind w:left="284" w:right="247"/>
      </w:pPr>
      <w:r w:rsidRPr="3C0BAC93">
        <w:rPr>
          <w:rFonts w:ascii="Calibri" w:eastAsia="Calibri" w:hAnsi="Calibri" w:cs="Calibri"/>
        </w:rPr>
        <w:t>According to the FIU, the following indicators are present in many of the typologies used in money laundering and the financing of terrorism and illegal organizations.</w:t>
      </w:r>
    </w:p>
    <w:p w14:paraId="5B1AF3C5" w14:textId="0FFFB9A2"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Transactions involving locations with poor AML/CFT regimes or high exposure to corruption.</w:t>
      </w:r>
    </w:p>
    <w:p w14:paraId="253EDB47" w14:textId="445CD834"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transactions in contrast to known or expected business activity.</w:t>
      </w:r>
    </w:p>
    <w:p w14:paraId="4C145B82" w14:textId="5093A940"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transactions in contrast to known employment status.</w:t>
      </w:r>
    </w:p>
    <w:p w14:paraId="4496DA16" w14:textId="1D9D5476"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Ambiguous or inconsistent explanations as to the source and/or purpose of funds.</w:t>
      </w:r>
    </w:p>
    <w:p w14:paraId="7B51B054" w14:textId="53E2AFD0"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Where relevant, nervous or uncooperative behavior exhibited by the  UAE employees and/or customers.</w:t>
      </w:r>
    </w:p>
    <w:p w14:paraId="1171825B" w14:textId="0413C366" w:rsidR="0065131D" w:rsidRDefault="41028EAA" w:rsidP="3C0BAC93">
      <w:pPr>
        <w:spacing w:after="0"/>
        <w:ind w:left="284" w:right="247"/>
      </w:pPr>
      <w:r w:rsidRPr="3C0BAC93">
        <w:rPr>
          <w:rFonts w:ascii="Calibri" w:eastAsia="Calibri" w:hAnsi="Calibri" w:cs="Calibri"/>
        </w:rPr>
        <w:t xml:space="preserve"> </w:t>
      </w:r>
    </w:p>
    <w:p w14:paraId="734C6665" w14:textId="0E382820" w:rsidR="0065131D" w:rsidRDefault="41028EAA" w:rsidP="3C0BAC93">
      <w:pPr>
        <w:spacing w:after="0"/>
        <w:ind w:left="284" w:right="247"/>
      </w:pPr>
      <w:r w:rsidRPr="3C0BAC93">
        <w:rPr>
          <w:rFonts w:ascii="Calibri" w:eastAsia="Calibri" w:hAnsi="Calibri" w:cs="Calibri"/>
          <w:b/>
          <w:bCs/>
        </w:rPr>
        <w:t>Purchase of valuable commodities</w:t>
      </w:r>
    </w:p>
    <w:p w14:paraId="3A80A886" w14:textId="593EB23E" w:rsidR="0065131D" w:rsidRDefault="41028EAA" w:rsidP="3C0BAC93">
      <w:pPr>
        <w:spacing w:after="0"/>
        <w:ind w:left="284" w:right="247"/>
      </w:pPr>
      <w:r w:rsidRPr="3C0BAC93">
        <w:rPr>
          <w:rFonts w:ascii="Calibri" w:eastAsia="Calibri" w:hAnsi="Calibri" w:cs="Calibri"/>
        </w:rPr>
        <w:t>How it works: Laundering proceeds of crime by purchasing valuable commodities, for example, precious metals or gems.</w:t>
      </w:r>
    </w:p>
    <w:p w14:paraId="011A60F1" w14:textId="3237A123" w:rsidR="0065131D" w:rsidRDefault="41028EAA" w:rsidP="3C0BAC93">
      <w:pPr>
        <w:spacing w:after="0"/>
        <w:ind w:left="284" w:right="247"/>
      </w:pPr>
      <w:r w:rsidRPr="3C0BAC93">
        <w:rPr>
          <w:rFonts w:ascii="Calibri" w:eastAsia="Calibri" w:hAnsi="Calibri" w:cs="Calibri"/>
        </w:rPr>
        <w:t>Possible indicators</w:t>
      </w:r>
    </w:p>
    <w:p w14:paraId="5C21A63F" w14:textId="7C5766BB" w:rsidR="0065131D" w:rsidRDefault="41028EAA" w:rsidP="3C0BAC93">
      <w:pPr>
        <w:spacing w:after="0"/>
        <w:ind w:left="284" w:right="247"/>
      </w:pPr>
      <w:r w:rsidRPr="3C0BAC93">
        <w:rPr>
          <w:rFonts w:ascii="Calibri" w:eastAsia="Calibri" w:hAnsi="Calibri" w:cs="Calibri"/>
        </w:rPr>
        <w:t>Significant and/or frequent cash purchases of valuable commodities.</w:t>
      </w:r>
    </w:p>
    <w:p w14:paraId="70CD9F00" w14:textId="0B3DF40C" w:rsidR="0065131D" w:rsidRDefault="41028EAA" w:rsidP="3C0BAC93">
      <w:pPr>
        <w:spacing w:after="0"/>
        <w:ind w:left="284" w:right="247"/>
      </w:pPr>
      <w:r w:rsidRPr="3C0BAC93">
        <w:rPr>
          <w:rFonts w:ascii="Calibri" w:eastAsia="Calibri" w:hAnsi="Calibri" w:cs="Calibri"/>
        </w:rPr>
        <w:lastRenderedPageBreak/>
        <w:t>Regularly buying and selling of valuable commodities that is not supported with a business purpose and/or does not make economic sense.</w:t>
      </w:r>
    </w:p>
    <w:p w14:paraId="7DF71B74" w14:textId="0DA70949" w:rsidR="0065131D" w:rsidRDefault="41028EAA" w:rsidP="3C0BAC93">
      <w:pPr>
        <w:spacing w:after="0"/>
        <w:ind w:left="284" w:right="247"/>
      </w:pPr>
      <w:r w:rsidRPr="3C0BAC93">
        <w:rPr>
          <w:rFonts w:ascii="Calibri" w:eastAsia="Calibri" w:hAnsi="Calibri" w:cs="Calibri"/>
        </w:rPr>
        <w:t xml:space="preserve"> </w:t>
      </w:r>
    </w:p>
    <w:p w14:paraId="6E03E30A" w14:textId="41440A8E" w:rsidR="0065131D" w:rsidRDefault="41028EAA" w:rsidP="3C0BAC93">
      <w:pPr>
        <w:spacing w:after="0"/>
        <w:ind w:left="284" w:right="247"/>
      </w:pPr>
      <w:r w:rsidRPr="3C0BAC93">
        <w:rPr>
          <w:rFonts w:ascii="Calibri" w:eastAsia="Calibri" w:hAnsi="Calibri" w:cs="Calibri"/>
          <w:b/>
          <w:bCs/>
        </w:rPr>
        <w:t xml:space="preserve"> </w:t>
      </w:r>
    </w:p>
    <w:p w14:paraId="75F58A82" w14:textId="3BFF79AF" w:rsidR="0065131D" w:rsidRDefault="41028EAA" w:rsidP="3C0BAC93">
      <w:pPr>
        <w:spacing w:after="0"/>
        <w:ind w:left="284" w:right="247"/>
      </w:pPr>
      <w:r w:rsidRPr="3C0BAC93">
        <w:rPr>
          <w:rFonts w:ascii="Calibri" w:eastAsia="Calibri" w:hAnsi="Calibri" w:cs="Calibri"/>
          <w:b/>
          <w:bCs/>
        </w:rPr>
        <w:t xml:space="preserve"> </w:t>
      </w:r>
    </w:p>
    <w:p w14:paraId="7A807DB1" w14:textId="35CE8062" w:rsidR="0065131D" w:rsidRDefault="41028EAA" w:rsidP="3C0BAC93">
      <w:pPr>
        <w:spacing w:after="0"/>
        <w:ind w:left="284" w:right="247"/>
      </w:pPr>
      <w:r w:rsidRPr="3C0BAC93">
        <w:rPr>
          <w:rFonts w:ascii="Calibri" w:eastAsia="Calibri" w:hAnsi="Calibri" w:cs="Calibri"/>
          <w:b/>
          <w:bCs/>
        </w:rPr>
        <w:t>Purchase of valuable assets</w:t>
      </w:r>
    </w:p>
    <w:p w14:paraId="0447402B" w14:textId="506E790A" w:rsidR="0065131D" w:rsidRDefault="41028EAA" w:rsidP="3C0BAC93">
      <w:pPr>
        <w:spacing w:after="0"/>
        <w:ind w:left="284" w:right="247"/>
      </w:pPr>
      <w:r w:rsidRPr="3C0BAC93">
        <w:rPr>
          <w:rFonts w:ascii="Calibri" w:eastAsia="Calibri" w:hAnsi="Calibri" w:cs="Calibri"/>
        </w:rPr>
        <w:t>How it works: Laundering proceeds of crime by purchasing valuable assets, for example, property or vehicles.</w:t>
      </w:r>
    </w:p>
    <w:p w14:paraId="387ACBC6" w14:textId="635D60DD"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Possible indicators</w:t>
      </w:r>
    </w:p>
    <w:p w14:paraId="449BF6AC" w14:textId="60A0DD91"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Purchase/sale of real estate above/below market value irrespective of economic disadvantage.</w:t>
      </w:r>
    </w:p>
    <w:p w14:paraId="0032DBBF" w14:textId="0BFBA25A"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Cash purchases of valuable assets with cash and/or cash deposits for valuable assets.</w:t>
      </w:r>
    </w:p>
    <w:p w14:paraId="46359919" w14:textId="7AA5005D"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Low value property purchased with improvements paid for in cash before reselling.</w:t>
      </w:r>
    </w:p>
    <w:p w14:paraId="79718EDA" w14:textId="29B57BCA"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Rapid repayment of loans/mortgages with cash or funds from an unlikely source.</w:t>
      </w:r>
    </w:p>
    <w:p w14:paraId="581BE30D" w14:textId="7BBBB373" w:rsidR="0065131D" w:rsidRDefault="41028EAA" w:rsidP="3C0BAC93">
      <w:pPr>
        <w:spacing w:after="0"/>
        <w:ind w:left="284" w:right="247"/>
      </w:pPr>
      <w:r w:rsidRPr="3C0BAC93">
        <w:rPr>
          <w:rFonts w:ascii="Calibri" w:eastAsia="Calibri" w:hAnsi="Calibri" w:cs="Calibri"/>
        </w:rPr>
        <w:t xml:space="preserve"> </w:t>
      </w:r>
    </w:p>
    <w:p w14:paraId="5D5B605C" w14:textId="0D8CBF22" w:rsidR="0065131D" w:rsidRDefault="41028EAA" w:rsidP="3C0BAC93">
      <w:pPr>
        <w:spacing w:after="0"/>
        <w:ind w:left="284" w:right="247"/>
      </w:pPr>
      <w:r w:rsidRPr="3C0BAC93">
        <w:rPr>
          <w:rFonts w:ascii="Calibri" w:eastAsia="Calibri" w:hAnsi="Calibri" w:cs="Calibri"/>
          <w:b/>
          <w:bCs/>
        </w:rPr>
        <w:t>Offshore companies</w:t>
      </w:r>
    </w:p>
    <w:p w14:paraId="226A40AE" w14:textId="5CC16640"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How it works: The process of registering companies in the UAE, especially in the free zones, with foreign directors and/or shareholders in order to open bank accounts to facilitate money laundering and/or the financing of terrorism and illegal organizations by unverified beneficiaries.</w:t>
      </w:r>
    </w:p>
    <w:p w14:paraId="14B1E13A" w14:textId="56661316"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Possible indicators</w:t>
      </w:r>
    </w:p>
    <w:p w14:paraId="720FA734" w14:textId="174EE635"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Large numbers of companies registered with the same office address.</w:t>
      </w:r>
    </w:p>
    <w:p w14:paraId="2CD687B3" w14:textId="2B8E75FD"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Address on file is for a ‘Virtual office’.</w:t>
      </w:r>
    </w:p>
    <w:p w14:paraId="5FF19FC4" w14:textId="790D5807"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Accounts/facilities are opened/operated by company formation agents.</w:t>
      </w:r>
    </w:p>
    <w:p w14:paraId="3A6D7FAA" w14:textId="3674907C"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Lack of information regarding overseas directors/beneficiaries.</w:t>
      </w:r>
    </w:p>
    <w:p w14:paraId="758F178A" w14:textId="37940E73"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Complex ownership structures.</w:t>
      </w:r>
    </w:p>
    <w:p w14:paraId="5F4020BF" w14:textId="778518CD"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Companies where there is no apparent business purpose.</w:t>
      </w:r>
    </w:p>
    <w:p w14:paraId="131CF53E" w14:textId="76E9ADE3" w:rsidR="0065131D" w:rsidRDefault="41028EAA" w:rsidP="3C0BAC93">
      <w:pPr>
        <w:spacing w:after="0"/>
        <w:ind w:left="284" w:right="247"/>
      </w:pPr>
      <w:r w:rsidRPr="3C0BAC93">
        <w:rPr>
          <w:rFonts w:ascii="Calibri" w:eastAsia="Calibri" w:hAnsi="Calibri" w:cs="Calibri"/>
        </w:rPr>
        <w:t>Additional indicators:</w:t>
      </w:r>
    </w:p>
    <w:p w14:paraId="16FF5E8D" w14:textId="44A587D8"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The same natural person is the director for a large number of single director companies.</w:t>
      </w:r>
    </w:p>
    <w:p w14:paraId="3A1E7AAD" w14:textId="2D186A96"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The same person (natural or corporate) is the shareholder of a large number of single- shareholder companies.</w:t>
      </w:r>
    </w:p>
    <w:p w14:paraId="66C538E7" w14:textId="79031F8E"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Use of a small number of local 'agents' who undertake transactions with the companies’ register.</w:t>
      </w:r>
    </w:p>
    <w:p w14:paraId="07EF24FA" w14:textId="5A1B1376" w:rsidR="0065131D" w:rsidRDefault="41028EAA" w:rsidP="3C0BAC93">
      <w:pPr>
        <w:spacing w:after="0"/>
        <w:ind w:left="284" w:right="247"/>
      </w:pPr>
      <w:r w:rsidRPr="3C0BAC93">
        <w:rPr>
          <w:rFonts w:ascii="Calibri" w:eastAsia="Calibri" w:hAnsi="Calibri" w:cs="Calibri"/>
        </w:rPr>
        <w:t xml:space="preserve"> </w:t>
      </w:r>
    </w:p>
    <w:p w14:paraId="6EC59ADE" w14:textId="743CEEF4" w:rsidR="0065131D" w:rsidRDefault="41028EAA" w:rsidP="3C0BAC93">
      <w:pPr>
        <w:spacing w:after="0"/>
        <w:ind w:left="284" w:right="247"/>
      </w:pPr>
      <w:r w:rsidRPr="3C0BAC93">
        <w:rPr>
          <w:rFonts w:ascii="Calibri" w:eastAsia="Calibri" w:hAnsi="Calibri" w:cs="Calibri"/>
          <w:b/>
          <w:bCs/>
        </w:rPr>
        <w:t>Nominees, trustees, family members or third parties</w:t>
      </w:r>
    </w:p>
    <w:p w14:paraId="710619F9" w14:textId="520218F5" w:rsidR="0065131D" w:rsidRDefault="41028EAA" w:rsidP="3C0BAC93">
      <w:pPr>
        <w:spacing w:after="0"/>
        <w:ind w:left="284" w:right="247"/>
      </w:pPr>
      <w:r w:rsidRPr="3C0BAC93">
        <w:rPr>
          <w:rFonts w:ascii="Calibri" w:eastAsia="Calibri" w:hAnsi="Calibri" w:cs="Calibri"/>
        </w:rPr>
        <w:t>How it works: Utilizing other people to carry out transactions in order to conceal the true identity of the individual ultimately controlling the proceeds of crime.</w:t>
      </w:r>
    </w:p>
    <w:p w14:paraId="78ECBF13" w14:textId="4BB54220" w:rsidR="0065131D" w:rsidRDefault="41028EAA" w:rsidP="3C0BAC93">
      <w:pPr>
        <w:spacing w:after="0"/>
        <w:ind w:left="284" w:right="247"/>
      </w:pPr>
      <w:r w:rsidRPr="3C0BAC93">
        <w:rPr>
          <w:rFonts w:ascii="Calibri" w:eastAsia="Calibri" w:hAnsi="Calibri" w:cs="Calibri"/>
        </w:rPr>
        <w:lastRenderedPageBreak/>
        <w:t>Possible indicators</w:t>
      </w:r>
    </w:p>
    <w:p w14:paraId="37E32B4B" w14:textId="622AEA0D"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Customers using family members or third parties, including the use of children’s accounts.</w:t>
      </w:r>
    </w:p>
    <w:p w14:paraId="45CAF244" w14:textId="1FFC6A1B"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Transactions where third parties seem to be retaining a portion of funds, which would indicate the use of mules.</w:t>
      </w:r>
    </w:p>
    <w:p w14:paraId="700BA3E0" w14:textId="73619CE6"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Accounts operated by someone other than the account holder.</w:t>
      </w:r>
    </w:p>
    <w:p w14:paraId="33F86AB6" w14:textId="490817BF"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Many transactions conducted at various  UAE and/or branches, in one day</w:t>
      </w:r>
    </w:p>
    <w:p w14:paraId="084FECC5" w14:textId="4E1D0C7B"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transactions made over a short period of time.</w:t>
      </w:r>
    </w:p>
    <w:p w14:paraId="3B5A516E" w14:textId="0AE06D93" w:rsidR="0065131D" w:rsidRDefault="41028EAA" w:rsidP="3C0BAC93">
      <w:pPr>
        <w:spacing w:after="0"/>
        <w:ind w:left="284" w:right="247"/>
      </w:pPr>
      <w:r w:rsidRPr="3C0BAC93">
        <w:rPr>
          <w:rFonts w:ascii="Calibri" w:eastAsia="Calibri" w:hAnsi="Calibri" w:cs="Calibri"/>
        </w:rPr>
        <w:t xml:space="preserve"> </w:t>
      </w:r>
    </w:p>
    <w:p w14:paraId="4A605252" w14:textId="0D5B6EBD" w:rsidR="0065131D" w:rsidRDefault="41028EAA" w:rsidP="3C0BAC93">
      <w:pPr>
        <w:spacing w:after="0"/>
        <w:ind w:left="284" w:right="247"/>
      </w:pPr>
      <w:r w:rsidRPr="3C0BAC93">
        <w:rPr>
          <w:rFonts w:ascii="Calibri" w:eastAsia="Calibri" w:hAnsi="Calibri" w:cs="Calibri"/>
          <w:b/>
          <w:bCs/>
        </w:rPr>
        <w:t>Trade-based money laundering</w:t>
      </w:r>
    </w:p>
    <w:p w14:paraId="4352D473" w14:textId="25278E03" w:rsidR="0065131D" w:rsidRDefault="41028EAA" w:rsidP="3C0BAC93">
      <w:pPr>
        <w:spacing w:after="0"/>
        <w:ind w:left="284" w:right="247"/>
      </w:pPr>
      <w:r w:rsidRPr="3C0BAC93">
        <w:rPr>
          <w:rFonts w:ascii="Calibri" w:eastAsia="Calibri" w:hAnsi="Calibri" w:cs="Calibri"/>
        </w:rPr>
        <w:t>How it works: Manipulating invoices, often in connection with international trade, by overstating the value of a shipment providing criminal entities with a paper justification to either launder proceeds of crime and/or send funds overseas to finance terrorism</w:t>
      </w:r>
    </w:p>
    <w:p w14:paraId="40209400" w14:textId="6D8C7F23" w:rsidR="0065131D" w:rsidRDefault="41028EAA" w:rsidP="3C0BAC93">
      <w:pPr>
        <w:spacing w:after="0"/>
        <w:ind w:left="284" w:right="247"/>
      </w:pPr>
      <w:r w:rsidRPr="3C0BAC93">
        <w:rPr>
          <w:rFonts w:ascii="Calibri" w:eastAsia="Calibri" w:hAnsi="Calibri" w:cs="Calibri"/>
        </w:rPr>
        <w:t>Possible indicators</w:t>
      </w:r>
    </w:p>
    <w:p w14:paraId="2B23BBB3" w14:textId="2E4D01EF"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Invoice value greater than value of goods.</w:t>
      </w:r>
    </w:p>
    <w:p w14:paraId="1EE12A0F" w14:textId="10548159"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Discrepancies in domestic and foreign import/export data.</w:t>
      </w:r>
    </w:p>
    <w:p w14:paraId="0C59F77A" w14:textId="3D64FA7F"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Suspicious cargo movements.</w:t>
      </w:r>
    </w:p>
    <w:p w14:paraId="77095BC8" w14:textId="796C06B7"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Suspicious domestic import data.</w:t>
      </w:r>
    </w:p>
    <w:p w14:paraId="4CD8A5FA" w14:textId="0EF19F0E"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Discrepancies in information regarding the origin, description, and value of the goods.</w:t>
      </w:r>
    </w:p>
    <w:p w14:paraId="423435E2" w14:textId="265A36D0"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Discrepancies with tax declarations on export declarations.</w:t>
      </w:r>
    </w:p>
    <w:p w14:paraId="6B7C81DE" w14:textId="3EC9AE7F"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Sudden increase in online auction sales by particular vendors (online auction sites).</w:t>
      </w:r>
    </w:p>
    <w:p w14:paraId="3CB95FA5" w14:textId="5E921737"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Frequent purchases between same buyers and vendors (online auction sites).</w:t>
      </w:r>
    </w:p>
    <w:p w14:paraId="207820A4" w14:textId="464A3572" w:rsidR="0065131D" w:rsidRDefault="41028EAA" w:rsidP="3C0BAC93">
      <w:pPr>
        <w:spacing w:after="0"/>
        <w:ind w:left="284" w:right="247"/>
      </w:pPr>
      <w:r w:rsidRPr="3C0BAC93">
        <w:rPr>
          <w:rFonts w:ascii="Calibri" w:eastAsia="Calibri" w:hAnsi="Calibri" w:cs="Calibri"/>
        </w:rPr>
        <w:t xml:space="preserve"> </w:t>
      </w:r>
    </w:p>
    <w:p w14:paraId="2CB9437C" w14:textId="1097AC3A" w:rsidR="0065131D" w:rsidRDefault="41028EAA" w:rsidP="3C0BAC93">
      <w:pPr>
        <w:spacing w:after="0"/>
        <w:ind w:left="284" w:right="247"/>
      </w:pPr>
      <w:r w:rsidRPr="3C0BAC93">
        <w:rPr>
          <w:rFonts w:ascii="Calibri" w:eastAsia="Calibri" w:hAnsi="Calibri" w:cs="Calibri"/>
          <w:b/>
          <w:bCs/>
        </w:rPr>
        <w:t>Cancellation of credits or overpayments</w:t>
      </w:r>
    </w:p>
    <w:p w14:paraId="1BA92AC4" w14:textId="36ECCD99" w:rsidR="0065131D" w:rsidRDefault="41028EAA" w:rsidP="3C0BAC93">
      <w:pPr>
        <w:spacing w:after="0"/>
        <w:ind w:left="284" w:right="247"/>
      </w:pPr>
      <w:r w:rsidRPr="3C0BAC93">
        <w:rPr>
          <w:rFonts w:ascii="Calibri" w:eastAsia="Calibri" w:hAnsi="Calibri" w:cs="Calibri"/>
        </w:rPr>
        <w:t>How it works: Laundering proceeds of crime by overpaying then requesting refund cheques for the balance.</w:t>
      </w:r>
    </w:p>
    <w:p w14:paraId="39E4B315" w14:textId="023813AF" w:rsidR="0065131D" w:rsidRDefault="41028EAA" w:rsidP="3C0BAC93">
      <w:pPr>
        <w:spacing w:after="0"/>
        <w:ind w:left="284" w:right="247"/>
      </w:pPr>
      <w:r w:rsidRPr="3C0BAC93">
        <w:rPr>
          <w:rFonts w:ascii="Calibri" w:eastAsia="Calibri" w:hAnsi="Calibri" w:cs="Calibri"/>
        </w:rPr>
        <w:t>Possible indicators</w:t>
      </w:r>
    </w:p>
    <w:p w14:paraId="1182D20B" w14:textId="3CF16E7A"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Frequent cheque deposits issued by car dealers, dealers in jewelry, etc.</w:t>
      </w:r>
    </w:p>
    <w:p w14:paraId="6CB1AB09" w14:textId="464C5369"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payments to utility companies, for example, prepaid cards for fuel, telecom e-wallets etc.</w:t>
      </w:r>
    </w:p>
    <w:p w14:paraId="27165714" w14:textId="45BA7A8C"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Frequent cheque deposits issued by utility companies (i.e., electricity providers).</w:t>
      </w:r>
    </w:p>
    <w:p w14:paraId="4EBF076F" w14:textId="585497A8"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payments for purchases from online auction sites.</w:t>
      </w:r>
    </w:p>
    <w:p w14:paraId="0703437E" w14:textId="6AF6798D"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Frequent personal cheque deposits issued by third parties.</w:t>
      </w:r>
    </w:p>
    <w:p w14:paraId="563AAEF1" w14:textId="6A4D8152" w:rsidR="0065131D" w:rsidRDefault="41028EAA" w:rsidP="3C0BAC93">
      <w:pPr>
        <w:spacing w:after="0"/>
        <w:ind w:left="284" w:right="247"/>
      </w:pPr>
      <w:r w:rsidRPr="3C0BAC93">
        <w:rPr>
          <w:rFonts w:ascii="Calibri" w:eastAsia="Calibri" w:hAnsi="Calibri" w:cs="Calibri"/>
        </w:rPr>
        <w:t xml:space="preserve"> </w:t>
      </w:r>
    </w:p>
    <w:p w14:paraId="3E639757" w14:textId="0A4810D3" w:rsidR="0065131D" w:rsidRDefault="41028EAA" w:rsidP="3C0BAC93">
      <w:pPr>
        <w:spacing w:after="0"/>
        <w:ind w:left="284" w:right="247"/>
      </w:pPr>
      <w:r w:rsidRPr="3C0BAC93">
        <w:rPr>
          <w:rFonts w:ascii="Calibri" w:eastAsia="Calibri" w:hAnsi="Calibri" w:cs="Calibri"/>
          <w:b/>
          <w:bCs/>
        </w:rPr>
        <w:t>Electronic transfers to and from bank accounts</w:t>
      </w:r>
    </w:p>
    <w:p w14:paraId="4B215D7F" w14:textId="012067D2" w:rsidR="0065131D" w:rsidRDefault="41028EAA" w:rsidP="3C0BAC93">
      <w:pPr>
        <w:spacing w:after="0"/>
        <w:ind w:left="284" w:right="247"/>
      </w:pPr>
      <w:r w:rsidRPr="3C0BAC93">
        <w:rPr>
          <w:rFonts w:ascii="Calibri" w:eastAsia="Calibri" w:hAnsi="Calibri" w:cs="Calibri"/>
        </w:rPr>
        <w:t>How it works: Transferring proceeds of crime from one bank account to another via  UAE.</w:t>
      </w:r>
    </w:p>
    <w:p w14:paraId="7B4633E1" w14:textId="1D8A1259" w:rsidR="0065131D" w:rsidRDefault="41028EAA" w:rsidP="3C0BAC93">
      <w:pPr>
        <w:spacing w:after="0"/>
        <w:ind w:left="284" w:right="247"/>
      </w:pPr>
      <w:r w:rsidRPr="3C0BAC93">
        <w:rPr>
          <w:rFonts w:ascii="Calibri" w:eastAsia="Calibri" w:hAnsi="Calibri" w:cs="Calibri"/>
        </w:rPr>
        <w:t>Possible indicators</w:t>
      </w:r>
    </w:p>
    <w:p w14:paraId="715C70C9" w14:textId="5D1F9213" w:rsidR="0065131D" w:rsidRDefault="41028EAA" w:rsidP="3C0BAC93">
      <w:pPr>
        <w:spacing w:after="0"/>
        <w:ind w:left="284" w:right="247"/>
      </w:pPr>
      <w:r w:rsidRPr="3C0BAC93">
        <w:rPr>
          <w:rFonts w:ascii="Calibri" w:eastAsia="Calibri" w:hAnsi="Calibri" w:cs="Calibri"/>
        </w:rPr>
        <w:lastRenderedPageBreak/>
        <w:t>•</w:t>
      </w:r>
      <w:r w:rsidR="005E0C3C">
        <w:tab/>
      </w:r>
      <w:r w:rsidRPr="3C0BAC93">
        <w:rPr>
          <w:rFonts w:ascii="Calibri" w:eastAsia="Calibri" w:hAnsi="Calibri" w:cs="Calibri"/>
        </w:rPr>
        <w:t>Transfers to or from locations that have poor AML/CFT regimes or high exposure to corruption.</w:t>
      </w:r>
    </w:p>
    <w:p w14:paraId="18C134D5" w14:textId="698516F7"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Transfers involving accounts located in high-risk countries or known tax havens.</w:t>
      </w:r>
    </w:p>
    <w:p w14:paraId="21D5BB57" w14:textId="0B1C6741"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Transfers to offshore jurisdictions with no business rationale.</w:t>
      </w:r>
    </w:p>
    <w:p w14:paraId="745B91E2" w14:textId="0CA04CBE"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Multiple transfers sent to the same person overseas by different people.</w:t>
      </w:r>
    </w:p>
    <w:p w14:paraId="6C403D53" w14:textId="06457840"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Departure from the UAE shortly after transferring funds.</w:t>
      </w:r>
    </w:p>
    <w:p w14:paraId="67EDC7FC" w14:textId="1CFEE307"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Transfers of funds between various accounts that show no economic purpose (i.e., multiple transfers incurring bank fees where one single transfer would have been sufficient).</w:t>
      </w:r>
    </w:p>
    <w:p w14:paraId="70801EED" w14:textId="23F5098E" w:rsidR="0065131D" w:rsidRDefault="41028EAA" w:rsidP="3C0BAC93">
      <w:pPr>
        <w:spacing w:after="0"/>
        <w:ind w:left="284" w:right="247"/>
      </w:pPr>
      <w:r w:rsidRPr="3C0BAC93">
        <w:rPr>
          <w:rFonts w:ascii="Calibri" w:eastAsia="Calibri" w:hAnsi="Calibri" w:cs="Calibri"/>
        </w:rPr>
        <w:t xml:space="preserve"> </w:t>
      </w:r>
    </w:p>
    <w:p w14:paraId="239EBED6" w14:textId="53F3F2ED" w:rsidR="0065131D" w:rsidRDefault="41028EAA" w:rsidP="3C0BAC93">
      <w:pPr>
        <w:spacing w:after="0"/>
        <w:ind w:left="284" w:right="247"/>
      </w:pPr>
      <w:r w:rsidRPr="3C0BAC93">
        <w:rPr>
          <w:rFonts w:ascii="Calibri" w:eastAsia="Calibri" w:hAnsi="Calibri" w:cs="Calibri"/>
          <w:b/>
          <w:bCs/>
        </w:rPr>
        <w:t>Co-Mingling</w:t>
      </w:r>
    </w:p>
    <w:p w14:paraId="76FDC7C7" w14:textId="47EBA9EF" w:rsidR="0065131D" w:rsidRDefault="41028EAA" w:rsidP="3C0BAC93">
      <w:pPr>
        <w:spacing w:after="0"/>
        <w:ind w:left="284" w:right="247"/>
      </w:pPr>
      <w:r w:rsidRPr="3C0BAC93">
        <w:rPr>
          <w:rFonts w:ascii="Calibri" w:eastAsia="Calibri" w:hAnsi="Calibri" w:cs="Calibri"/>
        </w:rPr>
        <w:t>How it works: Combining proceeds of crime with legitimate business takings.</w:t>
      </w:r>
    </w:p>
    <w:p w14:paraId="59AF0A77" w14:textId="6E06A26B" w:rsidR="0065131D" w:rsidRDefault="41028EAA" w:rsidP="3C0BAC93">
      <w:pPr>
        <w:spacing w:after="0"/>
        <w:ind w:left="284" w:right="247"/>
      </w:pPr>
      <w:r w:rsidRPr="3C0BAC93">
        <w:rPr>
          <w:rFonts w:ascii="Calibri" w:eastAsia="Calibri" w:hAnsi="Calibri" w:cs="Calibri"/>
        </w:rPr>
        <w:t>Possible indicators</w:t>
      </w:r>
    </w:p>
    <w:p w14:paraId="08FB8B87" w14:textId="7D3B19D7"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cash deposits when business has electronic funds transfer at point-of-sale facilities.</w:t>
      </w:r>
    </w:p>
    <w:p w14:paraId="754E9654" w14:textId="6D578277"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Large number of accounts held by a customer with the same  UAE branch.</w:t>
      </w:r>
    </w:p>
    <w:p w14:paraId="4CC2262C" w14:textId="1CE127C1"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Accounts operated by someone other than the account holder.</w:t>
      </w:r>
    </w:p>
    <w:p w14:paraId="1B149227" w14:textId="542DD2F0"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Merging businesses to create layers.</w:t>
      </w:r>
    </w:p>
    <w:p w14:paraId="0CB60E26" w14:textId="05A6BF17"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Complex ownership structures.</w:t>
      </w:r>
    </w:p>
    <w:p w14:paraId="00DB7EF6" w14:textId="42927134"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Regular use of third-party accounts.</w:t>
      </w:r>
    </w:p>
    <w:p w14:paraId="0C354787" w14:textId="53394E2A" w:rsidR="0065131D" w:rsidRDefault="41028EAA" w:rsidP="3C0BAC93">
      <w:pPr>
        <w:spacing w:after="0"/>
        <w:ind w:left="284" w:right="247"/>
      </w:pPr>
      <w:r w:rsidRPr="3C0BAC93">
        <w:rPr>
          <w:rFonts w:ascii="Calibri" w:eastAsia="Calibri" w:hAnsi="Calibri" w:cs="Calibri"/>
        </w:rPr>
        <w:t xml:space="preserve"> </w:t>
      </w:r>
    </w:p>
    <w:p w14:paraId="7653B336" w14:textId="21FCF4D7" w:rsidR="0065131D" w:rsidRDefault="41028EAA" w:rsidP="3C0BAC93">
      <w:pPr>
        <w:spacing w:after="0"/>
        <w:ind w:left="284" w:right="247"/>
      </w:pPr>
      <w:r w:rsidRPr="3C0BAC93">
        <w:rPr>
          <w:rFonts w:ascii="Calibri" w:eastAsia="Calibri" w:hAnsi="Calibri" w:cs="Calibri"/>
          <w:b/>
          <w:bCs/>
        </w:rPr>
        <w:t>Gatekeepers/professional services</w:t>
      </w:r>
    </w:p>
    <w:p w14:paraId="7788806C" w14:textId="21F0D715" w:rsidR="0065131D" w:rsidRDefault="41028EAA" w:rsidP="3C0BAC93">
      <w:pPr>
        <w:spacing w:after="0"/>
        <w:ind w:left="284" w:right="247"/>
      </w:pPr>
      <w:r w:rsidRPr="3C0BAC93">
        <w:rPr>
          <w:rFonts w:ascii="Calibri" w:eastAsia="Calibri" w:hAnsi="Calibri" w:cs="Calibri"/>
        </w:rPr>
        <w:t>How it works: Utilizing ‘Professionals’ to establish seemingly legitimate business activities, for example, Lawyers, Accountants, Brokers, Company Formation Agents.</w:t>
      </w:r>
    </w:p>
    <w:p w14:paraId="17D735AD" w14:textId="7A912D6F" w:rsidR="0065131D" w:rsidRDefault="41028EAA" w:rsidP="3C0BAC93">
      <w:pPr>
        <w:spacing w:after="0"/>
        <w:ind w:left="284" w:right="247"/>
      </w:pPr>
      <w:r w:rsidRPr="3C0BAC93">
        <w:rPr>
          <w:rFonts w:ascii="Calibri" w:eastAsia="Calibri" w:hAnsi="Calibri" w:cs="Calibri"/>
        </w:rPr>
        <w:t>Possible indicators</w:t>
      </w:r>
    </w:p>
    <w:p w14:paraId="7D1C44F5" w14:textId="7A8D4534"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Accounts and/or facilities opened and/or operated by company formation agents.</w:t>
      </w:r>
    </w:p>
    <w:p w14:paraId="7B010E38" w14:textId="76347FAE"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Gatekeepers that appear to have full control.</w:t>
      </w:r>
    </w:p>
    <w:p w14:paraId="5D4C77FC" w14:textId="003C7B81"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Known or suspected corrupt professionals offering services to criminal entities.</w:t>
      </w:r>
    </w:p>
    <w:p w14:paraId="5B0D2A41" w14:textId="102C04CD"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Accounts operated by someone other than the account holder.</w:t>
      </w:r>
    </w:p>
    <w:p w14:paraId="0BD01533" w14:textId="1ADA7AE7" w:rsidR="0065131D" w:rsidRDefault="41028EAA" w:rsidP="3C0BAC93">
      <w:pPr>
        <w:spacing w:after="0"/>
        <w:ind w:left="284" w:right="247"/>
      </w:pPr>
      <w:r w:rsidRPr="3C0BAC93">
        <w:rPr>
          <w:rFonts w:ascii="Calibri" w:eastAsia="Calibri" w:hAnsi="Calibri" w:cs="Calibri"/>
        </w:rPr>
        <w:t xml:space="preserve"> </w:t>
      </w:r>
    </w:p>
    <w:p w14:paraId="5D505008" w14:textId="71EFC98F" w:rsidR="0065131D" w:rsidRDefault="41028EAA" w:rsidP="3C0BAC93">
      <w:pPr>
        <w:spacing w:after="0"/>
        <w:ind w:left="284" w:right="247"/>
      </w:pPr>
      <w:r w:rsidRPr="3C0BAC93">
        <w:rPr>
          <w:rFonts w:ascii="Calibri" w:eastAsia="Calibri" w:hAnsi="Calibri" w:cs="Calibri"/>
          <w:b/>
          <w:bCs/>
        </w:rPr>
        <w:t>Cash deposits</w:t>
      </w:r>
    </w:p>
    <w:p w14:paraId="3F298242" w14:textId="4E756778" w:rsidR="0065131D" w:rsidRDefault="41028EAA" w:rsidP="3C0BAC93">
      <w:pPr>
        <w:spacing w:after="0"/>
        <w:ind w:left="284" w:right="247"/>
      </w:pPr>
      <w:r w:rsidRPr="3C0BAC93">
        <w:rPr>
          <w:rFonts w:ascii="Calibri" w:eastAsia="Calibri" w:hAnsi="Calibri" w:cs="Calibri"/>
        </w:rPr>
        <w:t>How it works: Placement of cash into the financial system.</w:t>
      </w:r>
    </w:p>
    <w:p w14:paraId="125F3242" w14:textId="0A7DF359" w:rsidR="0065131D" w:rsidRDefault="41028EAA" w:rsidP="3C0BAC93">
      <w:pPr>
        <w:spacing w:after="0"/>
        <w:ind w:left="284" w:right="247"/>
      </w:pPr>
      <w:r w:rsidRPr="3C0BAC93">
        <w:rPr>
          <w:rFonts w:ascii="Calibri" w:eastAsia="Calibri" w:hAnsi="Calibri" w:cs="Calibri"/>
        </w:rPr>
        <w:t>Possible indicators</w:t>
      </w:r>
    </w:p>
    <w:p w14:paraId="5371FCCF" w14:textId="3F813BDA"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Large cash deposits followed immediately by withdrawals or electronic transfers.</w:t>
      </w:r>
    </w:p>
    <w:p w14:paraId="65CC3DD4" w14:textId="2C69E31D" w:rsidR="0065131D" w:rsidRDefault="41028EAA" w:rsidP="3C0BAC93">
      <w:pPr>
        <w:spacing w:after="0"/>
        <w:ind w:left="284" w:right="247"/>
      </w:pPr>
      <w:r w:rsidRPr="3C0BAC93">
        <w:rPr>
          <w:rFonts w:ascii="Calibri" w:eastAsia="Calibri" w:hAnsi="Calibri" w:cs="Calibri"/>
        </w:rPr>
        <w:t xml:space="preserve"> </w:t>
      </w:r>
    </w:p>
    <w:p w14:paraId="235FF2C3" w14:textId="28D661C7" w:rsidR="0065131D" w:rsidRDefault="41028EAA" w:rsidP="3C0BAC93">
      <w:pPr>
        <w:spacing w:after="0"/>
        <w:ind w:left="284" w:right="247"/>
      </w:pPr>
      <w:r w:rsidRPr="3C0BAC93">
        <w:rPr>
          <w:rFonts w:ascii="Calibri" w:eastAsia="Calibri" w:hAnsi="Calibri" w:cs="Calibri"/>
        </w:rPr>
        <w:t xml:space="preserve"> </w:t>
      </w:r>
    </w:p>
    <w:p w14:paraId="365E3C33" w14:textId="55E78224" w:rsidR="0065131D" w:rsidRDefault="41028EAA" w:rsidP="3C0BAC93">
      <w:pPr>
        <w:spacing w:after="0"/>
        <w:ind w:left="284" w:right="247"/>
      </w:pPr>
      <w:r w:rsidRPr="3C0BAC93">
        <w:rPr>
          <w:rFonts w:ascii="Calibri" w:eastAsia="Calibri" w:hAnsi="Calibri" w:cs="Calibri"/>
        </w:rPr>
        <w:t xml:space="preserve"> </w:t>
      </w:r>
    </w:p>
    <w:p w14:paraId="12786295" w14:textId="1B49330C" w:rsidR="0065131D" w:rsidRDefault="41028EAA" w:rsidP="3C0BAC93">
      <w:pPr>
        <w:spacing w:after="0"/>
        <w:ind w:left="284" w:right="247"/>
      </w:pPr>
      <w:r w:rsidRPr="3C0BAC93">
        <w:rPr>
          <w:rFonts w:ascii="Calibri" w:eastAsia="Calibri" w:hAnsi="Calibri" w:cs="Calibri"/>
        </w:rPr>
        <w:t xml:space="preserve"> </w:t>
      </w:r>
    </w:p>
    <w:p w14:paraId="2FD89EC9" w14:textId="119CCED7" w:rsidR="0065131D" w:rsidRDefault="41028EAA" w:rsidP="3C0BAC93">
      <w:pPr>
        <w:spacing w:after="0"/>
        <w:ind w:left="284" w:right="247"/>
      </w:pPr>
      <w:r w:rsidRPr="3C0BAC93">
        <w:rPr>
          <w:rFonts w:ascii="Calibri" w:eastAsia="Calibri" w:hAnsi="Calibri" w:cs="Calibri"/>
          <w:b/>
          <w:bCs/>
        </w:rPr>
        <w:lastRenderedPageBreak/>
        <w:t>Structuring</w:t>
      </w:r>
    </w:p>
    <w:p w14:paraId="6064C56D" w14:textId="1E010467" w:rsidR="0065131D" w:rsidRDefault="41028EAA" w:rsidP="3C0BAC93">
      <w:pPr>
        <w:spacing w:after="0"/>
        <w:ind w:left="284" w:right="247"/>
      </w:pPr>
      <w:r w:rsidRPr="3C0BAC93">
        <w:rPr>
          <w:rFonts w:ascii="Calibri" w:eastAsia="Calibri" w:hAnsi="Calibri" w:cs="Calibri"/>
        </w:rPr>
        <w:t>How it works: Separating large transactions into small transactions to avoid scrutiny and detection from  UAE.</w:t>
      </w:r>
    </w:p>
    <w:p w14:paraId="61DD4143" w14:textId="438B09FB" w:rsidR="0065131D" w:rsidRDefault="41028EAA" w:rsidP="3C0BAC93">
      <w:pPr>
        <w:spacing w:after="0"/>
        <w:ind w:left="284" w:right="247"/>
      </w:pPr>
      <w:r w:rsidRPr="3C0BAC93">
        <w:rPr>
          <w:rFonts w:ascii="Calibri" w:eastAsia="Calibri" w:hAnsi="Calibri" w:cs="Calibri"/>
        </w:rPr>
        <w:t>Possible indicators</w:t>
      </w:r>
    </w:p>
    <w:p w14:paraId="24CF0FC3" w14:textId="5D65FD2B"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Many transactions conducted at various  UAE and/or branches, in one day.</w:t>
      </w:r>
    </w:p>
    <w:p w14:paraId="500281C0" w14:textId="4E46A286"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Small/frequent cash deposits, withdrawals, electronic transfers made over a short time period.</w:t>
      </w:r>
    </w:p>
    <w:p w14:paraId="50B57406" w14:textId="4902A8A9"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Multiple low value domestic or international transfer.</w:t>
      </w:r>
    </w:p>
    <w:p w14:paraId="442B1F2F" w14:textId="2DD72ECA" w:rsidR="0065131D" w:rsidRDefault="41028EAA" w:rsidP="3C0BAC93">
      <w:pPr>
        <w:spacing w:after="0"/>
        <w:ind w:left="284" w:right="247"/>
      </w:pPr>
      <w:r w:rsidRPr="3C0BAC93">
        <w:rPr>
          <w:rFonts w:ascii="Calibri" w:eastAsia="Calibri" w:hAnsi="Calibri" w:cs="Calibri"/>
        </w:rPr>
        <w:t xml:space="preserve"> </w:t>
      </w:r>
    </w:p>
    <w:p w14:paraId="781E783C" w14:textId="345447A0" w:rsidR="0065131D" w:rsidRDefault="41028EAA" w:rsidP="3C0BAC93">
      <w:pPr>
        <w:spacing w:after="0"/>
        <w:ind w:left="284" w:right="247"/>
      </w:pPr>
      <w:r w:rsidRPr="3C0BAC93">
        <w:rPr>
          <w:rFonts w:ascii="Calibri" w:eastAsia="Calibri" w:hAnsi="Calibri" w:cs="Calibri"/>
          <w:b/>
          <w:bCs/>
        </w:rPr>
        <w:t>Smurfing</w:t>
      </w:r>
    </w:p>
    <w:p w14:paraId="0D07C4E5" w14:textId="4D4EA725" w:rsidR="0065131D" w:rsidRDefault="41028EAA" w:rsidP="3C0BAC93">
      <w:pPr>
        <w:spacing w:after="0"/>
        <w:ind w:left="284" w:right="247"/>
      </w:pPr>
      <w:r w:rsidRPr="3C0BAC93">
        <w:rPr>
          <w:rFonts w:ascii="Calibri" w:eastAsia="Calibri" w:hAnsi="Calibri" w:cs="Calibri"/>
        </w:rPr>
        <w:t>How it works: Utilizing third parties or groups of people to carry out structuring.</w:t>
      </w:r>
    </w:p>
    <w:p w14:paraId="57689F8F" w14:textId="40E869AC" w:rsidR="0065131D" w:rsidRDefault="41028EAA" w:rsidP="3C0BAC93">
      <w:pPr>
        <w:spacing w:after="0"/>
        <w:ind w:left="284" w:right="247"/>
      </w:pPr>
      <w:r w:rsidRPr="3C0BAC93">
        <w:rPr>
          <w:rFonts w:ascii="Calibri" w:eastAsia="Calibri" w:hAnsi="Calibri" w:cs="Calibri"/>
        </w:rPr>
        <w:t>Possible indicators</w:t>
      </w:r>
    </w:p>
    <w:p w14:paraId="1B2905AB" w14:textId="14516142"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Third parties conducting numerous transactions on behalf of other individuals.</w:t>
      </w:r>
    </w:p>
    <w:p w14:paraId="2CA3B546" w14:textId="482F3F3A"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Many transactions conducted at various  UAE and/or branches, in one day.</w:t>
      </w:r>
    </w:p>
    <w:p w14:paraId="5273E985" w14:textId="2942A369"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Accounts operated by someone other than the account holder.</w:t>
      </w:r>
    </w:p>
    <w:p w14:paraId="1A699196" w14:textId="61D05BEA" w:rsidR="0065131D" w:rsidRDefault="41028EAA" w:rsidP="3C0BAC93">
      <w:pPr>
        <w:spacing w:after="0"/>
        <w:ind w:left="284" w:right="247"/>
      </w:pPr>
      <w:r w:rsidRPr="3C0BAC93">
        <w:rPr>
          <w:rFonts w:ascii="Calibri" w:eastAsia="Calibri" w:hAnsi="Calibri" w:cs="Calibri"/>
        </w:rPr>
        <w:t xml:space="preserve"> </w:t>
      </w:r>
    </w:p>
    <w:p w14:paraId="2BE94259" w14:textId="395261C4" w:rsidR="0065131D" w:rsidRDefault="41028EAA" w:rsidP="3C0BAC93">
      <w:pPr>
        <w:spacing w:after="0"/>
        <w:ind w:left="284" w:right="247"/>
      </w:pPr>
      <w:r w:rsidRPr="3C0BAC93">
        <w:rPr>
          <w:rFonts w:ascii="Calibri" w:eastAsia="Calibri" w:hAnsi="Calibri" w:cs="Calibri"/>
          <w:b/>
          <w:bCs/>
        </w:rPr>
        <w:t>Credit Cards/Cheques/Promissory Notes</w:t>
      </w:r>
    </w:p>
    <w:p w14:paraId="62177624" w14:textId="3A90CEFB" w:rsidR="0065131D" w:rsidRDefault="41028EAA" w:rsidP="3C0BAC93">
      <w:pPr>
        <w:spacing w:after="0"/>
        <w:ind w:left="284" w:right="247"/>
      </w:pPr>
      <w:r w:rsidRPr="3C0BAC93">
        <w:rPr>
          <w:rFonts w:ascii="Calibri" w:eastAsia="Calibri" w:hAnsi="Calibri" w:cs="Calibri"/>
        </w:rPr>
        <w:t>How it works: Instruments used to access funds held in an , often in another jurisdiction.</w:t>
      </w:r>
    </w:p>
    <w:p w14:paraId="1D6CD045" w14:textId="6C5AFF5D" w:rsidR="0065131D" w:rsidRDefault="41028EAA" w:rsidP="3C0BAC93">
      <w:pPr>
        <w:spacing w:after="0"/>
        <w:ind w:left="284" w:right="247"/>
      </w:pPr>
      <w:r w:rsidRPr="3C0BAC93">
        <w:rPr>
          <w:rFonts w:ascii="Calibri" w:eastAsia="Calibri" w:hAnsi="Calibri" w:cs="Calibri"/>
        </w:rPr>
        <w:t>Possible indicators</w:t>
      </w:r>
    </w:p>
    <w:p w14:paraId="4814291C" w14:textId="788BB683"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Frequent cheque deposits in contrast to known or expected business activity.</w:t>
      </w:r>
    </w:p>
    <w:p w14:paraId="6D4AB96A" w14:textId="5D643764"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Multiple cash advances on credit card facilities.</w:t>
      </w:r>
    </w:p>
    <w:p w14:paraId="73268549" w14:textId="52E63C4E"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Credit cards with large credit balances.</w:t>
      </w:r>
    </w:p>
    <w:p w14:paraId="2846F6E8" w14:textId="45D3356E" w:rsidR="0065131D" w:rsidRDefault="41028EAA" w:rsidP="3C0BAC93">
      <w:pPr>
        <w:spacing w:after="0"/>
        <w:ind w:left="284" w:right="247"/>
      </w:pPr>
      <w:r w:rsidRPr="3C0BAC93">
        <w:rPr>
          <w:rFonts w:ascii="Calibri" w:eastAsia="Calibri" w:hAnsi="Calibri" w:cs="Calibri"/>
        </w:rPr>
        <w:t>Transactions inconsistent with intended purpose of the account</w:t>
      </w:r>
    </w:p>
    <w:p w14:paraId="3436D328" w14:textId="3030EDA0" w:rsidR="0065131D" w:rsidRDefault="41028EAA" w:rsidP="3C0BAC93">
      <w:pPr>
        <w:spacing w:after="0"/>
        <w:ind w:left="284" w:right="247"/>
      </w:pPr>
      <w:r w:rsidRPr="3C0BAC93">
        <w:rPr>
          <w:rFonts w:ascii="Calibri" w:eastAsia="Calibri" w:hAnsi="Calibri" w:cs="Calibri"/>
        </w:rPr>
        <w:t>How it works: Transactions that are out of the ordinary for the individual or conducted without a clear rationale.</w:t>
      </w:r>
    </w:p>
    <w:p w14:paraId="3221E835" w14:textId="5795E63A" w:rsidR="0065131D" w:rsidRDefault="41028EAA" w:rsidP="3C0BAC93">
      <w:pPr>
        <w:spacing w:after="0"/>
        <w:ind w:left="284" w:right="247"/>
      </w:pPr>
      <w:r w:rsidRPr="3C0BAC93">
        <w:rPr>
          <w:rFonts w:ascii="Calibri" w:eastAsia="Calibri" w:hAnsi="Calibri" w:cs="Calibri"/>
        </w:rPr>
        <w:t>Possible indicators</w:t>
      </w:r>
    </w:p>
    <w:p w14:paraId="1CE764B8" w14:textId="6CA0ED7D"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Transactions to or from unrelated parties.</w:t>
      </w:r>
    </w:p>
    <w:p w14:paraId="7AE99B11" w14:textId="206F1AE5"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Transaction amounts that are inconsistent with the account’s expected volumes or frequencies.</w:t>
      </w:r>
    </w:p>
    <w:p w14:paraId="3EA465CC" w14:textId="27731F98"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Transactions that are out of the ordinary for the customer’s profession or business activity.</w:t>
      </w:r>
    </w:p>
    <w:p w14:paraId="5FBD318F" w14:textId="65C3E524" w:rsidR="0065131D" w:rsidRDefault="41028EAA" w:rsidP="3C0BAC93">
      <w:pPr>
        <w:spacing w:after="0"/>
        <w:ind w:left="284" w:right="247"/>
      </w:pPr>
      <w:r w:rsidRPr="3C0BAC93">
        <w:rPr>
          <w:rFonts w:ascii="Calibri" w:eastAsia="Calibri" w:hAnsi="Calibri" w:cs="Calibri"/>
        </w:rPr>
        <w:t xml:space="preserve"> </w:t>
      </w:r>
    </w:p>
    <w:p w14:paraId="11ACED4F" w14:textId="62540267" w:rsidR="0065131D" w:rsidRDefault="41028EAA" w:rsidP="3C0BAC93">
      <w:pPr>
        <w:spacing w:after="0"/>
        <w:ind w:left="284" w:right="247"/>
      </w:pPr>
      <w:r w:rsidRPr="3C0BAC93">
        <w:rPr>
          <w:rFonts w:ascii="Calibri" w:eastAsia="Calibri" w:hAnsi="Calibri" w:cs="Calibri"/>
          <w:b/>
          <w:bCs/>
        </w:rPr>
        <w:t>Cash couriers</w:t>
      </w:r>
    </w:p>
    <w:p w14:paraId="0D3D5456" w14:textId="09BC9BB7" w:rsidR="0065131D" w:rsidRDefault="41028EAA" w:rsidP="3C0BAC93">
      <w:pPr>
        <w:spacing w:after="0"/>
        <w:ind w:left="284" w:right="247"/>
      </w:pPr>
      <w:r w:rsidRPr="3C0BAC93">
        <w:rPr>
          <w:rFonts w:ascii="Calibri" w:eastAsia="Calibri" w:hAnsi="Calibri" w:cs="Calibri"/>
        </w:rPr>
        <w:t>How it works: Concealing the movement of currency from one jurisdiction to another using people, luggage, mail, or any other mode of shipment, without declaration.</w:t>
      </w:r>
    </w:p>
    <w:p w14:paraId="59FBE003" w14:textId="384DC4C9" w:rsidR="0065131D" w:rsidRDefault="41028EAA" w:rsidP="3C0BAC93">
      <w:pPr>
        <w:spacing w:after="0"/>
        <w:ind w:left="284" w:right="247"/>
      </w:pPr>
      <w:r w:rsidRPr="3C0BAC93">
        <w:rPr>
          <w:rFonts w:ascii="Calibri" w:eastAsia="Calibri" w:hAnsi="Calibri" w:cs="Calibri"/>
        </w:rPr>
        <w:t>Possible indicators</w:t>
      </w:r>
    </w:p>
    <w:p w14:paraId="71708490" w14:textId="0D9C8F97"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Transactions involving locations with poor AML/CFT regimes or high exposure to corruption.</w:t>
      </w:r>
    </w:p>
    <w:p w14:paraId="05D591CC" w14:textId="0FB57472" w:rsidR="0065131D" w:rsidRDefault="41028EAA" w:rsidP="3C0BAC93">
      <w:pPr>
        <w:spacing w:after="0"/>
        <w:ind w:left="284" w:right="247"/>
      </w:pPr>
      <w:r w:rsidRPr="3C0BAC93">
        <w:rPr>
          <w:rFonts w:ascii="Calibri" w:eastAsia="Calibri" w:hAnsi="Calibri" w:cs="Calibri"/>
        </w:rPr>
        <w:lastRenderedPageBreak/>
        <w:t>•</w:t>
      </w:r>
      <w:r w:rsidR="005E0C3C">
        <w:tab/>
      </w:r>
      <w:r w:rsidRPr="3C0BAC93">
        <w:rPr>
          <w:rFonts w:ascii="Calibri" w:eastAsia="Calibri" w:hAnsi="Calibri" w:cs="Calibri"/>
        </w:rPr>
        <w:t>Customers originating from locations with poor AML/CFT regimes/high exposure to corruption.</w:t>
      </w:r>
    </w:p>
    <w:p w14:paraId="4846CB64" w14:textId="3E86489E"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cash deposits made over a short period of time.</w:t>
      </w:r>
    </w:p>
    <w:p w14:paraId="26B6A281" w14:textId="37FC8B3D"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currency exchanges made over a short period of time.</w:t>
      </w:r>
    </w:p>
    <w:p w14:paraId="05FE47AD" w14:textId="51C2FA5F" w:rsidR="0065131D" w:rsidRDefault="41028EAA" w:rsidP="3C0BAC93">
      <w:pPr>
        <w:spacing w:after="0"/>
        <w:ind w:left="284" w:right="247"/>
      </w:pPr>
      <w:r w:rsidRPr="3C0BAC93">
        <w:rPr>
          <w:rFonts w:ascii="Calibri" w:eastAsia="Calibri" w:hAnsi="Calibri" w:cs="Calibri"/>
        </w:rPr>
        <w:t xml:space="preserve"> </w:t>
      </w:r>
    </w:p>
    <w:p w14:paraId="1D8AB458" w14:textId="55E9703E" w:rsidR="0065131D" w:rsidRDefault="41028EAA" w:rsidP="3C0BAC93">
      <w:pPr>
        <w:spacing w:after="0"/>
        <w:ind w:left="284" w:right="247"/>
      </w:pPr>
      <w:r w:rsidRPr="3C0BAC93">
        <w:rPr>
          <w:rFonts w:ascii="Calibri" w:eastAsia="Calibri" w:hAnsi="Calibri" w:cs="Calibri"/>
          <w:b/>
          <w:bCs/>
        </w:rPr>
        <w:t>Other payment technologies</w:t>
      </w:r>
    </w:p>
    <w:p w14:paraId="015E79F6" w14:textId="53ED2FD5" w:rsidR="0065131D" w:rsidRDefault="41028EAA" w:rsidP="3C0BAC93">
      <w:pPr>
        <w:spacing w:after="0"/>
        <w:ind w:left="284" w:right="247"/>
      </w:pPr>
      <w:r w:rsidRPr="3C0BAC93">
        <w:rPr>
          <w:rFonts w:ascii="Calibri" w:eastAsia="Calibri" w:hAnsi="Calibri" w:cs="Calibri"/>
        </w:rPr>
        <w:t>How it works: Utilizing emerging or new payment technologies such as virtual currencies/crypto- currencies, peer-to-peer (P2P) lending etc. to facilitate money laundering and/or the financing of terrorism and illegal organizations.</w:t>
      </w:r>
    </w:p>
    <w:p w14:paraId="6FD6391D" w14:textId="54F21DF3" w:rsidR="0065131D" w:rsidRDefault="41028EAA" w:rsidP="3C0BAC93">
      <w:pPr>
        <w:spacing w:after="0"/>
        <w:ind w:left="284" w:right="247"/>
      </w:pPr>
      <w:r w:rsidRPr="3C0BAC93">
        <w:rPr>
          <w:rFonts w:ascii="Calibri" w:eastAsia="Calibri" w:hAnsi="Calibri" w:cs="Calibri"/>
        </w:rPr>
        <w:t>Possible indicators</w:t>
      </w:r>
    </w:p>
    <w:p w14:paraId="63461A9B" w14:textId="07AA4115"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Excessive use of stored value cards.</w:t>
      </w:r>
    </w:p>
    <w:p w14:paraId="791AC6B7" w14:textId="261AB17F"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transactions using mobile telephone services.</w:t>
      </w:r>
    </w:p>
    <w:p w14:paraId="42D25A10" w14:textId="6DB3DF72"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Unjustified transactions to and from Cryptocurrency platforms and digital assets exchanges.</w:t>
      </w:r>
    </w:p>
    <w:p w14:paraId="78A66D00" w14:textId="720BF313" w:rsidR="0065131D" w:rsidRDefault="41028EAA" w:rsidP="3C0BAC93">
      <w:pPr>
        <w:spacing w:after="0"/>
        <w:ind w:left="284" w:right="247"/>
      </w:pPr>
      <w:r w:rsidRPr="3C0BAC93">
        <w:rPr>
          <w:rFonts w:ascii="Calibri" w:eastAsia="Calibri" w:hAnsi="Calibri" w:cs="Calibri"/>
        </w:rPr>
        <w:t xml:space="preserve"> </w:t>
      </w:r>
    </w:p>
    <w:p w14:paraId="5F03D749" w14:textId="2D9CF5F4" w:rsidR="0065131D" w:rsidRDefault="41028EAA" w:rsidP="3C0BAC93">
      <w:pPr>
        <w:spacing w:after="0"/>
        <w:ind w:left="284" w:right="247"/>
      </w:pPr>
      <w:r w:rsidRPr="3C0BAC93">
        <w:rPr>
          <w:rFonts w:ascii="Calibri" w:eastAsia="Calibri" w:hAnsi="Calibri" w:cs="Calibri"/>
          <w:b/>
          <w:bCs/>
        </w:rPr>
        <w:t>Underground banking/alternative remittance services</w:t>
      </w:r>
    </w:p>
    <w:p w14:paraId="370C640C" w14:textId="15361E3F" w:rsidR="0065131D" w:rsidRDefault="41028EAA" w:rsidP="3C0BAC93">
      <w:pPr>
        <w:spacing w:after="0"/>
        <w:ind w:left="284" w:right="247"/>
      </w:pPr>
      <w:r w:rsidRPr="3C0BAC93">
        <w:rPr>
          <w:rFonts w:ascii="Calibri" w:eastAsia="Calibri" w:hAnsi="Calibri" w:cs="Calibri"/>
        </w:rPr>
        <w:t>How it works: Transferring proceeds of crime from one person to another via informal banking mechanisms such as unregistered Hawaladars.</w:t>
      </w:r>
    </w:p>
    <w:p w14:paraId="02A4CCD4" w14:textId="56000B95" w:rsidR="0065131D" w:rsidRDefault="41028EAA" w:rsidP="3C0BAC93">
      <w:pPr>
        <w:spacing w:after="0"/>
        <w:ind w:left="284" w:right="247"/>
      </w:pPr>
      <w:r w:rsidRPr="3C0BAC93">
        <w:rPr>
          <w:rFonts w:ascii="Calibri" w:eastAsia="Calibri" w:hAnsi="Calibri" w:cs="Calibri"/>
        </w:rPr>
        <w:t>Possible indicators</w:t>
      </w:r>
    </w:p>
    <w:p w14:paraId="1F84CF98" w14:textId="74593D30"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Mostly prevalent under the auspices of a general trading company license.</w:t>
      </w:r>
    </w:p>
    <w:p w14:paraId="431ED78E" w14:textId="0A0A1AF3"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cash payments for transfers in which the cash deposits could be from many different individuals using the cash deposit machines.</w:t>
      </w:r>
    </w:p>
    <w:p w14:paraId="7748CAFC" w14:textId="2437CF52"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Cash volumes and transfers in excess of average income of migrant account holders.</w:t>
      </w:r>
    </w:p>
    <w:p w14:paraId="7F55C8AA" w14:textId="368738F0"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Transfers to or from locations that have poor AML/CFT regimes or high exposure to corruption.</w:t>
      </w:r>
    </w:p>
    <w:p w14:paraId="3750CA07" w14:textId="27CCAE61"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Large transfers from accounts to potential cash pooling accounts.</w:t>
      </w:r>
    </w:p>
    <w:p w14:paraId="2712CD62" w14:textId="1B3E7EFA"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transfers recorded informally using unconventional book- keeping.</w:t>
      </w:r>
    </w:p>
    <w:p w14:paraId="35D7032F" w14:textId="603E05FB"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Significant and/or frequent transfers requested by unknown or intermittent customers.</w:t>
      </w:r>
    </w:p>
    <w:p w14:paraId="51105CBB" w14:textId="04D5F7FC"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Numerous deposits to one account followed by numerous payments made to various people.</w:t>
      </w:r>
    </w:p>
    <w:p w14:paraId="5D2AC271" w14:textId="165907B5"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Vague invoices and documentation which may deliberately be made to appear complex.</w:t>
      </w:r>
    </w:p>
    <w:p w14:paraId="0BA2E78C" w14:textId="02913636" w:rsidR="0065131D" w:rsidRDefault="41028EAA" w:rsidP="3C0BAC93">
      <w:pPr>
        <w:spacing w:after="0"/>
        <w:ind w:left="284" w:right="247"/>
      </w:pPr>
      <w:r w:rsidRPr="3C0BAC93">
        <w:rPr>
          <w:rFonts w:ascii="Calibri" w:eastAsia="Calibri" w:hAnsi="Calibri" w:cs="Calibri"/>
        </w:rPr>
        <w:t xml:space="preserve"> </w:t>
      </w:r>
    </w:p>
    <w:p w14:paraId="6A072FDA" w14:textId="40602096" w:rsidR="0065131D" w:rsidRDefault="41028EAA" w:rsidP="3C0BAC93">
      <w:pPr>
        <w:spacing w:after="0"/>
        <w:ind w:left="284" w:right="247"/>
      </w:pPr>
      <w:r w:rsidRPr="3C0BAC93">
        <w:rPr>
          <w:rFonts w:ascii="Calibri" w:eastAsia="Calibri" w:hAnsi="Calibri" w:cs="Calibri"/>
          <w:b/>
          <w:bCs/>
        </w:rPr>
        <w:t>Cash exchanges</w:t>
      </w:r>
    </w:p>
    <w:p w14:paraId="275B45BB" w14:textId="2D9A09A1" w:rsidR="0065131D" w:rsidRDefault="41028EAA" w:rsidP="3C0BAC93">
      <w:pPr>
        <w:spacing w:after="0"/>
        <w:ind w:left="284" w:right="247"/>
      </w:pPr>
      <w:r w:rsidRPr="3C0BAC93">
        <w:rPr>
          <w:rFonts w:ascii="Calibri" w:eastAsia="Calibri" w:hAnsi="Calibri" w:cs="Calibri"/>
        </w:rPr>
        <w:lastRenderedPageBreak/>
        <w:t>How it works: Exchanging low denomination notes for high denomination notes (also known as refining) as a means to launder proceeds of crime, as well as reduce large volumes of cash obtained from serious crime.</w:t>
      </w:r>
    </w:p>
    <w:p w14:paraId="4528E5A9" w14:textId="42BA9C13" w:rsidR="0065131D" w:rsidRDefault="41028EAA" w:rsidP="3C0BAC93">
      <w:pPr>
        <w:spacing w:after="0"/>
        <w:ind w:left="284" w:right="247"/>
      </w:pPr>
      <w:r w:rsidRPr="3C0BAC93">
        <w:rPr>
          <w:rFonts w:ascii="Calibri" w:eastAsia="Calibri" w:hAnsi="Calibri" w:cs="Calibri"/>
        </w:rPr>
        <w:t>Possible indicators</w:t>
      </w:r>
    </w:p>
    <w:p w14:paraId="6DC9F1A4" w14:textId="2567896F" w:rsidR="0065131D" w:rsidRDefault="41028EAA" w:rsidP="3C0BAC93">
      <w:pPr>
        <w:spacing w:after="0"/>
        <w:ind w:left="284" w:right="247"/>
      </w:pPr>
      <w:r w:rsidRPr="3C0BAC93">
        <w:rPr>
          <w:rFonts w:ascii="Calibri" w:eastAsia="Calibri" w:hAnsi="Calibri" w:cs="Calibri"/>
        </w:rPr>
        <w:t>o</w:t>
      </w:r>
      <w:r w:rsidR="005E0C3C">
        <w:tab/>
      </w:r>
      <w:r w:rsidRPr="3C0BAC93">
        <w:rPr>
          <w:rFonts w:ascii="Calibri" w:eastAsia="Calibri" w:hAnsi="Calibri" w:cs="Calibri"/>
        </w:rPr>
        <w:t>Significant and/or frequent cash exchanges from small to large denominations.</w:t>
      </w:r>
    </w:p>
    <w:p w14:paraId="21F494A2" w14:textId="09F5280A" w:rsidR="0065131D" w:rsidRDefault="41028EAA" w:rsidP="3C0BAC93">
      <w:pPr>
        <w:spacing w:after="0"/>
        <w:ind w:left="284" w:right="247"/>
      </w:pPr>
      <w:r w:rsidRPr="3C0BAC93">
        <w:rPr>
          <w:rFonts w:ascii="Calibri" w:eastAsia="Calibri" w:hAnsi="Calibri" w:cs="Calibri"/>
        </w:rPr>
        <w:t xml:space="preserve"> </w:t>
      </w:r>
    </w:p>
    <w:p w14:paraId="7DCDC813" w14:textId="04CB68F3" w:rsidR="0065131D" w:rsidRDefault="41028EAA" w:rsidP="3C0BAC93">
      <w:pPr>
        <w:spacing w:after="0"/>
        <w:ind w:left="284" w:right="247"/>
      </w:pPr>
      <w:r w:rsidRPr="3C0BAC93">
        <w:rPr>
          <w:rFonts w:ascii="Calibri" w:eastAsia="Calibri" w:hAnsi="Calibri" w:cs="Calibri"/>
          <w:b/>
          <w:bCs/>
        </w:rPr>
        <w:t>Currency conversion</w:t>
      </w:r>
    </w:p>
    <w:p w14:paraId="0DA7A028" w14:textId="336769B9" w:rsidR="0065131D" w:rsidRDefault="41028EAA" w:rsidP="3C0BAC93">
      <w:pPr>
        <w:spacing w:after="0"/>
        <w:ind w:left="284" w:right="247"/>
      </w:pPr>
      <w:r w:rsidRPr="3C0BAC93">
        <w:rPr>
          <w:rFonts w:ascii="Calibri" w:eastAsia="Calibri" w:hAnsi="Calibri" w:cs="Calibri"/>
        </w:rPr>
        <w:t>How it works: Converting one currency into another as a means to launder proceeds of crime, as well as reduce large volumes of cash obtained from serious crime.</w:t>
      </w:r>
    </w:p>
    <w:p w14:paraId="7F204FC3" w14:textId="3D2C857C" w:rsidR="0065131D" w:rsidRDefault="41028EAA" w:rsidP="3C0BAC93">
      <w:pPr>
        <w:spacing w:after="0"/>
        <w:ind w:left="284" w:right="247"/>
      </w:pPr>
      <w:r w:rsidRPr="3C0BAC93">
        <w:rPr>
          <w:rFonts w:ascii="Calibri" w:eastAsia="Calibri" w:hAnsi="Calibri" w:cs="Calibri"/>
        </w:rPr>
        <w:t>Possible indicators</w:t>
      </w:r>
    </w:p>
    <w:p w14:paraId="53AF8A99" w14:textId="58427B9F" w:rsidR="0065131D" w:rsidRDefault="41028EAA" w:rsidP="3C0BAC93">
      <w:pPr>
        <w:spacing w:after="0"/>
        <w:ind w:left="284" w:right="247"/>
      </w:pPr>
      <w:r w:rsidRPr="3C0BAC93">
        <w:rPr>
          <w:rFonts w:ascii="Calibri" w:eastAsia="Calibri" w:hAnsi="Calibri" w:cs="Calibri"/>
        </w:rPr>
        <w:t>o</w:t>
      </w:r>
      <w:r w:rsidR="005E0C3C">
        <w:tab/>
      </w:r>
      <w:r w:rsidRPr="3C0BAC93">
        <w:rPr>
          <w:rFonts w:ascii="Calibri" w:eastAsia="Calibri" w:hAnsi="Calibri" w:cs="Calibri"/>
        </w:rPr>
        <w:t>Significant and/or frequent local or foreign currency exchanges.</w:t>
      </w:r>
    </w:p>
    <w:p w14:paraId="35CDD16F" w14:textId="3E414F3D" w:rsidR="0065131D" w:rsidRDefault="41028EAA" w:rsidP="3C0BAC93">
      <w:pPr>
        <w:spacing w:after="0"/>
        <w:ind w:left="284" w:right="247"/>
      </w:pPr>
      <w:r w:rsidRPr="3C0BAC93">
        <w:rPr>
          <w:rFonts w:ascii="Calibri" w:eastAsia="Calibri" w:hAnsi="Calibri" w:cs="Calibri"/>
        </w:rPr>
        <w:t>o</w:t>
      </w:r>
      <w:r w:rsidR="005E0C3C">
        <w:tab/>
      </w:r>
      <w:r w:rsidRPr="3C0BAC93">
        <w:rPr>
          <w:rFonts w:ascii="Calibri" w:eastAsia="Calibri" w:hAnsi="Calibri" w:cs="Calibri"/>
        </w:rPr>
        <w:t>Opening of foreign currency accounts with no apparent business or economic purpose.</w:t>
      </w:r>
    </w:p>
    <w:p w14:paraId="4E05DC1C" w14:textId="79E794B2" w:rsidR="0065131D" w:rsidRDefault="41028EAA" w:rsidP="3C0BAC93">
      <w:pPr>
        <w:spacing w:after="0"/>
        <w:ind w:left="284" w:right="247"/>
      </w:pPr>
      <w:r w:rsidRPr="3C0BAC93">
        <w:rPr>
          <w:rFonts w:ascii="Calibri" w:eastAsia="Calibri" w:hAnsi="Calibri" w:cs="Calibri"/>
        </w:rPr>
        <w:t xml:space="preserve"> </w:t>
      </w:r>
    </w:p>
    <w:p w14:paraId="0EA8AE22" w14:textId="4CE4B6DC" w:rsidR="0065131D" w:rsidRDefault="41028EAA" w:rsidP="3C0BAC93">
      <w:pPr>
        <w:spacing w:after="0"/>
        <w:ind w:left="284" w:right="247"/>
      </w:pPr>
      <w:r w:rsidRPr="3C0BAC93">
        <w:rPr>
          <w:rFonts w:ascii="Calibri" w:eastAsia="Calibri" w:hAnsi="Calibri" w:cs="Calibri"/>
          <w:b/>
          <w:bCs/>
        </w:rPr>
        <w:t>Annex 3. Red Flag Indicators for the UAE Insurance Sector</w:t>
      </w:r>
    </w:p>
    <w:p w14:paraId="02097A21" w14:textId="5A607E10" w:rsidR="0065131D" w:rsidRDefault="41028EAA" w:rsidP="3C0BAC93">
      <w:pPr>
        <w:spacing w:after="0"/>
        <w:ind w:left="284" w:right="247"/>
      </w:pPr>
      <w:r w:rsidRPr="3C0BAC93">
        <w:rPr>
          <w:rFonts w:ascii="Calibri" w:eastAsia="Calibri" w:hAnsi="Calibri" w:cs="Calibri"/>
        </w:rPr>
        <w:t>The UAE Insurance Authority has issued the following list of red flag indicators when handling life and general insurance products. The indicators, as well as any future ones the UAE Insurance Authority may determine, are incorporated into an  UAE AML/CFT program with a view to update policies, procedures, detection scenarios, and red flag indicators for identifying potentially suspicious activity related to life and general insurance products.</w:t>
      </w:r>
    </w:p>
    <w:p w14:paraId="1BF2FA23" w14:textId="5879423A" w:rsidR="0065131D" w:rsidRDefault="41028EAA" w:rsidP="3C0BAC93">
      <w:pPr>
        <w:spacing w:after="0"/>
        <w:ind w:left="284" w:right="247"/>
      </w:pPr>
      <w:r w:rsidRPr="3C0BAC93">
        <w:rPr>
          <w:rFonts w:ascii="Calibri" w:eastAsia="Calibri" w:hAnsi="Calibri" w:cs="Calibri"/>
        </w:rPr>
        <w:t>1. The purchase of an insurance product does not reflect a customer’s known needs (e.g., purpose of the account).</w:t>
      </w:r>
    </w:p>
    <w:p w14:paraId="60FFCDFB" w14:textId="261FE902" w:rsidR="0065131D" w:rsidRDefault="41028EAA" w:rsidP="3C0BAC93">
      <w:pPr>
        <w:spacing w:after="0"/>
        <w:ind w:left="284" w:right="247"/>
      </w:pPr>
      <w:r w:rsidRPr="3C0BAC93">
        <w:rPr>
          <w:rFonts w:ascii="Calibri" w:eastAsia="Calibri" w:hAnsi="Calibri" w:cs="Calibri"/>
        </w:rPr>
        <w:t>2. The early surrender of an insurance product is taken at a cost to the customer.</w:t>
      </w:r>
    </w:p>
    <w:p w14:paraId="6DA4D16F" w14:textId="50C54AFB" w:rsidR="0065131D" w:rsidRDefault="41028EAA" w:rsidP="3C0BAC93">
      <w:pPr>
        <w:spacing w:after="0"/>
        <w:ind w:left="284" w:right="247"/>
      </w:pPr>
      <w:r w:rsidRPr="3C0BAC93">
        <w:rPr>
          <w:rFonts w:ascii="Calibri" w:eastAsia="Calibri" w:hAnsi="Calibri" w:cs="Calibri"/>
        </w:rPr>
        <w:t>3. The surrender of an insurance product is initiated with the refund directed to a third party.</w:t>
      </w:r>
    </w:p>
    <w:p w14:paraId="0CCA6841" w14:textId="36C18BD0" w:rsidR="0065131D" w:rsidRDefault="41028EAA" w:rsidP="3C0BAC93">
      <w:pPr>
        <w:spacing w:after="0"/>
        <w:ind w:left="284" w:right="247"/>
      </w:pPr>
      <w:r w:rsidRPr="3C0BAC93">
        <w:rPr>
          <w:rFonts w:ascii="Calibri" w:eastAsia="Calibri" w:hAnsi="Calibri" w:cs="Calibri"/>
        </w:rPr>
        <w:t>4. The customer exhibits no concern for the investment performance of a purchased insurance product and instead exhibits significant concern for its early surrender terms.</w:t>
      </w:r>
    </w:p>
    <w:p w14:paraId="1136BD02" w14:textId="4F59844D" w:rsidR="0065131D" w:rsidRDefault="41028EAA" w:rsidP="3C0BAC93">
      <w:pPr>
        <w:spacing w:after="0"/>
        <w:ind w:left="284" w:right="247"/>
      </w:pPr>
      <w:r w:rsidRPr="3C0BAC93">
        <w:rPr>
          <w:rFonts w:ascii="Calibri" w:eastAsia="Calibri" w:hAnsi="Calibri" w:cs="Calibri"/>
        </w:rPr>
        <w:t>5. The customer purchases insurance products using unusual payment methods, such as cash or cash equivalents, or with monetary instruments in structured amounts.</w:t>
      </w:r>
    </w:p>
    <w:p w14:paraId="291AEB3A" w14:textId="22F948B8" w:rsidR="0065131D" w:rsidRDefault="41028EAA" w:rsidP="3C0BAC93">
      <w:pPr>
        <w:spacing w:after="0"/>
        <w:ind w:left="284" w:right="247"/>
      </w:pPr>
      <w:r w:rsidRPr="3C0BAC93">
        <w:rPr>
          <w:rFonts w:ascii="Calibri" w:eastAsia="Calibri" w:hAnsi="Calibri" w:cs="Calibri"/>
        </w:rPr>
        <w:t>6. The customer demonstrates reluctance to provide identifying information when purchasing an insurance product.</w:t>
      </w:r>
    </w:p>
    <w:p w14:paraId="6C1F8D1F" w14:textId="135DB7EF" w:rsidR="0065131D" w:rsidRDefault="41028EAA" w:rsidP="3C0BAC93">
      <w:pPr>
        <w:spacing w:after="0"/>
        <w:ind w:left="284" w:right="247"/>
      </w:pPr>
      <w:r w:rsidRPr="3C0BAC93">
        <w:rPr>
          <w:rFonts w:ascii="Calibri" w:eastAsia="Calibri" w:hAnsi="Calibri" w:cs="Calibri"/>
        </w:rPr>
        <w:t>7. The customer borrows the maximum amount available from their insurance product shortly after purchase.</w:t>
      </w:r>
    </w:p>
    <w:p w14:paraId="7FED973B" w14:textId="0F9AFF05" w:rsidR="0065131D" w:rsidRDefault="41028EAA" w:rsidP="3C0BAC93">
      <w:pPr>
        <w:spacing w:after="0"/>
        <w:ind w:left="284" w:right="247"/>
      </w:pPr>
      <w:r w:rsidRPr="3C0BAC93">
        <w:rPr>
          <w:rFonts w:ascii="Calibri" w:eastAsia="Calibri" w:hAnsi="Calibri" w:cs="Calibri"/>
        </w:rPr>
        <w:t>8. The customer used to purchase low-premium insurance and pay premiums by making regular payments but suddenly purchases insurance that requires a large lump-sum premium payment, for which no reasonable explanations are provided.</w:t>
      </w:r>
    </w:p>
    <w:p w14:paraId="25F7F1D3" w14:textId="12EC01B4" w:rsidR="0065131D" w:rsidRDefault="41028EAA" w:rsidP="3C0BAC93">
      <w:pPr>
        <w:spacing w:after="0"/>
        <w:ind w:left="284" w:right="247"/>
      </w:pPr>
      <w:r w:rsidRPr="3C0BAC93">
        <w:rPr>
          <w:rFonts w:ascii="Calibri" w:eastAsia="Calibri" w:hAnsi="Calibri" w:cs="Calibri"/>
        </w:rPr>
        <w:lastRenderedPageBreak/>
        <w:t>9. The customer purchases an insurance product without concern for the coverage or benefits, or the customer only cares about the procedures for the policy loan, cancellation of insurance policy, or changing beneficiary when purchasing an insurance policy that has a high cash value or requires a high lump-sum premium payment.</w:t>
      </w:r>
    </w:p>
    <w:p w14:paraId="1BBE084E" w14:textId="0641F8A6" w:rsidR="0065131D" w:rsidRDefault="41028EAA" w:rsidP="3C0BAC93">
      <w:pPr>
        <w:spacing w:after="0"/>
        <w:ind w:left="284" w:right="247"/>
      </w:pPr>
      <w:r w:rsidRPr="3C0BAC93">
        <w:rPr>
          <w:rFonts w:ascii="Calibri" w:eastAsia="Calibri" w:hAnsi="Calibri" w:cs="Calibri"/>
        </w:rPr>
        <w:t>10.</w:t>
      </w:r>
      <w:r w:rsidR="005E0C3C">
        <w:tab/>
      </w:r>
      <w:r w:rsidRPr="3C0BAC93">
        <w:rPr>
          <w:rFonts w:ascii="Calibri" w:eastAsia="Calibri" w:hAnsi="Calibri" w:cs="Calibri"/>
        </w:rPr>
        <w:t>The customer usually pays a premium by making regular payments but suddenly requests to purchase a large-sum policy by paying off premium all at once.</w:t>
      </w:r>
    </w:p>
    <w:p w14:paraId="05752EC2" w14:textId="38275498" w:rsidR="0065131D" w:rsidRDefault="41028EAA" w:rsidP="3C0BAC93">
      <w:pPr>
        <w:spacing w:after="0"/>
        <w:ind w:left="284" w:right="247"/>
      </w:pPr>
      <w:r w:rsidRPr="3C0BAC93">
        <w:rPr>
          <w:rFonts w:ascii="Calibri" w:eastAsia="Calibri" w:hAnsi="Calibri" w:cs="Calibri"/>
        </w:rPr>
        <w:t>11.</w:t>
      </w:r>
      <w:r w:rsidR="005E0C3C">
        <w:tab/>
      </w:r>
      <w:r w:rsidRPr="3C0BAC93">
        <w:rPr>
          <w:rFonts w:ascii="Calibri" w:eastAsia="Calibri" w:hAnsi="Calibri" w:cs="Calibri"/>
        </w:rPr>
        <w:t>The customer purchases insurance products with high cash value successively over a short period of time, and the insurance products purchased do not appear to be commensurate with the customer’s status and income or are unrelated to the nature of the customer’s business.</w:t>
      </w:r>
    </w:p>
    <w:p w14:paraId="5652F9C2" w14:textId="6126D41E" w:rsidR="0065131D" w:rsidRDefault="41028EAA" w:rsidP="3C0BAC93">
      <w:pPr>
        <w:spacing w:after="0"/>
        <w:ind w:left="284" w:right="247"/>
      </w:pPr>
      <w:r w:rsidRPr="3C0BAC93">
        <w:rPr>
          <w:rFonts w:ascii="Calibri" w:eastAsia="Calibri" w:hAnsi="Calibri" w:cs="Calibri"/>
        </w:rPr>
        <w:t>12.</w:t>
      </w:r>
      <w:r w:rsidR="005E0C3C">
        <w:tab/>
      </w:r>
      <w:r w:rsidRPr="3C0BAC93">
        <w:rPr>
          <w:rFonts w:ascii="Calibri" w:eastAsia="Calibri" w:hAnsi="Calibri" w:cs="Calibri"/>
        </w:rPr>
        <w:t>The customer pays premiums in cash and in several payments marginally below the threshold for declaration but cannot reasonably explain the source of funds. In addition, the transactions do not appear to be commensurate with the customer’s status and income or are unrelated to the nature of the customer’s business.</w:t>
      </w:r>
    </w:p>
    <w:p w14:paraId="1A1A5C0A" w14:textId="5A08374C" w:rsidR="0065131D" w:rsidRDefault="41028EAA" w:rsidP="3C0BAC93">
      <w:pPr>
        <w:spacing w:after="0"/>
        <w:ind w:left="284" w:right="247"/>
      </w:pPr>
      <w:r w:rsidRPr="3C0BAC93">
        <w:rPr>
          <w:rFonts w:ascii="Calibri" w:eastAsia="Calibri" w:hAnsi="Calibri" w:cs="Calibri"/>
        </w:rPr>
        <w:t>13.</w:t>
      </w:r>
      <w:r w:rsidR="005E0C3C">
        <w:tab/>
      </w:r>
      <w:r w:rsidRPr="3C0BAC93">
        <w:rPr>
          <w:rFonts w:ascii="Calibri" w:eastAsia="Calibri" w:hAnsi="Calibri" w:cs="Calibri"/>
        </w:rPr>
        <w:t>The customer, after making a large premium payment for a policy purchased, applies for a large policy loan or cancels the policy in a short period of time, for which no reasonable explanations are provided.</w:t>
      </w:r>
    </w:p>
    <w:p w14:paraId="32C3915D" w14:textId="3C9F6A10" w:rsidR="0065131D" w:rsidRDefault="41028EAA" w:rsidP="3C0BAC93">
      <w:pPr>
        <w:spacing w:after="0"/>
        <w:ind w:left="284" w:right="247"/>
      </w:pPr>
      <w:r w:rsidRPr="3C0BAC93">
        <w:rPr>
          <w:rFonts w:ascii="Calibri" w:eastAsia="Calibri" w:hAnsi="Calibri" w:cs="Calibri"/>
        </w:rPr>
        <w:t>14.</w:t>
      </w:r>
      <w:r w:rsidR="005E0C3C">
        <w:tab/>
      </w:r>
      <w:r w:rsidRPr="3C0BAC93">
        <w:rPr>
          <w:rFonts w:ascii="Calibri" w:eastAsia="Calibri" w:hAnsi="Calibri" w:cs="Calibri"/>
        </w:rPr>
        <w:t>The customer is a policyholder of several motor vehicles which is inconsistent with their profile.</w:t>
      </w:r>
    </w:p>
    <w:p w14:paraId="45B90577" w14:textId="0F4C0505" w:rsidR="0065131D" w:rsidRDefault="41028EAA" w:rsidP="3C0BAC93">
      <w:pPr>
        <w:spacing w:after="0"/>
        <w:ind w:left="284" w:right="247"/>
      </w:pPr>
      <w:r w:rsidRPr="3C0BAC93">
        <w:rPr>
          <w:rFonts w:ascii="Calibri" w:eastAsia="Calibri" w:hAnsi="Calibri" w:cs="Calibri"/>
        </w:rPr>
        <w:t>15.</w:t>
      </w:r>
      <w:r w:rsidR="005E0C3C">
        <w:tab/>
      </w:r>
      <w:r w:rsidRPr="3C0BAC93">
        <w:rPr>
          <w:rFonts w:ascii="Calibri" w:eastAsia="Calibri" w:hAnsi="Calibri" w:cs="Calibri"/>
        </w:rPr>
        <w:t>The theft of a motor vehicle is not reported by the customer/policyholder.</w:t>
      </w:r>
    </w:p>
    <w:p w14:paraId="7503197D" w14:textId="4AA2B411" w:rsidR="0065131D" w:rsidRDefault="41028EAA" w:rsidP="3C0BAC93">
      <w:pPr>
        <w:spacing w:after="0"/>
        <w:ind w:left="284" w:right="247"/>
      </w:pPr>
      <w:r w:rsidRPr="3C0BAC93">
        <w:rPr>
          <w:rFonts w:ascii="Calibri" w:eastAsia="Calibri" w:hAnsi="Calibri" w:cs="Calibri"/>
        </w:rPr>
        <w:t>16.</w:t>
      </w:r>
      <w:r w:rsidR="005E0C3C">
        <w:tab/>
      </w:r>
      <w:r w:rsidRPr="3C0BAC93">
        <w:rPr>
          <w:rFonts w:ascii="Calibri" w:eastAsia="Calibri" w:hAnsi="Calibri" w:cs="Calibri"/>
        </w:rPr>
        <w:t>The customer attempts to insure a motor vehicle that was reported as stolen or as a total loss.</w:t>
      </w:r>
    </w:p>
    <w:p w14:paraId="7DECA996" w14:textId="25A4F70B" w:rsidR="0065131D" w:rsidRDefault="41028EAA" w:rsidP="3C0BAC93">
      <w:pPr>
        <w:spacing w:after="0"/>
        <w:ind w:left="284" w:right="247"/>
      </w:pPr>
      <w:r w:rsidRPr="3C0BAC93">
        <w:rPr>
          <w:rFonts w:ascii="Calibri" w:eastAsia="Calibri" w:hAnsi="Calibri" w:cs="Calibri"/>
        </w:rPr>
        <w:t xml:space="preserve"> </w:t>
      </w:r>
    </w:p>
    <w:p w14:paraId="360316E4" w14:textId="5A765D25" w:rsidR="0065131D" w:rsidRDefault="41028EAA" w:rsidP="3C0BAC93">
      <w:pPr>
        <w:spacing w:after="0"/>
        <w:ind w:left="284" w:right="247"/>
      </w:pPr>
      <w:r w:rsidRPr="3C0BAC93">
        <w:rPr>
          <w:rFonts w:ascii="Calibri" w:eastAsia="Calibri" w:hAnsi="Calibri" w:cs="Calibri"/>
          <w:b/>
          <w:bCs/>
        </w:rPr>
        <w:t>Annex 4. Overarching Rules and Principles for the goAML System</w:t>
      </w:r>
    </w:p>
    <w:p w14:paraId="2EDCA1E3" w14:textId="2F80134A" w:rsidR="0065131D" w:rsidRDefault="41028EAA" w:rsidP="3C0BAC93">
      <w:pPr>
        <w:spacing w:after="0"/>
        <w:ind w:left="284" w:right="247"/>
      </w:pPr>
      <w:r w:rsidRPr="3C0BAC93">
        <w:rPr>
          <w:rFonts w:ascii="Calibri" w:eastAsia="Calibri" w:hAnsi="Calibri" w:cs="Calibri"/>
        </w:rPr>
        <w:t>The FIU published the goAML XML Submission Guide (please see Section 3.4) with additional detail on the rules that an  UAE will consider when submitting an STR, SAR, or other report type in the goAML system:</w:t>
      </w:r>
    </w:p>
    <w:p w14:paraId="5B845FC7" w14:textId="6B79CA22"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 xml:space="preserve"> UAE will submit only suspicious transactions in a report. Any additional transactions can be submitted via an AIFT (upon request only).</w:t>
      </w:r>
    </w:p>
    <w:p w14:paraId="27C9E3C7" w14:textId="0B6DAB2F"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For AIFT submissions where the number of transactions exceed 10,000, reporting entities are advised to split them into more than one AIFT; however, the AIFT will use the same “Internal Reference Number”.</w:t>
      </w:r>
    </w:p>
    <w:p w14:paraId="0372FAC2" w14:textId="7B5344C9"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A deposit is composed of a bi-party transaction occurring from a person who may be a conductor to an account.</w:t>
      </w:r>
    </w:p>
    <w:p w14:paraId="6D3036EF" w14:textId="4D046CE0"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A withdrawal is composed of a bi-party transaction occurring from an account to a person.</w:t>
      </w:r>
    </w:p>
    <w:p w14:paraId="5970EABA" w14:textId="23FC16BA"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A remittance is composed of a bi-party transaction occurring from one person/account/entity to another.</w:t>
      </w:r>
    </w:p>
    <w:p w14:paraId="70D226CB" w14:textId="7C6BA7C8" w:rsidR="0065131D" w:rsidRDefault="41028EAA" w:rsidP="3C0BAC93">
      <w:pPr>
        <w:spacing w:after="0"/>
        <w:ind w:left="284" w:right="247"/>
      </w:pPr>
      <w:r w:rsidRPr="3C0BAC93">
        <w:rPr>
          <w:rFonts w:ascii="Calibri" w:eastAsia="Calibri" w:hAnsi="Calibri" w:cs="Calibri"/>
        </w:rPr>
        <w:lastRenderedPageBreak/>
        <w:t>•</w:t>
      </w:r>
      <w:r w:rsidR="005E0C3C">
        <w:tab/>
      </w:r>
      <w:r w:rsidRPr="3C0BAC93">
        <w:rPr>
          <w:rFonts w:ascii="Calibri" w:eastAsia="Calibri" w:hAnsi="Calibri" w:cs="Calibri"/>
        </w:rPr>
        <w:t>A wire transfer is composed of a bi-party transaction occurring from an account to another account.</w:t>
      </w:r>
    </w:p>
    <w:p w14:paraId="5456F560" w14:textId="3FEA2CDB"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In case a  UAE is acting as a correspondent bank within a reported transaction, then the transaction is occurring from one account to another, in which both accounts will be classified as ‘Not My Client’ by the  UAE/Compliance Officer/MLRO.</w:t>
      </w:r>
    </w:p>
    <w:p w14:paraId="2FD1671B" w14:textId="64E1FCB0"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The conductor field is mandatory when the transaction is conducted from an entity.</w:t>
      </w:r>
    </w:p>
    <w:p w14:paraId="2BD3BC99" w14:textId="65110A90"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If the date of birth for a subject (person) is unknown, then the user may enter the 1st of January 1900 in the ‘Birth Date’ field.</w:t>
      </w:r>
    </w:p>
    <w:p w14:paraId="293D4DB7" w14:textId="366A6A48"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In case the expiration date of a registered ID is unknown, then the user may enter the 31st of December 2100 in the ‘Expiry Date’ field.</w:t>
      </w:r>
    </w:p>
    <w:p w14:paraId="7D4BC847" w14:textId="1E37ECFA" w:rsidR="0065131D" w:rsidRDefault="41028EAA" w:rsidP="3C0BAC93">
      <w:pPr>
        <w:spacing w:after="0"/>
        <w:ind w:left="284" w:right="247"/>
      </w:pPr>
      <w:r w:rsidRPr="3C0BAC93">
        <w:rPr>
          <w:rFonts w:ascii="Calibri" w:eastAsia="Calibri" w:hAnsi="Calibri" w:cs="Calibri"/>
        </w:rPr>
        <w:t>•</w:t>
      </w:r>
      <w:r w:rsidR="005E0C3C">
        <w:tab/>
      </w:r>
      <w:r w:rsidRPr="3C0BAC93">
        <w:rPr>
          <w:rFonts w:ascii="Calibri" w:eastAsia="Calibri" w:hAnsi="Calibri" w:cs="Calibri"/>
        </w:rPr>
        <w:t>When reporting a transaction that involves an account, it is imperative that the  also provide details for the person or entity associated with the said account.</w:t>
      </w:r>
    </w:p>
    <w:p w14:paraId="2AC66003" w14:textId="7B1358B2" w:rsidR="0065131D" w:rsidRDefault="41028EAA" w:rsidP="3C0BAC93">
      <w:pPr>
        <w:spacing w:after="0"/>
        <w:ind w:left="284" w:right="247"/>
      </w:pPr>
      <w:r w:rsidRPr="3C0BAC93">
        <w:rPr>
          <w:rFonts w:ascii="Calibri" w:eastAsia="Calibri" w:hAnsi="Calibri" w:cs="Calibri"/>
        </w:rPr>
        <w:t xml:space="preserve"> </w:t>
      </w:r>
    </w:p>
    <w:p w14:paraId="2AA488E2" w14:textId="47695DBA" w:rsidR="0065131D" w:rsidRDefault="41028EAA" w:rsidP="3C0BAC93">
      <w:pPr>
        <w:spacing w:after="0"/>
        <w:ind w:left="284" w:right="247"/>
      </w:pPr>
      <w:r w:rsidRPr="3C0BAC93">
        <w:rPr>
          <w:rFonts w:ascii="Calibri" w:eastAsia="Calibri" w:hAnsi="Calibri" w:cs="Calibri"/>
        </w:rPr>
        <w:t xml:space="preserve"> </w:t>
      </w:r>
    </w:p>
    <w:p w14:paraId="744E267A" w14:textId="13E362E6" w:rsidR="0065131D" w:rsidRDefault="41028EAA" w:rsidP="3C0BAC93">
      <w:pPr>
        <w:spacing w:after="0"/>
        <w:ind w:left="284" w:right="247"/>
      </w:pPr>
      <w:r w:rsidRPr="3C0BAC93">
        <w:rPr>
          <w:rFonts w:ascii="Calibri" w:eastAsia="Calibri" w:hAnsi="Calibri" w:cs="Calibri"/>
        </w:rPr>
        <w:t xml:space="preserve"> </w:t>
      </w:r>
    </w:p>
    <w:p w14:paraId="1EF316E8" w14:textId="750FAE74" w:rsidR="0065131D" w:rsidRDefault="41028EAA" w:rsidP="3C0BAC93">
      <w:pPr>
        <w:spacing w:after="0"/>
        <w:ind w:left="284" w:right="247"/>
      </w:pPr>
      <w:r w:rsidRPr="3C0BAC93">
        <w:rPr>
          <w:rFonts w:ascii="Calibri" w:eastAsia="Calibri" w:hAnsi="Calibri" w:cs="Calibri"/>
        </w:rPr>
        <w:t xml:space="preserve"> </w:t>
      </w:r>
    </w:p>
    <w:p w14:paraId="23FB45B5" w14:textId="3766B3A1" w:rsidR="0065131D" w:rsidRDefault="41028EAA" w:rsidP="3C0BAC93">
      <w:pPr>
        <w:spacing w:after="0"/>
        <w:ind w:left="284" w:right="247"/>
      </w:pPr>
      <w:r w:rsidRPr="3C0BAC93">
        <w:rPr>
          <w:rFonts w:ascii="Calibri" w:eastAsia="Calibri" w:hAnsi="Calibri" w:cs="Calibri"/>
        </w:rPr>
        <w:t xml:space="preserve"> </w:t>
      </w:r>
    </w:p>
    <w:p w14:paraId="41FE1A60" w14:textId="1453CF4E" w:rsidR="0065131D" w:rsidRDefault="41028EAA" w:rsidP="3C0BAC93">
      <w:pPr>
        <w:spacing w:after="0"/>
        <w:ind w:left="284" w:right="247"/>
      </w:pPr>
      <w:r w:rsidRPr="3C0BAC93">
        <w:rPr>
          <w:rFonts w:ascii="Calibri" w:eastAsia="Calibri" w:hAnsi="Calibri" w:cs="Calibri"/>
        </w:rPr>
        <w:t xml:space="preserve"> </w:t>
      </w:r>
    </w:p>
    <w:p w14:paraId="4A7A9438" w14:textId="46EA5D79" w:rsidR="0065131D" w:rsidRDefault="41028EAA" w:rsidP="3C0BAC93">
      <w:pPr>
        <w:spacing w:after="0"/>
        <w:ind w:left="284" w:right="247"/>
      </w:pPr>
      <w:r w:rsidRPr="3C0BAC93">
        <w:rPr>
          <w:rFonts w:ascii="Calibri" w:eastAsia="Calibri" w:hAnsi="Calibri" w:cs="Calibri"/>
        </w:rPr>
        <w:t xml:space="preserve"> </w:t>
      </w:r>
    </w:p>
    <w:p w14:paraId="75063269" w14:textId="0FD17E77" w:rsidR="0065131D" w:rsidRDefault="41028EAA" w:rsidP="3C0BAC93">
      <w:pPr>
        <w:spacing w:after="0"/>
        <w:ind w:left="284" w:right="247"/>
      </w:pPr>
      <w:r w:rsidRPr="3C0BAC93">
        <w:rPr>
          <w:rFonts w:ascii="Calibri" w:eastAsia="Calibri" w:hAnsi="Calibri" w:cs="Calibri"/>
        </w:rPr>
        <w:t xml:space="preserve"> </w:t>
      </w:r>
    </w:p>
    <w:p w14:paraId="33B3C9D8" w14:textId="12570D9D" w:rsidR="0065131D" w:rsidRDefault="41028EAA" w:rsidP="3C0BAC93">
      <w:pPr>
        <w:spacing w:after="0"/>
        <w:ind w:left="284" w:right="247"/>
      </w:pPr>
      <w:r w:rsidRPr="3C0BAC93">
        <w:rPr>
          <w:rFonts w:ascii="Calibri" w:eastAsia="Calibri" w:hAnsi="Calibri" w:cs="Calibri"/>
        </w:rPr>
        <w:t xml:space="preserve"> </w:t>
      </w:r>
    </w:p>
    <w:p w14:paraId="0974B070" w14:textId="3E15D6C4" w:rsidR="0065131D" w:rsidRDefault="41028EAA" w:rsidP="3C0BAC93">
      <w:pPr>
        <w:spacing w:after="0"/>
        <w:ind w:left="284" w:right="247"/>
      </w:pPr>
      <w:r w:rsidRPr="3C0BAC93">
        <w:rPr>
          <w:rFonts w:ascii="Calibri" w:eastAsia="Calibri" w:hAnsi="Calibri" w:cs="Calibri"/>
        </w:rPr>
        <w:t xml:space="preserve"> </w:t>
      </w:r>
    </w:p>
    <w:p w14:paraId="51B34CC4" w14:textId="376F5FFF" w:rsidR="0065131D" w:rsidRDefault="41028EAA" w:rsidP="3C0BAC93">
      <w:pPr>
        <w:spacing w:after="0"/>
        <w:ind w:left="284" w:right="247"/>
      </w:pPr>
      <w:r w:rsidRPr="3C0BAC93">
        <w:rPr>
          <w:rFonts w:ascii="Calibri" w:eastAsia="Calibri" w:hAnsi="Calibri" w:cs="Calibri"/>
        </w:rPr>
        <w:t xml:space="preserve"> </w:t>
      </w:r>
    </w:p>
    <w:p w14:paraId="6604525E" w14:textId="7CE45FF6" w:rsidR="0065131D" w:rsidRDefault="41028EAA" w:rsidP="3C0BAC93">
      <w:pPr>
        <w:spacing w:after="0"/>
        <w:ind w:left="284" w:right="247"/>
      </w:pPr>
      <w:r w:rsidRPr="3C0BAC93">
        <w:rPr>
          <w:rFonts w:ascii="Calibri" w:eastAsia="Calibri" w:hAnsi="Calibri" w:cs="Calibri"/>
        </w:rPr>
        <w:t xml:space="preserve"> </w:t>
      </w:r>
    </w:p>
    <w:p w14:paraId="7DEC7DD7" w14:textId="0E7C9DC3" w:rsidR="0065131D" w:rsidRDefault="41028EAA" w:rsidP="3C0BAC93">
      <w:pPr>
        <w:spacing w:after="0"/>
        <w:ind w:left="284" w:right="247"/>
      </w:pPr>
      <w:r w:rsidRPr="3C0BAC93">
        <w:rPr>
          <w:rFonts w:ascii="Calibri" w:eastAsia="Calibri" w:hAnsi="Calibri" w:cs="Calibri"/>
          <w:b/>
          <w:bCs/>
        </w:rPr>
        <w:t>Annex 5. Synopsis of the Guidance</w:t>
      </w:r>
    </w:p>
    <w:p w14:paraId="4D3EC5AE" w14:textId="070CCFA5" w:rsidR="0065131D" w:rsidRDefault="41028EAA" w:rsidP="3C0BAC93">
      <w:pPr>
        <w:spacing w:after="0"/>
        <w:ind w:left="284" w:right="247"/>
      </w:pPr>
      <w:r w:rsidRPr="3C0BAC93">
        <w:rPr>
          <w:rFonts w:ascii="Calibri" w:eastAsia="Calibri" w:hAnsi="Calibri" w:cs="Calibri"/>
        </w:rPr>
        <w:t xml:space="preserve"> </w:t>
      </w:r>
    </w:p>
    <w:tbl>
      <w:tblPr>
        <w:tblW w:w="0" w:type="auto"/>
        <w:tblInd w:w="-435" w:type="dxa"/>
        <w:tblLook w:val="01E0" w:firstRow="1" w:lastRow="1" w:firstColumn="1" w:lastColumn="1" w:noHBand="0" w:noVBand="0"/>
      </w:tblPr>
      <w:tblGrid>
        <w:gridCol w:w="1344"/>
        <w:gridCol w:w="1152"/>
        <w:gridCol w:w="7279"/>
      </w:tblGrid>
      <w:tr w:rsidR="3C0BAC93" w14:paraId="619A9CEB" w14:textId="77777777" w:rsidTr="3C0BAC93">
        <w:trPr>
          <w:trHeight w:val="435"/>
        </w:trPr>
        <w:tc>
          <w:tcPr>
            <w:tcW w:w="127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0000"/>
          </w:tcPr>
          <w:p w14:paraId="287F1C58" w14:textId="26BFF943" w:rsidR="3C0BAC93" w:rsidRDefault="3C0BAC93" w:rsidP="3C0BAC93">
            <w:pPr>
              <w:spacing w:after="0"/>
            </w:pPr>
            <w:r w:rsidRPr="3C0BAC93">
              <w:rPr>
                <w:rFonts w:ascii="Arial" w:eastAsia="Arial" w:hAnsi="Arial" w:cs="Arial"/>
                <w:b/>
                <w:bCs/>
                <w:sz w:val="16"/>
                <w:szCs w:val="16"/>
              </w:rPr>
              <w:t xml:space="preserve"> </w:t>
            </w:r>
          </w:p>
          <w:p w14:paraId="604F6F31" w14:textId="2652D8E2" w:rsidR="3C0BAC93" w:rsidRDefault="3C0BAC93" w:rsidP="3C0BAC93">
            <w:pPr>
              <w:spacing w:after="0"/>
            </w:pPr>
            <w:r w:rsidRPr="3C0BAC93">
              <w:rPr>
                <w:rFonts w:ascii="Arial" w:eastAsia="Arial" w:hAnsi="Arial" w:cs="Arial"/>
                <w:b/>
                <w:bCs/>
                <w:sz w:val="16"/>
                <w:szCs w:val="16"/>
              </w:rPr>
              <w:t xml:space="preserve"> </w:t>
            </w:r>
          </w:p>
          <w:p w14:paraId="695930FF" w14:textId="128DD1B7" w:rsidR="3C0BAC93" w:rsidRDefault="3C0BAC93" w:rsidP="3C0BAC93">
            <w:pPr>
              <w:spacing w:after="0"/>
            </w:pPr>
            <w:r w:rsidRPr="3C0BAC93">
              <w:rPr>
                <w:rFonts w:ascii="Arial" w:eastAsia="Arial" w:hAnsi="Arial" w:cs="Arial"/>
                <w:b/>
                <w:bCs/>
                <w:sz w:val="16"/>
                <w:szCs w:val="16"/>
              </w:rPr>
              <w:t xml:space="preserve"> </w:t>
            </w:r>
          </w:p>
          <w:p w14:paraId="0DC98F80" w14:textId="59E1EDE8" w:rsidR="3C0BAC93" w:rsidRDefault="3C0BAC93" w:rsidP="3C0BAC93">
            <w:pPr>
              <w:spacing w:after="0"/>
            </w:pPr>
            <w:r w:rsidRPr="3C0BAC93">
              <w:rPr>
                <w:rFonts w:ascii="Arial" w:eastAsia="Arial" w:hAnsi="Arial" w:cs="Arial"/>
                <w:b/>
                <w:bCs/>
                <w:sz w:val="16"/>
                <w:szCs w:val="16"/>
              </w:rPr>
              <w:t xml:space="preserve"> </w:t>
            </w:r>
          </w:p>
          <w:p w14:paraId="01B3FE9A" w14:textId="7A31E0AE" w:rsidR="3C0BAC93" w:rsidRDefault="3C0BAC93" w:rsidP="3C0BAC93">
            <w:pPr>
              <w:spacing w:before="3" w:after="0"/>
            </w:pPr>
            <w:r w:rsidRPr="3C0BAC93">
              <w:rPr>
                <w:rFonts w:ascii="Arial" w:eastAsia="Arial" w:hAnsi="Arial" w:cs="Arial"/>
                <w:b/>
                <w:bCs/>
                <w:sz w:val="16"/>
                <w:szCs w:val="16"/>
              </w:rPr>
              <w:t xml:space="preserve"> </w:t>
            </w:r>
          </w:p>
          <w:p w14:paraId="371E5C49" w14:textId="0B5AD607" w:rsidR="3C0BAC93" w:rsidRDefault="3C0BAC93" w:rsidP="3C0BAC93">
            <w:pPr>
              <w:spacing w:after="0"/>
              <w:ind w:left="4"/>
            </w:pPr>
            <w:r w:rsidRPr="3C0BAC93">
              <w:rPr>
                <w:rFonts w:ascii="Arial" w:eastAsia="Arial" w:hAnsi="Arial" w:cs="Arial"/>
                <w:b/>
                <w:bCs/>
                <w:color w:val="FFFFFF" w:themeColor="background1"/>
                <w:sz w:val="16"/>
                <w:szCs w:val="16"/>
              </w:rPr>
              <w:t>Introduction</w:t>
            </w:r>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FB3"/>
          </w:tcPr>
          <w:p w14:paraId="2F854242" w14:textId="1A2E4DA5" w:rsidR="3C0BAC93" w:rsidRDefault="3C0BAC93" w:rsidP="3C0BAC93">
            <w:pPr>
              <w:spacing w:before="168" w:after="0"/>
              <w:ind w:left="4"/>
            </w:pPr>
            <w:r w:rsidRPr="3C0BAC93">
              <w:rPr>
                <w:rFonts w:ascii="Arial" w:eastAsia="Arial" w:hAnsi="Arial" w:cs="Arial"/>
                <w:sz w:val="16"/>
                <w:szCs w:val="16"/>
              </w:rPr>
              <w:t>Purpose</w:t>
            </w:r>
          </w:p>
        </w:tc>
        <w:tc>
          <w:tcPr>
            <w:tcW w:w="8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1BAEF961" w14:textId="61595DF9" w:rsidR="3C0BAC93" w:rsidRDefault="3C0BAC93" w:rsidP="3C0BAC93">
            <w:pPr>
              <w:spacing w:before="64" w:after="0" w:line="247" w:lineRule="auto"/>
              <w:ind w:left="4"/>
            </w:pPr>
            <w:r w:rsidRPr="3C0BAC93">
              <w:rPr>
                <w:rFonts w:ascii="Arial" w:eastAsia="Arial" w:hAnsi="Arial" w:cs="Arial"/>
                <w:sz w:val="16"/>
                <w:szCs w:val="16"/>
              </w:rPr>
              <w:t>The purpose of the process is to assist the understanding and effective performance by  UAE of their statutory obligations under the legal and regulatory framework in force in the UAE.</w:t>
            </w:r>
          </w:p>
        </w:tc>
      </w:tr>
      <w:tr w:rsidR="3C0BAC93" w14:paraId="1B4AE9FC" w14:textId="77777777" w:rsidTr="3C0BAC93">
        <w:trPr>
          <w:trHeight w:val="285"/>
        </w:trPr>
        <w:tc>
          <w:tcPr>
            <w:tcW w:w="1275" w:type="dxa"/>
            <w:vMerge/>
            <w:tcBorders>
              <w:left w:val="single" w:sz="0" w:space="0" w:color="000000" w:themeColor="text1"/>
              <w:right w:val="single" w:sz="0" w:space="0" w:color="000000" w:themeColor="text1"/>
            </w:tcBorders>
            <w:vAlign w:val="center"/>
          </w:tcPr>
          <w:p w14:paraId="2321DE5E" w14:textId="77777777" w:rsidR="0065131D" w:rsidRDefault="0065131D"/>
        </w:tc>
        <w:tc>
          <w:tcPr>
            <w:tcW w:w="795" w:type="dxa"/>
            <w:tcBorders>
              <w:top w:val="single" w:sz="8" w:space="0" w:color="000000" w:themeColor="text1"/>
              <w:left w:val="nil"/>
              <w:bottom w:val="single" w:sz="8" w:space="0" w:color="000000" w:themeColor="text1"/>
              <w:right w:val="single" w:sz="8" w:space="0" w:color="000000" w:themeColor="text1"/>
            </w:tcBorders>
            <w:shd w:val="clear" w:color="auto" w:fill="C6DFB3"/>
          </w:tcPr>
          <w:p w14:paraId="7972AFCB" w14:textId="3627C6EA" w:rsidR="3C0BAC93" w:rsidRDefault="3C0BAC93" w:rsidP="3C0BAC93">
            <w:pPr>
              <w:spacing w:before="4" w:after="0"/>
            </w:pPr>
            <w:r w:rsidRPr="3C0BAC93">
              <w:rPr>
                <w:rFonts w:ascii="Arial" w:eastAsia="Arial" w:hAnsi="Arial" w:cs="Arial"/>
                <w:b/>
                <w:bCs/>
                <w:sz w:val="16"/>
                <w:szCs w:val="16"/>
              </w:rPr>
              <w:t xml:space="preserve"> </w:t>
            </w:r>
          </w:p>
          <w:p w14:paraId="1B58C56F" w14:textId="1A140CD0" w:rsidR="3C0BAC93" w:rsidRDefault="3C0BAC93" w:rsidP="3C0BAC93">
            <w:pPr>
              <w:spacing w:after="0"/>
              <w:ind w:left="4"/>
            </w:pPr>
            <w:r w:rsidRPr="3C0BAC93">
              <w:rPr>
                <w:rFonts w:ascii="Arial" w:eastAsia="Arial" w:hAnsi="Arial" w:cs="Arial"/>
                <w:sz w:val="16"/>
                <w:szCs w:val="16"/>
              </w:rPr>
              <w:t>Applicability</w:t>
            </w:r>
          </w:p>
        </w:tc>
        <w:tc>
          <w:tcPr>
            <w:tcW w:w="8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30F8236C" w14:textId="554D5EA3" w:rsidR="3C0BAC93" w:rsidRDefault="3C0BAC93" w:rsidP="3C0BAC93">
            <w:pPr>
              <w:spacing w:before="67" w:after="0" w:line="245" w:lineRule="auto"/>
              <w:ind w:left="4"/>
            </w:pPr>
            <w:r w:rsidRPr="3C0BAC93">
              <w:rPr>
                <w:rFonts w:ascii="Arial" w:eastAsia="Arial" w:hAnsi="Arial" w:cs="Arial"/>
                <w:sz w:val="16"/>
                <w:szCs w:val="16"/>
              </w:rPr>
              <w:t>This guidance applies to all branches of  UAE, which are licensed and/or supervised by CBUAE/DFSA.</w:t>
            </w:r>
          </w:p>
        </w:tc>
      </w:tr>
      <w:tr w:rsidR="3C0BAC93" w14:paraId="59963246" w14:textId="77777777" w:rsidTr="3C0BAC93">
        <w:trPr>
          <w:trHeight w:val="1155"/>
        </w:trPr>
        <w:tc>
          <w:tcPr>
            <w:tcW w:w="1275" w:type="dxa"/>
            <w:vMerge/>
            <w:tcBorders>
              <w:left w:val="single" w:sz="0" w:space="0" w:color="000000" w:themeColor="text1"/>
              <w:bottom w:val="single" w:sz="0" w:space="0" w:color="000000" w:themeColor="text1"/>
              <w:right w:val="single" w:sz="0" w:space="0" w:color="000000" w:themeColor="text1"/>
            </w:tcBorders>
            <w:vAlign w:val="center"/>
          </w:tcPr>
          <w:p w14:paraId="07FE1CC7" w14:textId="77777777" w:rsidR="0065131D" w:rsidRDefault="0065131D"/>
        </w:tc>
        <w:tc>
          <w:tcPr>
            <w:tcW w:w="795" w:type="dxa"/>
            <w:tcBorders>
              <w:top w:val="single" w:sz="8" w:space="0" w:color="000000" w:themeColor="text1"/>
              <w:left w:val="nil"/>
              <w:bottom w:val="single" w:sz="8" w:space="0" w:color="000000" w:themeColor="text1"/>
              <w:right w:val="single" w:sz="8" w:space="0" w:color="000000" w:themeColor="text1"/>
            </w:tcBorders>
            <w:shd w:val="clear" w:color="auto" w:fill="C6DFB3"/>
          </w:tcPr>
          <w:p w14:paraId="4E42BDAF" w14:textId="54C5C62B" w:rsidR="3C0BAC93" w:rsidRDefault="3C0BAC93" w:rsidP="3C0BAC93">
            <w:pPr>
              <w:spacing w:after="0"/>
            </w:pPr>
            <w:r w:rsidRPr="3C0BAC93">
              <w:rPr>
                <w:rFonts w:ascii="Arial" w:eastAsia="Arial" w:hAnsi="Arial" w:cs="Arial"/>
                <w:b/>
                <w:bCs/>
                <w:sz w:val="16"/>
                <w:szCs w:val="16"/>
              </w:rPr>
              <w:t xml:space="preserve"> </w:t>
            </w:r>
          </w:p>
          <w:p w14:paraId="4ECD01E0" w14:textId="7BCDCF49" w:rsidR="3C0BAC93" w:rsidRDefault="3C0BAC93" w:rsidP="3C0BAC93">
            <w:pPr>
              <w:spacing w:after="0"/>
            </w:pPr>
            <w:r w:rsidRPr="3C0BAC93">
              <w:rPr>
                <w:rFonts w:ascii="Arial" w:eastAsia="Arial" w:hAnsi="Arial" w:cs="Arial"/>
                <w:b/>
                <w:bCs/>
                <w:sz w:val="16"/>
                <w:szCs w:val="16"/>
              </w:rPr>
              <w:t xml:space="preserve"> </w:t>
            </w:r>
          </w:p>
          <w:p w14:paraId="49595C4E" w14:textId="4DC42679" w:rsidR="3C0BAC93" w:rsidRDefault="3C0BAC93" w:rsidP="3C0BAC93">
            <w:pPr>
              <w:spacing w:before="147" w:after="0"/>
              <w:ind w:left="4"/>
            </w:pPr>
            <w:r w:rsidRPr="3C0BAC93">
              <w:rPr>
                <w:rFonts w:ascii="Arial" w:eastAsia="Arial" w:hAnsi="Arial" w:cs="Arial"/>
                <w:sz w:val="16"/>
                <w:szCs w:val="16"/>
              </w:rPr>
              <w:t>Legal Basis</w:t>
            </w:r>
          </w:p>
        </w:tc>
        <w:tc>
          <w:tcPr>
            <w:tcW w:w="8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4A774662" w14:textId="3898229E" w:rsidR="3C0BAC93" w:rsidRDefault="3C0BAC93" w:rsidP="3C0BAC93">
            <w:pPr>
              <w:spacing w:before="2" w:after="0" w:line="245" w:lineRule="auto"/>
              <w:ind w:left="4"/>
            </w:pPr>
            <w:r w:rsidRPr="3C0BAC93">
              <w:rPr>
                <w:rFonts w:ascii="Arial" w:eastAsia="Arial" w:hAnsi="Arial" w:cs="Arial"/>
                <w:sz w:val="16"/>
                <w:szCs w:val="16"/>
              </w:rPr>
              <w:t xml:space="preserve">The legal basis of STR reporting is based on the (i) Federal Decree-Law No. (20) of 2018 on Anti-Money Laundering (AML) and Combatting the </w:t>
            </w:r>
          </w:p>
          <w:p w14:paraId="77A79A54" w14:textId="46861D88" w:rsidR="3C0BAC93" w:rsidRDefault="3C0BAC93" w:rsidP="3C0BAC93">
            <w:pPr>
              <w:spacing w:before="2" w:after="0" w:line="245" w:lineRule="auto"/>
              <w:ind w:left="4"/>
            </w:pPr>
            <w:r w:rsidRPr="3C0BAC93">
              <w:rPr>
                <w:rFonts w:ascii="Arial" w:eastAsia="Arial" w:hAnsi="Arial" w:cs="Arial"/>
                <w:sz w:val="16"/>
                <w:szCs w:val="16"/>
              </w:rPr>
              <w:t>Financing of Terrorism (CFT) and Financing Illegal Organizations and Federal Decree law No. (26) of 2021 To amend certain provisions of Federal Decree-law No. (20) of 2018, on anti-money laundering and combating the financing of terrorism and financing of illegal organizations; (ii) Cabinet Decision No. (10) of 2019 Concerning the Implementing Regulation for Decree-Law No. (20) of 2018 on AML and CFT and Financing of Illegal Organizations; and (iii) Cabinet Decision No. (74) of 2020 Regarding Terrorism Lists Regulation and Implementation of UN Security Council Resolutions on the Suppression and Combating of Terrorism, Terrorist Financing, Countering the Proliferation of Weapons of Mass Destruction and its Financing and Relevant Resolution. The legal basis addresses (i) the consequences for failure to disclose suspicious activity, (ii) protection for individuals disclosing suspicious activity, and (iii) the meaning of suspicious transactions.</w:t>
            </w:r>
          </w:p>
        </w:tc>
      </w:tr>
      <w:tr w:rsidR="3C0BAC93" w14:paraId="4E63FE19" w14:textId="77777777" w:rsidTr="3C0BAC93">
        <w:trPr>
          <w:trHeight w:val="750"/>
        </w:trPr>
        <w:tc>
          <w:tcPr>
            <w:tcW w:w="1275" w:type="dxa"/>
            <w:vMerge w:val="restart"/>
            <w:tcBorders>
              <w:top w:val="nil"/>
              <w:left w:val="single" w:sz="4" w:space="0" w:color="000000" w:themeColor="text1"/>
              <w:bottom w:val="single" w:sz="4" w:space="0" w:color="000000" w:themeColor="text1"/>
              <w:right w:val="single" w:sz="4" w:space="0" w:color="000000" w:themeColor="text1"/>
            </w:tcBorders>
            <w:shd w:val="clear" w:color="auto" w:fill="BF0000"/>
          </w:tcPr>
          <w:p w14:paraId="5584B7C0" w14:textId="65EA70B6" w:rsidR="3C0BAC93" w:rsidRDefault="3C0BAC93" w:rsidP="3C0BAC93">
            <w:pPr>
              <w:spacing w:after="0"/>
            </w:pPr>
            <w:r w:rsidRPr="3C0BAC93">
              <w:rPr>
                <w:rFonts w:ascii="Arial" w:eastAsia="Arial" w:hAnsi="Arial" w:cs="Arial"/>
                <w:b/>
                <w:bCs/>
                <w:sz w:val="16"/>
                <w:szCs w:val="16"/>
              </w:rPr>
              <w:lastRenderedPageBreak/>
              <w:t xml:space="preserve"> </w:t>
            </w:r>
          </w:p>
          <w:p w14:paraId="5819A43A" w14:textId="6C892622" w:rsidR="3C0BAC93" w:rsidRDefault="3C0BAC93" w:rsidP="3C0BAC93">
            <w:pPr>
              <w:spacing w:after="0"/>
            </w:pPr>
            <w:r w:rsidRPr="3C0BAC93">
              <w:rPr>
                <w:rFonts w:ascii="Arial" w:eastAsia="Arial" w:hAnsi="Arial" w:cs="Arial"/>
                <w:b/>
                <w:bCs/>
                <w:sz w:val="16"/>
                <w:szCs w:val="16"/>
              </w:rPr>
              <w:t xml:space="preserve"> </w:t>
            </w:r>
          </w:p>
          <w:p w14:paraId="4C369715" w14:textId="4333A153" w:rsidR="3C0BAC93" w:rsidRDefault="3C0BAC93" w:rsidP="3C0BAC93">
            <w:pPr>
              <w:spacing w:after="0"/>
            </w:pPr>
            <w:r w:rsidRPr="3C0BAC93">
              <w:rPr>
                <w:rFonts w:ascii="Arial" w:eastAsia="Arial" w:hAnsi="Arial" w:cs="Arial"/>
                <w:b/>
                <w:bCs/>
                <w:sz w:val="16"/>
                <w:szCs w:val="16"/>
              </w:rPr>
              <w:t xml:space="preserve"> </w:t>
            </w:r>
          </w:p>
          <w:p w14:paraId="0B69A626" w14:textId="1D87F620" w:rsidR="3C0BAC93" w:rsidRDefault="3C0BAC93" w:rsidP="3C0BAC93">
            <w:pPr>
              <w:spacing w:after="0"/>
            </w:pPr>
            <w:r w:rsidRPr="3C0BAC93">
              <w:rPr>
                <w:rFonts w:ascii="Arial" w:eastAsia="Arial" w:hAnsi="Arial" w:cs="Arial"/>
                <w:b/>
                <w:bCs/>
                <w:sz w:val="16"/>
                <w:szCs w:val="16"/>
              </w:rPr>
              <w:t xml:space="preserve"> </w:t>
            </w:r>
          </w:p>
          <w:p w14:paraId="3F7CB3B1" w14:textId="6C86711E" w:rsidR="3C0BAC93" w:rsidRDefault="3C0BAC93" w:rsidP="3C0BAC93">
            <w:pPr>
              <w:spacing w:after="0"/>
            </w:pPr>
            <w:r w:rsidRPr="3C0BAC93">
              <w:rPr>
                <w:rFonts w:ascii="Arial" w:eastAsia="Arial" w:hAnsi="Arial" w:cs="Arial"/>
                <w:b/>
                <w:bCs/>
                <w:sz w:val="16"/>
                <w:szCs w:val="16"/>
              </w:rPr>
              <w:t xml:space="preserve"> </w:t>
            </w:r>
          </w:p>
          <w:p w14:paraId="60188F39" w14:textId="766E3476" w:rsidR="3C0BAC93" w:rsidRDefault="3C0BAC93" w:rsidP="3C0BAC93">
            <w:pPr>
              <w:spacing w:after="0"/>
            </w:pPr>
            <w:r w:rsidRPr="3C0BAC93">
              <w:rPr>
                <w:rFonts w:ascii="Arial" w:eastAsia="Arial" w:hAnsi="Arial" w:cs="Arial"/>
                <w:b/>
                <w:bCs/>
                <w:sz w:val="16"/>
                <w:szCs w:val="16"/>
              </w:rPr>
              <w:t xml:space="preserve"> </w:t>
            </w:r>
          </w:p>
          <w:p w14:paraId="0C7070F6" w14:textId="2CFC006A" w:rsidR="3C0BAC93" w:rsidRDefault="3C0BAC93" w:rsidP="3C0BAC93">
            <w:pPr>
              <w:spacing w:after="0"/>
            </w:pPr>
            <w:r w:rsidRPr="3C0BAC93">
              <w:rPr>
                <w:rFonts w:ascii="Arial" w:eastAsia="Arial" w:hAnsi="Arial" w:cs="Arial"/>
                <w:b/>
                <w:bCs/>
                <w:sz w:val="16"/>
                <w:szCs w:val="16"/>
              </w:rPr>
              <w:t xml:space="preserve"> </w:t>
            </w:r>
          </w:p>
          <w:p w14:paraId="72389A82" w14:textId="47E7BE5C" w:rsidR="3C0BAC93" w:rsidRDefault="3C0BAC93" w:rsidP="3C0BAC93">
            <w:pPr>
              <w:spacing w:after="0"/>
            </w:pPr>
            <w:r w:rsidRPr="3C0BAC93">
              <w:rPr>
                <w:rFonts w:ascii="Arial" w:eastAsia="Arial" w:hAnsi="Arial" w:cs="Arial"/>
                <w:b/>
                <w:bCs/>
                <w:sz w:val="16"/>
                <w:szCs w:val="16"/>
              </w:rPr>
              <w:t xml:space="preserve"> </w:t>
            </w:r>
          </w:p>
          <w:p w14:paraId="0C8E4816" w14:textId="0E5E542D" w:rsidR="3C0BAC93" w:rsidRDefault="3C0BAC93" w:rsidP="3C0BAC93">
            <w:pPr>
              <w:spacing w:before="9" w:after="0"/>
            </w:pPr>
            <w:r w:rsidRPr="3C0BAC93">
              <w:rPr>
                <w:rFonts w:ascii="Arial" w:eastAsia="Arial" w:hAnsi="Arial" w:cs="Arial"/>
                <w:b/>
                <w:bCs/>
                <w:sz w:val="16"/>
                <w:szCs w:val="16"/>
              </w:rPr>
              <w:t xml:space="preserve"> </w:t>
            </w:r>
          </w:p>
          <w:p w14:paraId="7E3E9F05" w14:textId="78E22BF5" w:rsidR="3C0BAC93" w:rsidRDefault="3C0BAC93" w:rsidP="3C0BAC93">
            <w:pPr>
              <w:spacing w:before="1" w:after="0" w:line="245" w:lineRule="auto"/>
              <w:ind w:left="4" w:right="128"/>
            </w:pPr>
            <w:r w:rsidRPr="3C0BAC93">
              <w:rPr>
                <w:rFonts w:ascii="Arial" w:eastAsia="Arial" w:hAnsi="Arial" w:cs="Arial"/>
                <w:b/>
                <w:bCs/>
                <w:color w:val="FFFFFF" w:themeColor="background1"/>
                <w:sz w:val="16"/>
                <w:szCs w:val="16"/>
              </w:rPr>
              <w:t>Identification of Suspicious Transactions</w:t>
            </w:r>
          </w:p>
        </w:tc>
        <w:tc>
          <w:tcPr>
            <w:tcW w:w="795" w:type="dxa"/>
            <w:tcBorders>
              <w:top w:val="single" w:sz="8" w:space="0" w:color="000000" w:themeColor="text1"/>
              <w:left w:val="single" w:sz="4" w:space="0" w:color="000000" w:themeColor="text1"/>
              <w:bottom w:val="single" w:sz="8" w:space="0" w:color="000000" w:themeColor="text1"/>
              <w:right w:val="single" w:sz="8" w:space="0" w:color="000000" w:themeColor="text1"/>
            </w:tcBorders>
            <w:shd w:val="clear" w:color="auto" w:fill="BCD6ED"/>
          </w:tcPr>
          <w:p w14:paraId="0C3C6BF0" w14:textId="4D44E513" w:rsidR="3C0BAC93" w:rsidRDefault="3C0BAC93" w:rsidP="3C0BAC93">
            <w:pPr>
              <w:spacing w:before="7" w:after="0"/>
            </w:pPr>
            <w:r w:rsidRPr="3C0BAC93">
              <w:rPr>
                <w:rFonts w:ascii="Arial" w:eastAsia="Arial" w:hAnsi="Arial" w:cs="Arial"/>
                <w:b/>
                <w:bCs/>
                <w:sz w:val="16"/>
                <w:szCs w:val="16"/>
              </w:rPr>
              <w:t xml:space="preserve"> </w:t>
            </w:r>
          </w:p>
          <w:p w14:paraId="38ABE9F2" w14:textId="74865B55" w:rsidR="3C0BAC93" w:rsidRDefault="3C0BAC93" w:rsidP="3C0BAC93">
            <w:pPr>
              <w:spacing w:before="1" w:after="0" w:line="245" w:lineRule="auto"/>
              <w:ind w:left="4" w:right="86"/>
            </w:pPr>
            <w:r w:rsidRPr="3C0BAC93">
              <w:rPr>
                <w:rFonts w:ascii="Arial" w:eastAsia="Arial" w:hAnsi="Arial" w:cs="Arial"/>
                <w:sz w:val="16"/>
                <w:szCs w:val="16"/>
              </w:rPr>
              <w:t>Role of the First Line of Defense</w:t>
            </w:r>
          </w:p>
        </w:tc>
        <w:tc>
          <w:tcPr>
            <w:tcW w:w="8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053469C4" w14:textId="094C80EB" w:rsidR="3C0BAC93" w:rsidRDefault="3C0BAC93" w:rsidP="3C0BAC93">
            <w:pPr>
              <w:spacing w:before="57" w:after="0" w:line="245" w:lineRule="auto"/>
              <w:ind w:left="4"/>
            </w:pPr>
            <w:r w:rsidRPr="3C0BAC93">
              <w:rPr>
                <w:rFonts w:ascii="Arial" w:eastAsia="Arial" w:hAnsi="Arial" w:cs="Arial"/>
                <w:sz w:val="16"/>
                <w:szCs w:val="16"/>
              </w:rPr>
              <w:t>The first line of defense plays a critical role in the management of customer and third-party risk and the timely escalation of potentially suspicious activity. The first line of defense is well-placed to identify suspicious transactions and assess that information once deemed reasonable—collected through interactions with a customer—now appears suspicious. Employees within the first line of defense include relationship managers, business executives, and back-office operations functions.</w:t>
            </w:r>
          </w:p>
        </w:tc>
      </w:tr>
      <w:tr w:rsidR="3C0BAC93" w14:paraId="0E086B34" w14:textId="77777777" w:rsidTr="3C0BAC93">
        <w:trPr>
          <w:trHeight w:val="750"/>
        </w:trPr>
        <w:tc>
          <w:tcPr>
            <w:tcW w:w="1275" w:type="dxa"/>
            <w:vMerge/>
            <w:tcBorders>
              <w:left w:val="single" w:sz="0" w:space="0" w:color="000000" w:themeColor="text1"/>
              <w:right w:val="single" w:sz="0" w:space="0" w:color="000000" w:themeColor="text1"/>
            </w:tcBorders>
            <w:vAlign w:val="center"/>
          </w:tcPr>
          <w:p w14:paraId="252471D7" w14:textId="77777777" w:rsidR="0065131D" w:rsidRDefault="0065131D"/>
        </w:tc>
        <w:tc>
          <w:tcPr>
            <w:tcW w:w="795" w:type="dxa"/>
            <w:tcBorders>
              <w:top w:val="single" w:sz="8" w:space="0" w:color="000000" w:themeColor="text1"/>
              <w:left w:val="nil"/>
              <w:bottom w:val="single" w:sz="8" w:space="0" w:color="000000" w:themeColor="text1"/>
              <w:right w:val="single" w:sz="8" w:space="0" w:color="000000" w:themeColor="text1"/>
            </w:tcBorders>
            <w:shd w:val="clear" w:color="auto" w:fill="BCD6ED"/>
          </w:tcPr>
          <w:p w14:paraId="48E5824C" w14:textId="3EDA1B77" w:rsidR="3C0BAC93" w:rsidRDefault="3C0BAC93" w:rsidP="3C0BAC93">
            <w:pPr>
              <w:spacing w:before="8" w:after="0"/>
            </w:pPr>
            <w:r w:rsidRPr="3C0BAC93">
              <w:rPr>
                <w:rFonts w:ascii="Arial" w:eastAsia="Arial" w:hAnsi="Arial" w:cs="Arial"/>
                <w:b/>
                <w:bCs/>
                <w:sz w:val="16"/>
                <w:szCs w:val="16"/>
              </w:rPr>
              <w:t xml:space="preserve"> </w:t>
            </w:r>
          </w:p>
          <w:p w14:paraId="16A7C792" w14:textId="5823F620" w:rsidR="3C0BAC93" w:rsidRDefault="3C0BAC93" w:rsidP="3C0BAC93">
            <w:pPr>
              <w:spacing w:after="0" w:line="245" w:lineRule="auto"/>
              <w:ind w:left="4" w:right="25"/>
            </w:pPr>
            <w:r w:rsidRPr="3C0BAC93">
              <w:rPr>
                <w:rFonts w:ascii="Arial" w:eastAsia="Arial" w:hAnsi="Arial" w:cs="Arial"/>
                <w:sz w:val="16"/>
                <w:szCs w:val="16"/>
              </w:rPr>
              <w:t>Role of the Second Line of Defense</w:t>
            </w:r>
          </w:p>
        </w:tc>
        <w:tc>
          <w:tcPr>
            <w:tcW w:w="8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0CAE2806" w14:textId="498F97F5" w:rsidR="3C0BAC93" w:rsidRDefault="3C0BAC93" w:rsidP="3C0BAC93">
            <w:pPr>
              <w:spacing w:before="60" w:after="0" w:line="245" w:lineRule="auto"/>
              <w:ind w:left="4"/>
            </w:pPr>
            <w:r w:rsidRPr="3C0BAC93">
              <w:rPr>
                <w:rFonts w:ascii="Arial" w:eastAsia="Arial" w:hAnsi="Arial" w:cs="Arial"/>
                <w:sz w:val="16"/>
                <w:szCs w:val="16"/>
              </w:rPr>
              <w:t>The second line of defense (e.g., compliance employees) provides policy, advice, guidance, assurance, oversight, and challenge to the first line of defense. While employees in Financial Crime Operations Units (possibly in the first line of defense) can investigate suspicious transactions and document the resultant investigation, the ultimate filing of the STR or SAR will be made by the Compliance Officer or the money laundering reporting officer (MLRO) (in the second line of defense). The second line of defense is charged with overseeing the investigations program.</w:t>
            </w:r>
          </w:p>
        </w:tc>
      </w:tr>
      <w:tr w:rsidR="3C0BAC93" w14:paraId="4A12B715" w14:textId="77777777" w:rsidTr="3C0BAC93">
        <w:trPr>
          <w:trHeight w:val="435"/>
        </w:trPr>
        <w:tc>
          <w:tcPr>
            <w:tcW w:w="1275" w:type="dxa"/>
            <w:vMerge/>
            <w:tcBorders>
              <w:left w:val="single" w:sz="0" w:space="0" w:color="000000" w:themeColor="text1"/>
              <w:bottom w:val="single" w:sz="0" w:space="0" w:color="000000" w:themeColor="text1"/>
              <w:right w:val="single" w:sz="0" w:space="0" w:color="000000" w:themeColor="text1"/>
            </w:tcBorders>
            <w:vAlign w:val="center"/>
          </w:tcPr>
          <w:p w14:paraId="4F49A3EF" w14:textId="77777777" w:rsidR="0065131D" w:rsidRDefault="0065131D"/>
        </w:tc>
        <w:tc>
          <w:tcPr>
            <w:tcW w:w="795" w:type="dxa"/>
            <w:tcBorders>
              <w:top w:val="single" w:sz="8" w:space="0" w:color="000000" w:themeColor="text1"/>
              <w:left w:val="nil"/>
              <w:bottom w:val="single" w:sz="4" w:space="0" w:color="000000" w:themeColor="text1"/>
              <w:right w:val="single" w:sz="4" w:space="0" w:color="000000" w:themeColor="text1"/>
            </w:tcBorders>
            <w:shd w:val="clear" w:color="auto" w:fill="BCD6ED"/>
          </w:tcPr>
          <w:p w14:paraId="74423D32" w14:textId="5AF15BED" w:rsidR="3C0BAC93" w:rsidRDefault="3C0BAC93" w:rsidP="3C0BAC93">
            <w:pPr>
              <w:spacing w:before="62" w:after="0" w:line="245" w:lineRule="auto"/>
              <w:ind w:left="4" w:right="28"/>
            </w:pPr>
            <w:r w:rsidRPr="3C0BAC93">
              <w:rPr>
                <w:rFonts w:ascii="Arial" w:eastAsia="Arial" w:hAnsi="Arial" w:cs="Arial"/>
                <w:sz w:val="16"/>
                <w:szCs w:val="16"/>
              </w:rPr>
              <w:t>Role of the Third Line of Defense</w:t>
            </w:r>
          </w:p>
        </w:tc>
        <w:tc>
          <w:tcPr>
            <w:tcW w:w="8775" w:type="dxa"/>
            <w:tcBorders>
              <w:top w:val="single" w:sz="8" w:space="0" w:color="000000" w:themeColor="text1"/>
              <w:left w:val="single" w:sz="4" w:space="0" w:color="000000" w:themeColor="text1"/>
              <w:bottom w:val="single" w:sz="4" w:space="0" w:color="000000" w:themeColor="text1"/>
              <w:right w:val="single" w:sz="4" w:space="0" w:color="000000" w:themeColor="text1"/>
            </w:tcBorders>
            <w:shd w:val="clear" w:color="auto" w:fill="F6F9FB"/>
          </w:tcPr>
          <w:p w14:paraId="2C940545" w14:textId="22F5D727" w:rsidR="3C0BAC93" w:rsidRDefault="3C0BAC93" w:rsidP="3C0BAC93">
            <w:pPr>
              <w:spacing w:before="62" w:after="0" w:line="245" w:lineRule="auto"/>
              <w:ind w:left="4" w:right="75"/>
            </w:pPr>
            <w:r w:rsidRPr="3C0BAC93">
              <w:rPr>
                <w:rFonts w:ascii="Arial" w:eastAsia="Arial" w:hAnsi="Arial" w:cs="Arial"/>
                <w:sz w:val="16"/>
                <w:szCs w:val="16"/>
              </w:rPr>
              <w:t>The third line of defense identifies gaps, deficiencies, and weaknesses in operational controls owned or overseen by  UAE business, operations, and compliance functions.</w:t>
            </w:r>
          </w:p>
        </w:tc>
      </w:tr>
      <w:tr w:rsidR="3C0BAC93" w14:paraId="71DF886B" w14:textId="77777777" w:rsidTr="3C0BAC93">
        <w:trPr>
          <w:trHeight w:val="660"/>
        </w:trPr>
        <w:tc>
          <w:tcPr>
            <w:tcW w:w="1275" w:type="dxa"/>
            <w:vMerge/>
            <w:tcBorders>
              <w:left w:val="single" w:sz="0" w:space="0" w:color="000000" w:themeColor="text1"/>
              <w:right w:val="single" w:sz="0" w:space="0" w:color="000000" w:themeColor="text1"/>
            </w:tcBorders>
            <w:vAlign w:val="center"/>
          </w:tcPr>
          <w:p w14:paraId="26F8BAA7" w14:textId="77777777" w:rsidR="0065131D" w:rsidRDefault="0065131D"/>
        </w:tc>
        <w:tc>
          <w:tcPr>
            <w:tcW w:w="795" w:type="dxa"/>
            <w:tcBorders>
              <w:top w:val="single" w:sz="4" w:space="0" w:color="000000" w:themeColor="text1"/>
              <w:left w:val="nil"/>
              <w:bottom w:val="single" w:sz="4" w:space="0" w:color="000000" w:themeColor="text1"/>
              <w:right w:val="single" w:sz="4" w:space="0" w:color="000000" w:themeColor="text1"/>
            </w:tcBorders>
            <w:shd w:val="clear" w:color="auto" w:fill="BCD6ED"/>
          </w:tcPr>
          <w:p w14:paraId="2FE83480" w14:textId="36990495" w:rsidR="3C0BAC93" w:rsidRDefault="3C0BAC93" w:rsidP="3C0BAC93">
            <w:pPr>
              <w:spacing w:before="9" w:after="0"/>
            </w:pPr>
            <w:r w:rsidRPr="3C0BAC93">
              <w:rPr>
                <w:rFonts w:ascii="Arial" w:eastAsia="Arial" w:hAnsi="Arial" w:cs="Arial"/>
                <w:b/>
                <w:bCs/>
                <w:sz w:val="16"/>
                <w:szCs w:val="16"/>
              </w:rPr>
              <w:t xml:space="preserve"> </w:t>
            </w:r>
          </w:p>
          <w:p w14:paraId="01DDC037" w14:textId="48B11B6B" w:rsidR="3C0BAC93" w:rsidRDefault="3C0BAC93" w:rsidP="3C0BAC93">
            <w:pPr>
              <w:spacing w:after="0" w:line="247" w:lineRule="auto"/>
              <w:ind w:left="4" w:right="96"/>
            </w:pPr>
            <w:r w:rsidRPr="3C0BAC93">
              <w:rPr>
                <w:rFonts w:ascii="Arial" w:eastAsia="Arial" w:hAnsi="Arial" w:cs="Arial"/>
                <w:sz w:val="16"/>
                <w:szCs w:val="16"/>
              </w:rPr>
              <w:t>Purpose of Transaction Monitoring</w:t>
            </w:r>
          </w:p>
        </w:tc>
        <w:tc>
          <w:tcPr>
            <w:tcW w:w="8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F9FB"/>
          </w:tcPr>
          <w:p w14:paraId="07107737" w14:textId="5EEFAF85" w:rsidR="3C0BAC93" w:rsidRDefault="3C0BAC93" w:rsidP="3C0BAC93">
            <w:pPr>
              <w:spacing w:before="6" w:after="0" w:line="245" w:lineRule="auto"/>
              <w:ind w:left="4"/>
            </w:pPr>
            <w:r w:rsidRPr="3C0BAC93">
              <w:rPr>
                <w:rFonts w:ascii="Arial" w:eastAsia="Arial" w:hAnsi="Arial" w:cs="Arial"/>
                <w:sz w:val="16"/>
                <w:szCs w:val="16"/>
              </w:rPr>
              <w:t>The purpose of transaction monitoring is the ongoing, retrospective monitoring of customers’ and prospective customers’ transactions or activity to identify activity anomalous from normal behavior. This may, on further investigation, generate knowledge or reasonable suspicion of financial crime and thereby require reporting to the appropriate law enforcement and/or regulatory authority as an STR, SAR, or equivalent local report in</w:t>
            </w:r>
          </w:p>
          <w:p w14:paraId="5F322C75" w14:textId="22B8DFEB" w:rsidR="3C0BAC93" w:rsidRDefault="3C0BAC93" w:rsidP="3C0BAC93">
            <w:pPr>
              <w:spacing w:after="0"/>
              <w:ind w:left="4"/>
            </w:pPr>
            <w:r w:rsidRPr="3C0BAC93">
              <w:rPr>
                <w:rFonts w:ascii="Arial" w:eastAsia="Arial" w:hAnsi="Arial" w:cs="Arial"/>
                <w:sz w:val="16"/>
                <w:szCs w:val="16"/>
              </w:rPr>
              <w:t>line with AML/CFT regulatory and/or UAE FIU reporting requirements.</w:t>
            </w:r>
          </w:p>
        </w:tc>
      </w:tr>
      <w:tr w:rsidR="3C0BAC93" w14:paraId="61D846B4" w14:textId="77777777" w:rsidTr="3C0BAC93">
        <w:trPr>
          <w:trHeight w:val="585"/>
        </w:trPr>
        <w:tc>
          <w:tcPr>
            <w:tcW w:w="1275" w:type="dxa"/>
            <w:vMerge/>
            <w:tcBorders>
              <w:left w:val="single" w:sz="0" w:space="0" w:color="000000" w:themeColor="text1"/>
              <w:right w:val="single" w:sz="0" w:space="0" w:color="000000" w:themeColor="text1"/>
            </w:tcBorders>
            <w:vAlign w:val="center"/>
          </w:tcPr>
          <w:p w14:paraId="528DAFE5" w14:textId="77777777" w:rsidR="0065131D" w:rsidRDefault="0065131D"/>
        </w:tc>
        <w:tc>
          <w:tcPr>
            <w:tcW w:w="795" w:type="dxa"/>
            <w:tcBorders>
              <w:top w:val="single" w:sz="4" w:space="0" w:color="000000" w:themeColor="text1"/>
              <w:left w:val="nil"/>
              <w:bottom w:val="single" w:sz="8" w:space="0" w:color="000000" w:themeColor="text1"/>
              <w:right w:val="single" w:sz="8" w:space="0" w:color="000000" w:themeColor="text1"/>
            </w:tcBorders>
            <w:shd w:val="clear" w:color="auto" w:fill="BCD6ED"/>
          </w:tcPr>
          <w:p w14:paraId="3AFD68F7" w14:textId="313C7C89" w:rsidR="3C0BAC93" w:rsidRDefault="3C0BAC93" w:rsidP="3C0BAC93">
            <w:pPr>
              <w:spacing w:before="8" w:after="0"/>
            </w:pPr>
            <w:r w:rsidRPr="3C0BAC93">
              <w:rPr>
                <w:rFonts w:ascii="Arial" w:eastAsia="Arial" w:hAnsi="Arial" w:cs="Arial"/>
                <w:b/>
                <w:bCs/>
                <w:sz w:val="16"/>
                <w:szCs w:val="16"/>
              </w:rPr>
              <w:t xml:space="preserve"> </w:t>
            </w:r>
          </w:p>
          <w:p w14:paraId="438BABD0" w14:textId="0B7C3B82" w:rsidR="3C0BAC93" w:rsidRDefault="3C0BAC93" w:rsidP="3C0BAC93">
            <w:pPr>
              <w:spacing w:after="0"/>
              <w:ind w:left="4"/>
            </w:pPr>
            <w:r w:rsidRPr="3C0BAC93">
              <w:rPr>
                <w:rFonts w:ascii="Arial" w:eastAsia="Arial" w:hAnsi="Arial" w:cs="Arial"/>
                <w:sz w:val="16"/>
                <w:szCs w:val="16"/>
              </w:rPr>
              <w:t>Internal Organization</w:t>
            </w:r>
          </w:p>
        </w:tc>
        <w:tc>
          <w:tcPr>
            <w:tcW w:w="8775" w:type="dxa"/>
            <w:tcBorders>
              <w:top w:val="single" w:sz="4"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1241B21C" w14:textId="4C570F71" w:rsidR="3C0BAC93" w:rsidRDefault="3C0BAC93" w:rsidP="3C0BAC93">
            <w:pPr>
              <w:spacing w:before="14" w:after="0" w:line="245" w:lineRule="auto"/>
              <w:ind w:left="4" w:right="75"/>
            </w:pPr>
            <w:r w:rsidRPr="3C0BAC93">
              <w:rPr>
                <w:rFonts w:ascii="Arial" w:eastAsia="Arial" w:hAnsi="Arial" w:cs="Arial"/>
                <w:sz w:val="16"/>
                <w:szCs w:val="16"/>
              </w:rPr>
              <w:t xml:space="preserve"> UAE internal organization is important to appropriately identify unusual or potentially suspicious activity. Internal organization comprises an  UAE governance and management oversight; policies and procedures; clear lines of responsibility and reporting; and ongoing training to account for changes in the UAE’s legislative and regulatory frameworks. </w:t>
            </w:r>
          </w:p>
          <w:p w14:paraId="4CA68577" w14:textId="7274CC26" w:rsidR="3C0BAC93" w:rsidRDefault="3C0BAC93" w:rsidP="3C0BAC93">
            <w:pPr>
              <w:spacing w:before="1" w:after="0"/>
              <w:ind w:left="4"/>
            </w:pPr>
            <w:r w:rsidRPr="3C0BAC93">
              <w:rPr>
                <w:rFonts w:ascii="Arial" w:eastAsia="Arial" w:hAnsi="Arial" w:cs="Arial"/>
                <w:sz w:val="16"/>
                <w:szCs w:val="16"/>
              </w:rPr>
              <w:t xml:space="preserve"> </w:t>
            </w:r>
          </w:p>
        </w:tc>
      </w:tr>
      <w:tr w:rsidR="3C0BAC93" w14:paraId="2E936D7D" w14:textId="77777777" w:rsidTr="3C0BAC93">
        <w:trPr>
          <w:trHeight w:val="660"/>
        </w:trPr>
        <w:tc>
          <w:tcPr>
            <w:tcW w:w="1275" w:type="dxa"/>
            <w:vMerge/>
            <w:tcBorders>
              <w:left w:val="single" w:sz="0" w:space="0" w:color="000000" w:themeColor="text1"/>
              <w:bottom w:val="single" w:sz="0" w:space="0" w:color="000000" w:themeColor="text1"/>
              <w:right w:val="single" w:sz="0" w:space="0" w:color="000000" w:themeColor="text1"/>
            </w:tcBorders>
            <w:vAlign w:val="center"/>
          </w:tcPr>
          <w:p w14:paraId="64FB0E98" w14:textId="77777777" w:rsidR="0065131D" w:rsidRDefault="0065131D"/>
        </w:tc>
        <w:tc>
          <w:tcPr>
            <w:tcW w:w="795" w:type="dxa"/>
            <w:tcBorders>
              <w:top w:val="single" w:sz="8" w:space="0" w:color="000000" w:themeColor="text1"/>
              <w:left w:val="nil"/>
              <w:bottom w:val="single" w:sz="4" w:space="0" w:color="000000" w:themeColor="text1"/>
              <w:right w:val="single" w:sz="4" w:space="0" w:color="000000" w:themeColor="text1"/>
            </w:tcBorders>
            <w:shd w:val="clear" w:color="auto" w:fill="BCD6ED"/>
          </w:tcPr>
          <w:p w14:paraId="3F9BF99E" w14:textId="7A254008" w:rsidR="3C0BAC93" w:rsidRDefault="3C0BAC93" w:rsidP="3C0BAC93">
            <w:pPr>
              <w:spacing w:before="8" w:after="0"/>
            </w:pPr>
            <w:r w:rsidRPr="3C0BAC93">
              <w:rPr>
                <w:rFonts w:ascii="Arial" w:eastAsia="Arial" w:hAnsi="Arial" w:cs="Arial"/>
                <w:b/>
                <w:bCs/>
                <w:sz w:val="16"/>
                <w:szCs w:val="16"/>
              </w:rPr>
              <w:t xml:space="preserve"> </w:t>
            </w:r>
          </w:p>
          <w:p w14:paraId="457D40CE" w14:textId="483F8C70" w:rsidR="3C0BAC93" w:rsidRDefault="3C0BAC93" w:rsidP="3C0BAC93">
            <w:pPr>
              <w:spacing w:after="0" w:line="245" w:lineRule="auto"/>
              <w:ind w:left="4"/>
            </w:pPr>
            <w:r w:rsidRPr="3C0BAC93">
              <w:rPr>
                <w:rFonts w:ascii="Arial" w:eastAsia="Arial" w:hAnsi="Arial" w:cs="Arial"/>
                <w:sz w:val="16"/>
                <w:szCs w:val="16"/>
              </w:rPr>
              <w:t>Transaction Monitoring Methods</w:t>
            </w:r>
          </w:p>
        </w:tc>
        <w:tc>
          <w:tcPr>
            <w:tcW w:w="8775" w:type="dxa"/>
            <w:tcBorders>
              <w:top w:val="single" w:sz="8" w:space="0" w:color="000000" w:themeColor="text1"/>
              <w:left w:val="single" w:sz="4" w:space="0" w:color="000000" w:themeColor="text1"/>
              <w:bottom w:val="single" w:sz="4" w:space="0" w:color="000000" w:themeColor="text1"/>
              <w:right w:val="single" w:sz="4" w:space="0" w:color="000000" w:themeColor="text1"/>
            </w:tcBorders>
            <w:shd w:val="clear" w:color="auto" w:fill="F6F9FB"/>
          </w:tcPr>
          <w:p w14:paraId="27BC1FA9" w14:textId="34703638" w:rsidR="3C0BAC93" w:rsidRDefault="3C0BAC93" w:rsidP="3C0BAC93">
            <w:pPr>
              <w:spacing w:after="0"/>
              <w:ind w:left="4"/>
            </w:pPr>
            <w:r w:rsidRPr="3C0BAC93">
              <w:rPr>
                <w:rFonts w:ascii="Arial" w:eastAsia="Arial" w:hAnsi="Arial" w:cs="Arial"/>
                <w:sz w:val="16"/>
                <w:szCs w:val="16"/>
              </w:rPr>
              <w:t>A transaction monitoring program is taken into account the AML/CFT risks of the  UAE customers, prospective customers, counterparties, businesses, products, services, delivery channels, and geographic markets in addition to helping prioritize high-risk alerts. Monitoring systems typically include employee identification or referrals, transaction-based (manual) systems, surveillance (automated) systems, or a combination of these, including an intelligence-led transaction monitoring approach.</w:t>
            </w:r>
          </w:p>
        </w:tc>
      </w:tr>
    </w:tbl>
    <w:p w14:paraId="7E0CADF6" w14:textId="045E373F" w:rsidR="0065131D" w:rsidRDefault="41028EAA" w:rsidP="3C0BAC93">
      <w:pPr>
        <w:spacing w:after="0"/>
        <w:ind w:left="284" w:right="247"/>
      </w:pPr>
      <w:r w:rsidRPr="3C0BAC93">
        <w:rPr>
          <w:rFonts w:ascii="Calibri" w:eastAsia="Calibri" w:hAnsi="Calibri" w:cs="Calibri"/>
        </w:rPr>
        <w:t xml:space="preserve"> </w:t>
      </w:r>
    </w:p>
    <w:p w14:paraId="112BA397" w14:textId="3B24B991" w:rsidR="0065131D" w:rsidRDefault="41028EAA" w:rsidP="3C0BAC93">
      <w:pPr>
        <w:spacing w:after="0"/>
        <w:ind w:left="284" w:right="247"/>
      </w:pPr>
      <w:r w:rsidRPr="3C0BAC93">
        <w:rPr>
          <w:rFonts w:ascii="Calibri" w:eastAsia="Calibri" w:hAnsi="Calibri" w:cs="Calibri"/>
        </w:rPr>
        <w:t xml:space="preserve"> </w:t>
      </w:r>
    </w:p>
    <w:p w14:paraId="4BEDD0CD" w14:textId="79D9ADAF" w:rsidR="0065131D" w:rsidRDefault="41028EAA" w:rsidP="3C0BAC93">
      <w:pPr>
        <w:spacing w:after="0"/>
        <w:ind w:left="284" w:right="247"/>
      </w:pPr>
      <w:r w:rsidRPr="3C0BAC93">
        <w:rPr>
          <w:rFonts w:ascii="Calibri" w:eastAsia="Calibri" w:hAnsi="Calibri" w:cs="Calibri"/>
        </w:rPr>
        <w:t xml:space="preserve"> </w:t>
      </w:r>
    </w:p>
    <w:p w14:paraId="70EE434B" w14:textId="07998BF5" w:rsidR="0065131D" w:rsidRDefault="41028EAA" w:rsidP="3C0BAC93">
      <w:pPr>
        <w:spacing w:after="0"/>
        <w:ind w:left="284" w:right="247"/>
      </w:pPr>
      <w:r w:rsidRPr="3C0BAC93">
        <w:rPr>
          <w:rFonts w:ascii="Calibri" w:eastAsia="Calibri" w:hAnsi="Calibri" w:cs="Calibri"/>
        </w:rPr>
        <w:t xml:space="preserve"> </w:t>
      </w:r>
    </w:p>
    <w:p w14:paraId="0AE03FD3" w14:textId="2C355855" w:rsidR="0065131D" w:rsidRDefault="41028EAA" w:rsidP="3C0BAC93">
      <w:pPr>
        <w:spacing w:after="0"/>
        <w:ind w:left="284" w:right="247"/>
      </w:pPr>
      <w:r w:rsidRPr="3C0BAC93">
        <w:rPr>
          <w:rFonts w:ascii="Calibri" w:eastAsia="Calibri" w:hAnsi="Calibri" w:cs="Calibri"/>
        </w:rPr>
        <w:t xml:space="preserve"> </w:t>
      </w:r>
    </w:p>
    <w:p w14:paraId="0244E3F2" w14:textId="634C5A87" w:rsidR="0065131D" w:rsidRDefault="41028EAA" w:rsidP="3C0BAC93">
      <w:pPr>
        <w:spacing w:after="0"/>
        <w:ind w:left="284" w:right="247"/>
      </w:pPr>
      <w:r w:rsidRPr="3C0BAC93">
        <w:rPr>
          <w:rFonts w:ascii="Calibri" w:eastAsia="Calibri" w:hAnsi="Calibri" w:cs="Calibri"/>
        </w:rPr>
        <w:t xml:space="preserve"> </w:t>
      </w:r>
    </w:p>
    <w:p w14:paraId="6ECD7341" w14:textId="25176E84" w:rsidR="0065131D" w:rsidRDefault="41028EAA" w:rsidP="3C0BAC93">
      <w:pPr>
        <w:spacing w:after="0"/>
        <w:ind w:left="284" w:right="247"/>
      </w:pPr>
      <w:r w:rsidRPr="3C0BAC93">
        <w:rPr>
          <w:rFonts w:ascii="Calibri" w:eastAsia="Calibri" w:hAnsi="Calibri" w:cs="Calibri"/>
        </w:rPr>
        <w:t xml:space="preserve"> </w:t>
      </w:r>
    </w:p>
    <w:p w14:paraId="62C41835" w14:textId="7D70C557" w:rsidR="0065131D" w:rsidRDefault="41028EAA" w:rsidP="3C0BAC93">
      <w:pPr>
        <w:spacing w:after="0"/>
        <w:ind w:left="284" w:right="247"/>
      </w:pPr>
      <w:r w:rsidRPr="3C0BAC93">
        <w:rPr>
          <w:rFonts w:ascii="Calibri" w:eastAsia="Calibri" w:hAnsi="Calibri" w:cs="Calibri"/>
        </w:rPr>
        <w:t xml:space="preserve"> </w:t>
      </w:r>
    </w:p>
    <w:p w14:paraId="6D0D51AE" w14:textId="2C8508FD" w:rsidR="0065131D" w:rsidRDefault="41028EAA" w:rsidP="3C0BAC93">
      <w:pPr>
        <w:spacing w:after="0"/>
        <w:ind w:left="284" w:right="247"/>
      </w:pPr>
      <w:r w:rsidRPr="3C0BAC93">
        <w:rPr>
          <w:rFonts w:ascii="Calibri" w:eastAsia="Calibri" w:hAnsi="Calibri" w:cs="Calibri"/>
        </w:rPr>
        <w:t xml:space="preserve"> </w:t>
      </w:r>
    </w:p>
    <w:p w14:paraId="4C9C51FC" w14:textId="42D4C00B" w:rsidR="0065131D" w:rsidRDefault="41028EAA" w:rsidP="3C0BAC93">
      <w:pPr>
        <w:spacing w:after="0"/>
        <w:ind w:left="284" w:right="247"/>
      </w:pPr>
      <w:r w:rsidRPr="3C0BAC93">
        <w:rPr>
          <w:rFonts w:ascii="Calibri" w:eastAsia="Calibri" w:hAnsi="Calibri" w:cs="Calibri"/>
        </w:rPr>
        <w:t xml:space="preserve"> </w:t>
      </w:r>
    </w:p>
    <w:p w14:paraId="525324EF" w14:textId="09DB80E8" w:rsidR="0065131D" w:rsidRDefault="41028EAA" w:rsidP="3C0BAC93">
      <w:pPr>
        <w:spacing w:after="0"/>
        <w:ind w:left="284" w:right="247"/>
      </w:pPr>
      <w:r w:rsidRPr="3C0BAC93">
        <w:rPr>
          <w:rFonts w:ascii="Calibri" w:eastAsia="Calibri" w:hAnsi="Calibri" w:cs="Calibri"/>
        </w:rPr>
        <w:t xml:space="preserve"> </w:t>
      </w:r>
    </w:p>
    <w:tbl>
      <w:tblPr>
        <w:tblW w:w="0" w:type="auto"/>
        <w:tblInd w:w="-435" w:type="dxa"/>
        <w:tblLook w:val="01E0" w:firstRow="1" w:lastRow="1" w:firstColumn="1" w:lastColumn="1" w:noHBand="0" w:noVBand="0"/>
      </w:tblPr>
      <w:tblGrid>
        <w:gridCol w:w="1216"/>
        <w:gridCol w:w="1274"/>
        <w:gridCol w:w="7290"/>
      </w:tblGrid>
      <w:tr w:rsidR="3C0BAC93" w14:paraId="3BF6E563" w14:textId="77777777" w:rsidTr="3C0BAC93">
        <w:trPr>
          <w:trHeight w:val="78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0000"/>
          </w:tcPr>
          <w:p w14:paraId="6A259057" w14:textId="572B5633" w:rsidR="3C0BAC93" w:rsidRDefault="3C0BAC93" w:rsidP="3C0BAC93">
            <w:pPr>
              <w:spacing w:after="0"/>
            </w:pPr>
            <w:r w:rsidRPr="3C0BAC93">
              <w:rPr>
                <w:rFonts w:ascii="Arial" w:eastAsia="Arial" w:hAnsi="Arial" w:cs="Arial"/>
                <w:b/>
                <w:bCs/>
                <w:sz w:val="16"/>
                <w:szCs w:val="16"/>
              </w:rPr>
              <w:t xml:space="preserve"> </w:t>
            </w:r>
          </w:p>
          <w:p w14:paraId="18E8FD38" w14:textId="4600F697" w:rsidR="3C0BAC93" w:rsidRDefault="3C0BAC93" w:rsidP="3C0BAC93">
            <w:pPr>
              <w:spacing w:after="0"/>
            </w:pPr>
            <w:r w:rsidRPr="3C0BAC93">
              <w:rPr>
                <w:rFonts w:ascii="Arial" w:eastAsia="Arial" w:hAnsi="Arial" w:cs="Arial"/>
                <w:b/>
                <w:bCs/>
                <w:sz w:val="16"/>
                <w:szCs w:val="16"/>
              </w:rPr>
              <w:t xml:space="preserve"> </w:t>
            </w:r>
          </w:p>
          <w:p w14:paraId="2A0A95C4" w14:textId="27FEE978" w:rsidR="3C0BAC93" w:rsidRDefault="3C0BAC93" w:rsidP="3C0BAC93">
            <w:pPr>
              <w:spacing w:after="0"/>
            </w:pPr>
            <w:r w:rsidRPr="3C0BAC93">
              <w:rPr>
                <w:rFonts w:ascii="Arial" w:eastAsia="Arial" w:hAnsi="Arial" w:cs="Arial"/>
                <w:b/>
                <w:bCs/>
                <w:sz w:val="16"/>
                <w:szCs w:val="16"/>
              </w:rPr>
              <w:t xml:space="preserve"> </w:t>
            </w:r>
          </w:p>
          <w:p w14:paraId="7BCA8F1E" w14:textId="37E48E8F" w:rsidR="3C0BAC93" w:rsidRDefault="3C0BAC93" w:rsidP="3C0BAC93">
            <w:pPr>
              <w:spacing w:after="0"/>
            </w:pPr>
            <w:r w:rsidRPr="3C0BAC93">
              <w:rPr>
                <w:rFonts w:ascii="Arial" w:eastAsia="Arial" w:hAnsi="Arial" w:cs="Arial"/>
                <w:b/>
                <w:bCs/>
                <w:sz w:val="16"/>
                <w:szCs w:val="16"/>
              </w:rPr>
              <w:t xml:space="preserve"> </w:t>
            </w:r>
          </w:p>
          <w:p w14:paraId="39B70CA2" w14:textId="5C0476A3" w:rsidR="3C0BAC93" w:rsidRDefault="3C0BAC93" w:rsidP="3C0BAC93">
            <w:pPr>
              <w:spacing w:before="6" w:after="0"/>
            </w:pPr>
            <w:r w:rsidRPr="3C0BAC93">
              <w:rPr>
                <w:rFonts w:ascii="Arial" w:eastAsia="Arial" w:hAnsi="Arial" w:cs="Arial"/>
                <w:b/>
                <w:bCs/>
                <w:sz w:val="16"/>
                <w:szCs w:val="16"/>
              </w:rPr>
              <w:t xml:space="preserve"> </w:t>
            </w:r>
          </w:p>
          <w:p w14:paraId="5D7C5E06" w14:textId="2131DB13" w:rsidR="3C0BAC93" w:rsidRDefault="3C0BAC93" w:rsidP="3C0BAC93">
            <w:pPr>
              <w:spacing w:after="0" w:line="242" w:lineRule="auto"/>
              <w:ind w:left="4"/>
            </w:pPr>
            <w:r w:rsidRPr="3C0BAC93">
              <w:rPr>
                <w:rFonts w:ascii="Arial" w:eastAsia="Arial" w:hAnsi="Arial" w:cs="Arial"/>
                <w:b/>
                <w:bCs/>
                <w:color w:val="FFFFFF" w:themeColor="background1"/>
                <w:sz w:val="16"/>
                <w:szCs w:val="16"/>
              </w:rPr>
              <w:t>Procedures for the Reporting of Suspicious Transactions</w:t>
            </w:r>
          </w:p>
        </w:tc>
        <w:tc>
          <w:tcPr>
            <w:tcW w:w="1095" w:type="dxa"/>
            <w:tcBorders>
              <w:top w:val="single" w:sz="4" w:space="0" w:color="000000" w:themeColor="text1"/>
              <w:left w:val="single" w:sz="8" w:space="0" w:color="000000" w:themeColor="text1"/>
              <w:bottom w:val="single" w:sz="4" w:space="0" w:color="000000" w:themeColor="text1"/>
              <w:right w:val="single" w:sz="4" w:space="0" w:color="000000" w:themeColor="text1"/>
            </w:tcBorders>
            <w:shd w:val="clear" w:color="auto" w:fill="FFEFC4"/>
          </w:tcPr>
          <w:p w14:paraId="4EDFCBA9" w14:textId="46D99091" w:rsidR="3C0BAC93" w:rsidRDefault="3C0BAC93" w:rsidP="3C0BAC93">
            <w:pPr>
              <w:spacing w:before="14" w:after="0" w:line="245" w:lineRule="auto"/>
              <w:ind w:left="4" w:right="75"/>
            </w:pPr>
            <w:r w:rsidRPr="3C0BAC93">
              <w:rPr>
                <w:rFonts w:ascii="Arial" w:eastAsia="Arial" w:hAnsi="Arial" w:cs="Arial"/>
                <w:sz w:val="16"/>
                <w:szCs w:val="16"/>
              </w:rPr>
              <w:t xml:space="preserve"> </w:t>
            </w:r>
          </w:p>
          <w:p w14:paraId="51D2065B" w14:textId="3496338F" w:rsidR="3C0BAC93" w:rsidRDefault="3C0BAC93" w:rsidP="3C0BAC93">
            <w:pPr>
              <w:spacing w:before="14" w:after="0" w:line="245" w:lineRule="auto"/>
              <w:ind w:left="4" w:right="75"/>
            </w:pPr>
            <w:r w:rsidRPr="3C0BAC93">
              <w:rPr>
                <w:rFonts w:ascii="Arial" w:eastAsia="Arial" w:hAnsi="Arial" w:cs="Arial"/>
                <w:sz w:val="16"/>
                <w:szCs w:val="16"/>
              </w:rPr>
              <w:t>Importance of Filing an STR or SAR</w:t>
            </w:r>
          </w:p>
        </w:tc>
        <w:tc>
          <w:tcPr>
            <w:tcW w:w="86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F9FB"/>
          </w:tcPr>
          <w:p w14:paraId="5349DF8E" w14:textId="2E1C93DC" w:rsidR="3C0BAC93" w:rsidRDefault="3C0BAC93" w:rsidP="3C0BAC93">
            <w:pPr>
              <w:spacing w:before="14" w:after="0" w:line="245" w:lineRule="auto"/>
              <w:ind w:left="4" w:right="75"/>
            </w:pPr>
            <w:r w:rsidRPr="3C0BAC93">
              <w:rPr>
                <w:rFonts w:ascii="Arial" w:eastAsia="Arial" w:hAnsi="Arial" w:cs="Arial"/>
                <w:sz w:val="16"/>
                <w:szCs w:val="16"/>
              </w:rPr>
              <w:t>Information generated from an STR, SAR, and other report type is important for law enforcement and the FIU to effectively identify and combat financial crime. Specifically, the quality of STRs, SARs, and other report types is imperative for increasing the FIU’s analytical function to identify vulnerabilities and threats to the UAE financial system and develop an overall understanding of money laundering and</w:t>
            </w:r>
          </w:p>
          <w:p w14:paraId="2A4BD569" w14:textId="0D371C3C" w:rsidR="3C0BAC93" w:rsidRDefault="3C0BAC93" w:rsidP="3C0BAC93">
            <w:pPr>
              <w:spacing w:before="14" w:after="0" w:line="245" w:lineRule="auto"/>
              <w:ind w:left="4" w:right="75"/>
            </w:pPr>
            <w:r w:rsidRPr="3C0BAC93">
              <w:rPr>
                <w:rFonts w:ascii="Arial" w:eastAsia="Arial" w:hAnsi="Arial" w:cs="Arial"/>
                <w:sz w:val="16"/>
                <w:szCs w:val="16"/>
              </w:rPr>
              <w:t>the financing of terrorism and illegal organizations risks.</w:t>
            </w:r>
          </w:p>
        </w:tc>
      </w:tr>
      <w:tr w:rsidR="3C0BAC93" w14:paraId="70680784" w14:textId="77777777" w:rsidTr="3C0BAC93">
        <w:trPr>
          <w:trHeight w:val="390"/>
        </w:trPr>
        <w:tc>
          <w:tcPr>
            <w:tcW w:w="990" w:type="dxa"/>
            <w:vMerge/>
            <w:tcBorders>
              <w:left w:val="single" w:sz="0" w:space="0" w:color="000000" w:themeColor="text1"/>
              <w:right w:val="single" w:sz="0" w:space="0" w:color="000000" w:themeColor="text1"/>
            </w:tcBorders>
            <w:vAlign w:val="center"/>
          </w:tcPr>
          <w:p w14:paraId="0132AE20" w14:textId="77777777" w:rsidR="0065131D" w:rsidRDefault="0065131D"/>
        </w:tc>
        <w:tc>
          <w:tcPr>
            <w:tcW w:w="1095" w:type="dxa"/>
            <w:tcBorders>
              <w:top w:val="single" w:sz="4" w:space="0" w:color="000000" w:themeColor="text1"/>
              <w:left w:val="nil"/>
              <w:bottom w:val="single" w:sz="4" w:space="0" w:color="000000" w:themeColor="text1"/>
              <w:right w:val="single" w:sz="4" w:space="0" w:color="000000" w:themeColor="text1"/>
            </w:tcBorders>
            <w:shd w:val="clear" w:color="auto" w:fill="FFEFC4"/>
          </w:tcPr>
          <w:p w14:paraId="7820E8DD" w14:textId="0782C177" w:rsidR="3C0BAC93" w:rsidRDefault="3C0BAC93" w:rsidP="3C0BAC93">
            <w:pPr>
              <w:spacing w:before="14" w:after="0" w:line="245" w:lineRule="auto"/>
              <w:ind w:left="4" w:right="75"/>
            </w:pPr>
            <w:r w:rsidRPr="3C0BAC93">
              <w:rPr>
                <w:rFonts w:ascii="Arial" w:eastAsia="Arial" w:hAnsi="Arial" w:cs="Arial"/>
                <w:sz w:val="16"/>
                <w:szCs w:val="16"/>
              </w:rPr>
              <w:t>Basic Structure of an STR or SAR</w:t>
            </w:r>
          </w:p>
        </w:tc>
        <w:tc>
          <w:tcPr>
            <w:tcW w:w="86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F9FB"/>
          </w:tcPr>
          <w:p w14:paraId="5A8310EB" w14:textId="7A9E0F0E" w:rsidR="3C0BAC93" w:rsidRDefault="3C0BAC93" w:rsidP="3C0BAC93">
            <w:pPr>
              <w:spacing w:before="14" w:after="0" w:line="245" w:lineRule="auto"/>
              <w:ind w:left="4" w:right="75"/>
            </w:pPr>
            <w:r w:rsidRPr="3C0BAC93">
              <w:rPr>
                <w:rFonts w:ascii="Arial" w:eastAsia="Arial" w:hAnsi="Arial" w:cs="Arial"/>
                <w:sz w:val="16"/>
                <w:szCs w:val="16"/>
              </w:rPr>
              <w:t>Different report types can be filed in the FIU’s “goAML” portal (i.e., STR, SAR, AIF, AIFT, RFI, RFIT, HRC, HRCA). In addition, an  UAE divide a narrative into three sections (introduction, body, and conclusion).</w:t>
            </w:r>
          </w:p>
        </w:tc>
      </w:tr>
      <w:tr w:rsidR="3C0BAC93" w14:paraId="4DD5770C" w14:textId="77777777" w:rsidTr="3C0BAC93">
        <w:trPr>
          <w:trHeight w:val="690"/>
        </w:trPr>
        <w:tc>
          <w:tcPr>
            <w:tcW w:w="990" w:type="dxa"/>
            <w:vMerge/>
            <w:tcBorders>
              <w:left w:val="single" w:sz="0" w:space="0" w:color="000000" w:themeColor="text1"/>
              <w:right w:val="single" w:sz="0" w:space="0" w:color="000000" w:themeColor="text1"/>
            </w:tcBorders>
            <w:vAlign w:val="center"/>
          </w:tcPr>
          <w:p w14:paraId="0D64D726" w14:textId="77777777" w:rsidR="0065131D" w:rsidRDefault="0065131D"/>
        </w:tc>
        <w:tc>
          <w:tcPr>
            <w:tcW w:w="1095" w:type="dxa"/>
            <w:tcBorders>
              <w:top w:val="single" w:sz="4" w:space="0" w:color="000000" w:themeColor="text1"/>
              <w:left w:val="nil"/>
              <w:bottom w:val="single" w:sz="8" w:space="0" w:color="000000" w:themeColor="text1"/>
              <w:right w:val="single" w:sz="8" w:space="0" w:color="000000" w:themeColor="text1"/>
            </w:tcBorders>
            <w:shd w:val="clear" w:color="auto" w:fill="FFEFC4"/>
          </w:tcPr>
          <w:p w14:paraId="18B617BD" w14:textId="60E33AED" w:rsidR="3C0BAC93" w:rsidRDefault="3C0BAC93" w:rsidP="3C0BAC93">
            <w:pPr>
              <w:spacing w:before="14" w:after="0" w:line="245" w:lineRule="auto"/>
              <w:ind w:left="4" w:right="75"/>
            </w:pPr>
            <w:r w:rsidRPr="3C0BAC93">
              <w:rPr>
                <w:rFonts w:ascii="Arial" w:eastAsia="Arial" w:hAnsi="Arial" w:cs="Arial"/>
                <w:sz w:val="16"/>
                <w:szCs w:val="16"/>
              </w:rPr>
              <w:t xml:space="preserve">Best Practices for </w:t>
            </w:r>
            <w:r w:rsidRPr="3C0BAC93">
              <w:rPr>
                <w:rFonts w:ascii="Arial" w:eastAsia="Arial" w:hAnsi="Arial" w:cs="Arial"/>
                <w:sz w:val="16"/>
                <w:szCs w:val="16"/>
              </w:rPr>
              <w:lastRenderedPageBreak/>
              <w:t>Drafting an STR or SAR</w:t>
            </w:r>
          </w:p>
        </w:tc>
        <w:tc>
          <w:tcPr>
            <w:tcW w:w="8685" w:type="dxa"/>
            <w:tcBorders>
              <w:top w:val="single" w:sz="4"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41A02811" w14:textId="586F944C" w:rsidR="3C0BAC93" w:rsidRDefault="3C0BAC93" w:rsidP="3C0BAC93">
            <w:pPr>
              <w:spacing w:before="14" w:after="0" w:line="245" w:lineRule="auto"/>
              <w:ind w:left="4" w:right="75"/>
            </w:pPr>
            <w:r w:rsidRPr="3C0BAC93">
              <w:rPr>
                <w:rFonts w:ascii="Arial" w:eastAsia="Arial" w:hAnsi="Arial" w:cs="Arial"/>
                <w:sz w:val="16"/>
                <w:szCs w:val="16"/>
              </w:rPr>
              <w:lastRenderedPageBreak/>
              <w:t xml:space="preserve">A narrative should identify and answer the five questions – who? what? when? where? and why? – of the suspicious activity being reported to the FIU in addition to the operation/modus operandi (or </w:t>
            </w:r>
            <w:r w:rsidRPr="3C0BAC93">
              <w:rPr>
                <w:rFonts w:ascii="Arial" w:eastAsia="Arial" w:hAnsi="Arial" w:cs="Arial"/>
                <w:sz w:val="16"/>
                <w:szCs w:val="16"/>
              </w:rPr>
              <w:lastRenderedPageBreak/>
              <w:t>how?). The Guidance also addresses how defensive STR or SAR filings are generally discouraged.</w:t>
            </w:r>
          </w:p>
        </w:tc>
      </w:tr>
      <w:tr w:rsidR="3C0BAC93" w14:paraId="44059AF3" w14:textId="77777777" w:rsidTr="3C0BAC93">
        <w:trPr>
          <w:trHeight w:val="585"/>
        </w:trPr>
        <w:tc>
          <w:tcPr>
            <w:tcW w:w="990" w:type="dxa"/>
            <w:vMerge/>
            <w:tcBorders>
              <w:left w:val="single" w:sz="0" w:space="0" w:color="000000" w:themeColor="text1"/>
              <w:right w:val="single" w:sz="0" w:space="0" w:color="000000" w:themeColor="text1"/>
            </w:tcBorders>
            <w:vAlign w:val="center"/>
          </w:tcPr>
          <w:p w14:paraId="7DDDC106" w14:textId="77777777" w:rsidR="0065131D" w:rsidRDefault="0065131D"/>
        </w:tc>
        <w:tc>
          <w:tcPr>
            <w:tcW w:w="1095" w:type="dxa"/>
            <w:tcBorders>
              <w:top w:val="single" w:sz="8" w:space="0" w:color="000000" w:themeColor="text1"/>
              <w:left w:val="nil"/>
              <w:bottom w:val="single" w:sz="8" w:space="0" w:color="000000" w:themeColor="text1"/>
              <w:right w:val="single" w:sz="8" w:space="0" w:color="000000" w:themeColor="text1"/>
            </w:tcBorders>
            <w:shd w:val="clear" w:color="auto" w:fill="FFEFC4"/>
          </w:tcPr>
          <w:p w14:paraId="20B60263" w14:textId="5EC8807D" w:rsidR="3C0BAC93" w:rsidRDefault="3C0BAC93" w:rsidP="3C0BAC93">
            <w:pPr>
              <w:spacing w:before="14" w:after="0" w:line="245" w:lineRule="auto"/>
              <w:ind w:left="4" w:right="75"/>
            </w:pPr>
            <w:r w:rsidRPr="3C0BAC93">
              <w:rPr>
                <w:rFonts w:ascii="Arial" w:eastAsia="Arial" w:hAnsi="Arial" w:cs="Arial"/>
                <w:sz w:val="16"/>
                <w:szCs w:val="16"/>
              </w:rPr>
              <w:t>How to Submit an STR or SAR</w:t>
            </w:r>
          </w:p>
        </w:tc>
        <w:tc>
          <w:tcPr>
            <w:tcW w:w="8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69526740" w14:textId="17218A17" w:rsidR="3C0BAC93" w:rsidRDefault="3C0BAC93" w:rsidP="3C0BAC93">
            <w:pPr>
              <w:spacing w:before="14" w:after="0" w:line="242" w:lineRule="auto"/>
              <w:ind w:left="4" w:right="75"/>
            </w:pPr>
            <w:r w:rsidRPr="3C0BAC93">
              <w:rPr>
                <w:rFonts w:ascii="Arial" w:eastAsia="Arial" w:hAnsi="Arial" w:cs="Arial"/>
                <w:sz w:val="16"/>
                <w:szCs w:val="16"/>
              </w:rPr>
              <w:t xml:space="preserve"> UAE is required to submit suspicious transaction and activity reports directly to the FIU using the “goAML” portal. There are certain mandatory fields that  UAE will populate when submitting a report in the goAML portal in addition to providing certain supplemental</w:t>
            </w:r>
          </w:p>
          <w:p w14:paraId="717A7714" w14:textId="36C00532" w:rsidR="3C0BAC93" w:rsidRDefault="3C0BAC93" w:rsidP="3C0BAC93">
            <w:pPr>
              <w:spacing w:before="14" w:after="0"/>
              <w:ind w:left="4" w:right="75"/>
            </w:pPr>
            <w:r w:rsidRPr="3C0BAC93">
              <w:rPr>
                <w:rFonts w:ascii="Arial" w:eastAsia="Arial" w:hAnsi="Arial" w:cs="Arial"/>
                <w:sz w:val="16"/>
                <w:szCs w:val="16"/>
              </w:rPr>
              <w:t>documents.</w:t>
            </w:r>
          </w:p>
        </w:tc>
      </w:tr>
      <w:tr w:rsidR="3C0BAC93" w14:paraId="306A3F74" w14:textId="77777777" w:rsidTr="3C0BAC93">
        <w:trPr>
          <w:trHeight w:val="495"/>
        </w:trPr>
        <w:tc>
          <w:tcPr>
            <w:tcW w:w="990" w:type="dxa"/>
            <w:vMerge/>
            <w:tcBorders>
              <w:left w:val="single" w:sz="0" w:space="0" w:color="000000" w:themeColor="text1"/>
              <w:bottom w:val="single" w:sz="0" w:space="0" w:color="000000" w:themeColor="text1"/>
              <w:right w:val="single" w:sz="0" w:space="0" w:color="000000" w:themeColor="text1"/>
            </w:tcBorders>
            <w:vAlign w:val="center"/>
          </w:tcPr>
          <w:p w14:paraId="148D451E" w14:textId="77777777" w:rsidR="0065131D" w:rsidRDefault="0065131D"/>
        </w:tc>
        <w:tc>
          <w:tcPr>
            <w:tcW w:w="1095" w:type="dxa"/>
            <w:tcBorders>
              <w:top w:val="single" w:sz="8" w:space="0" w:color="000000" w:themeColor="text1"/>
              <w:left w:val="nil"/>
              <w:bottom w:val="single" w:sz="8" w:space="0" w:color="000000" w:themeColor="text1"/>
              <w:right w:val="single" w:sz="8" w:space="0" w:color="000000" w:themeColor="text1"/>
            </w:tcBorders>
            <w:shd w:val="clear" w:color="auto" w:fill="FFEFC4"/>
          </w:tcPr>
          <w:p w14:paraId="65C89883" w14:textId="69784F74" w:rsidR="3C0BAC93" w:rsidRDefault="3C0BAC93" w:rsidP="3C0BAC93">
            <w:pPr>
              <w:spacing w:before="14" w:after="0" w:line="245" w:lineRule="auto"/>
              <w:ind w:left="4" w:right="75"/>
            </w:pPr>
            <w:r w:rsidRPr="3C0BAC93">
              <w:rPr>
                <w:rFonts w:ascii="Arial" w:eastAsia="Arial" w:hAnsi="Arial" w:cs="Arial"/>
                <w:sz w:val="16"/>
                <w:szCs w:val="16"/>
              </w:rPr>
              <w:t>Amendments to Submitted Reports</w:t>
            </w:r>
          </w:p>
        </w:tc>
        <w:tc>
          <w:tcPr>
            <w:tcW w:w="8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1845F12D" w14:textId="0E5F0122" w:rsidR="3C0BAC93" w:rsidRDefault="3C0BAC93" w:rsidP="3C0BAC93">
            <w:pPr>
              <w:spacing w:before="14" w:after="0" w:line="245" w:lineRule="auto"/>
              <w:ind w:left="4" w:right="75"/>
            </w:pPr>
            <w:r w:rsidRPr="3C0BAC93">
              <w:rPr>
                <w:rFonts w:ascii="Arial" w:eastAsia="Arial" w:hAnsi="Arial" w:cs="Arial"/>
                <w:sz w:val="16"/>
                <w:szCs w:val="16"/>
              </w:rPr>
              <w:t>Once a report is submitted and accepted in the goAML system, changes cannot be applied, including amendments for missing or incorrect information. However,  UAE may file a corresponding AIF, AIFT, RFI, or RFIT.</w:t>
            </w:r>
          </w:p>
        </w:tc>
      </w:tr>
      <w:tr w:rsidR="3C0BAC93" w14:paraId="4536D463" w14:textId="77777777" w:rsidTr="3C0BAC93">
        <w:trPr>
          <w:trHeight w:val="780"/>
        </w:trPr>
        <w:tc>
          <w:tcPr>
            <w:tcW w:w="990" w:type="dxa"/>
            <w:vMerge w:val="restart"/>
            <w:tcBorders>
              <w:top w:val="nil"/>
              <w:left w:val="single" w:sz="4" w:space="0" w:color="000000" w:themeColor="text1"/>
              <w:bottom w:val="single" w:sz="4" w:space="0" w:color="000000" w:themeColor="text1"/>
              <w:right w:val="single" w:sz="4" w:space="0" w:color="000000" w:themeColor="text1"/>
            </w:tcBorders>
            <w:shd w:val="clear" w:color="auto" w:fill="BF0000"/>
          </w:tcPr>
          <w:p w14:paraId="300A96D7" w14:textId="72216000" w:rsidR="3C0BAC93" w:rsidRDefault="3C0BAC93" w:rsidP="3C0BAC93">
            <w:pPr>
              <w:spacing w:after="0"/>
            </w:pPr>
            <w:r w:rsidRPr="3C0BAC93">
              <w:rPr>
                <w:rFonts w:ascii="Arial" w:eastAsia="Arial" w:hAnsi="Arial" w:cs="Arial"/>
                <w:b/>
                <w:bCs/>
                <w:sz w:val="16"/>
                <w:szCs w:val="16"/>
              </w:rPr>
              <w:t xml:space="preserve"> </w:t>
            </w:r>
          </w:p>
          <w:p w14:paraId="7EF850AF" w14:textId="6BBA3F69" w:rsidR="3C0BAC93" w:rsidRDefault="3C0BAC93" w:rsidP="3C0BAC93">
            <w:pPr>
              <w:spacing w:after="0"/>
            </w:pPr>
            <w:r w:rsidRPr="3C0BAC93">
              <w:rPr>
                <w:rFonts w:ascii="Arial" w:eastAsia="Arial" w:hAnsi="Arial" w:cs="Arial"/>
                <w:b/>
                <w:bCs/>
                <w:sz w:val="16"/>
                <w:szCs w:val="16"/>
              </w:rPr>
              <w:t xml:space="preserve"> </w:t>
            </w:r>
          </w:p>
          <w:p w14:paraId="6CBCB94E" w14:textId="7CF0AE74" w:rsidR="3C0BAC93" w:rsidRDefault="3C0BAC93" w:rsidP="3C0BAC93">
            <w:pPr>
              <w:spacing w:after="0"/>
            </w:pPr>
            <w:r w:rsidRPr="3C0BAC93">
              <w:rPr>
                <w:rFonts w:ascii="Arial" w:eastAsia="Arial" w:hAnsi="Arial" w:cs="Arial"/>
                <w:b/>
                <w:bCs/>
                <w:sz w:val="16"/>
                <w:szCs w:val="16"/>
              </w:rPr>
              <w:t xml:space="preserve"> </w:t>
            </w:r>
          </w:p>
          <w:p w14:paraId="21652B8E" w14:textId="1F2AD7BD" w:rsidR="3C0BAC93" w:rsidRDefault="3C0BAC93" w:rsidP="3C0BAC93">
            <w:pPr>
              <w:spacing w:after="0"/>
            </w:pPr>
            <w:r w:rsidRPr="3C0BAC93">
              <w:rPr>
                <w:rFonts w:ascii="Arial" w:eastAsia="Arial" w:hAnsi="Arial" w:cs="Arial"/>
                <w:b/>
                <w:bCs/>
                <w:sz w:val="16"/>
                <w:szCs w:val="16"/>
              </w:rPr>
              <w:t xml:space="preserve"> </w:t>
            </w:r>
          </w:p>
          <w:p w14:paraId="215DD448" w14:textId="3814C2DB" w:rsidR="3C0BAC93" w:rsidRDefault="3C0BAC93" w:rsidP="3C0BAC93">
            <w:pPr>
              <w:spacing w:after="0"/>
            </w:pPr>
            <w:r w:rsidRPr="3C0BAC93">
              <w:rPr>
                <w:rFonts w:ascii="Arial" w:eastAsia="Arial" w:hAnsi="Arial" w:cs="Arial"/>
                <w:b/>
                <w:bCs/>
                <w:sz w:val="16"/>
                <w:szCs w:val="16"/>
              </w:rPr>
              <w:t xml:space="preserve"> </w:t>
            </w:r>
          </w:p>
          <w:p w14:paraId="1AE9FA5C" w14:textId="1416D262" w:rsidR="3C0BAC93" w:rsidRDefault="3C0BAC93" w:rsidP="3C0BAC93">
            <w:pPr>
              <w:spacing w:after="0"/>
            </w:pPr>
            <w:r w:rsidRPr="3C0BAC93">
              <w:rPr>
                <w:rFonts w:ascii="Arial" w:eastAsia="Arial" w:hAnsi="Arial" w:cs="Arial"/>
                <w:b/>
                <w:bCs/>
                <w:sz w:val="16"/>
                <w:szCs w:val="16"/>
              </w:rPr>
              <w:t xml:space="preserve"> </w:t>
            </w:r>
          </w:p>
          <w:p w14:paraId="6FDD3AA3" w14:textId="367E03CD" w:rsidR="3C0BAC93" w:rsidRDefault="3C0BAC93" w:rsidP="3C0BAC93">
            <w:pPr>
              <w:spacing w:after="0"/>
            </w:pPr>
            <w:r w:rsidRPr="3C0BAC93">
              <w:rPr>
                <w:rFonts w:ascii="Arial" w:eastAsia="Arial" w:hAnsi="Arial" w:cs="Arial"/>
                <w:b/>
                <w:bCs/>
                <w:sz w:val="16"/>
                <w:szCs w:val="16"/>
              </w:rPr>
              <w:t xml:space="preserve"> </w:t>
            </w:r>
          </w:p>
          <w:p w14:paraId="0C52E850" w14:textId="47498831" w:rsidR="3C0BAC93" w:rsidRDefault="3C0BAC93" w:rsidP="3C0BAC93">
            <w:pPr>
              <w:spacing w:after="0"/>
            </w:pPr>
            <w:r w:rsidRPr="3C0BAC93">
              <w:rPr>
                <w:rFonts w:ascii="Arial" w:eastAsia="Arial" w:hAnsi="Arial" w:cs="Arial"/>
                <w:b/>
                <w:bCs/>
                <w:sz w:val="16"/>
                <w:szCs w:val="16"/>
              </w:rPr>
              <w:t xml:space="preserve"> </w:t>
            </w:r>
          </w:p>
          <w:p w14:paraId="3212965B" w14:textId="1D898E1E" w:rsidR="3C0BAC93" w:rsidRDefault="3C0BAC93" w:rsidP="3C0BAC93">
            <w:pPr>
              <w:spacing w:before="10" w:after="0"/>
            </w:pPr>
            <w:r w:rsidRPr="3C0BAC93">
              <w:rPr>
                <w:rFonts w:ascii="Arial" w:eastAsia="Arial" w:hAnsi="Arial" w:cs="Arial"/>
                <w:b/>
                <w:bCs/>
                <w:sz w:val="16"/>
                <w:szCs w:val="16"/>
              </w:rPr>
              <w:t xml:space="preserve"> </w:t>
            </w:r>
          </w:p>
          <w:p w14:paraId="462BE7B6" w14:textId="2313B24F" w:rsidR="3C0BAC93" w:rsidRDefault="3C0BAC93" w:rsidP="3C0BAC93">
            <w:pPr>
              <w:spacing w:after="0" w:line="245" w:lineRule="auto"/>
              <w:ind w:left="4" w:right="121"/>
            </w:pPr>
            <w:r w:rsidRPr="3C0BAC93">
              <w:rPr>
                <w:rFonts w:ascii="Arial" w:eastAsia="Arial" w:hAnsi="Arial" w:cs="Arial"/>
                <w:b/>
                <w:bCs/>
                <w:color w:val="FFFFFF" w:themeColor="background1"/>
                <w:sz w:val="16"/>
                <w:szCs w:val="16"/>
              </w:rPr>
              <w:t>Timing of Alert Reviews and STR Filings</w:t>
            </w:r>
          </w:p>
        </w:tc>
        <w:tc>
          <w:tcPr>
            <w:tcW w:w="1095" w:type="dxa"/>
            <w:tcBorders>
              <w:top w:val="single" w:sz="8" w:space="0" w:color="000000" w:themeColor="text1"/>
              <w:left w:val="single" w:sz="4" w:space="0" w:color="000000" w:themeColor="text1"/>
              <w:bottom w:val="single" w:sz="8" w:space="0" w:color="000000" w:themeColor="text1"/>
              <w:right w:val="single" w:sz="8" w:space="0" w:color="000000" w:themeColor="text1"/>
            </w:tcBorders>
            <w:shd w:val="clear" w:color="auto" w:fill="C6DFB3"/>
          </w:tcPr>
          <w:p w14:paraId="76A2292B" w14:textId="137EE593" w:rsidR="3C0BAC93" w:rsidRDefault="3C0BAC93" w:rsidP="3C0BAC93">
            <w:pPr>
              <w:spacing w:before="14" w:after="0" w:line="245" w:lineRule="auto"/>
              <w:ind w:left="4" w:right="75"/>
            </w:pPr>
            <w:r w:rsidRPr="3C0BAC93">
              <w:rPr>
                <w:rFonts w:ascii="Arial" w:eastAsia="Arial" w:hAnsi="Arial" w:cs="Arial"/>
                <w:sz w:val="16"/>
                <w:szCs w:val="16"/>
              </w:rPr>
              <w:t>Alert Review, Case Investigation, and STR or SAR Decision</w:t>
            </w:r>
          </w:p>
          <w:p w14:paraId="10953F07" w14:textId="226411A6" w:rsidR="3C0BAC93" w:rsidRDefault="3C0BAC93" w:rsidP="3C0BAC93">
            <w:pPr>
              <w:spacing w:before="14" w:after="0"/>
              <w:ind w:left="4" w:right="75"/>
            </w:pPr>
            <w:r w:rsidRPr="3C0BAC93">
              <w:rPr>
                <w:rFonts w:ascii="Arial" w:eastAsia="Arial" w:hAnsi="Arial" w:cs="Arial"/>
                <w:sz w:val="16"/>
                <w:szCs w:val="16"/>
              </w:rPr>
              <w:t>Making</w:t>
            </w:r>
          </w:p>
        </w:tc>
        <w:tc>
          <w:tcPr>
            <w:tcW w:w="8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723E0A59" w14:textId="0CBF27B9" w:rsidR="3C0BAC93" w:rsidRDefault="3C0BAC93" w:rsidP="3C0BAC93">
            <w:pPr>
              <w:spacing w:before="14" w:after="0" w:line="245" w:lineRule="auto"/>
              <w:ind w:left="4" w:right="75"/>
            </w:pPr>
            <w:r w:rsidRPr="3C0BAC93">
              <w:rPr>
                <w:rFonts w:ascii="Arial" w:eastAsia="Arial" w:hAnsi="Arial" w:cs="Arial"/>
                <w:sz w:val="16"/>
                <w:szCs w:val="16"/>
              </w:rPr>
              <w:t xml:space="preserve">In the absence of escalation for expedited review,  UAE will file an STR/SAR within a maximum of 35 business days from the </w:t>
            </w:r>
          </w:p>
          <w:p w14:paraId="700775E1" w14:textId="369633CE" w:rsidR="3C0BAC93" w:rsidRDefault="3C0BAC93" w:rsidP="3C0BAC93">
            <w:pPr>
              <w:spacing w:before="14" w:after="0" w:line="245" w:lineRule="auto"/>
              <w:ind w:left="4" w:right="75"/>
            </w:pPr>
            <w:r w:rsidRPr="3C0BAC93">
              <w:rPr>
                <w:rFonts w:ascii="Arial" w:eastAsia="Arial" w:hAnsi="Arial" w:cs="Arial"/>
                <w:sz w:val="16"/>
                <w:szCs w:val="16"/>
              </w:rPr>
              <w:t xml:space="preserve">date of automated alert generation. The establishment of adequate grounds of suspicion may involve the investigation procedures as per </w:t>
            </w:r>
          </w:p>
          <w:p w14:paraId="1F89CFB8" w14:textId="02861E20" w:rsidR="3C0BAC93" w:rsidRDefault="3C0BAC93" w:rsidP="3C0BAC93">
            <w:pPr>
              <w:spacing w:before="14" w:after="0" w:line="245" w:lineRule="auto"/>
              <w:ind w:left="4" w:right="75"/>
            </w:pPr>
            <w:r w:rsidRPr="3C0BAC93">
              <w:rPr>
                <w:rFonts w:ascii="Arial" w:eastAsia="Arial" w:hAnsi="Arial" w:cs="Arial"/>
                <w:sz w:val="16"/>
                <w:szCs w:val="16"/>
              </w:rPr>
              <w:t xml:space="preserve">the  UAEs' AML and/or Financial Crime Compliance policies and procedures.  UAE will complete the required investigative </w:t>
            </w:r>
          </w:p>
          <w:p w14:paraId="6A6B14B4" w14:textId="2B335306" w:rsidR="3C0BAC93" w:rsidRDefault="3C0BAC93" w:rsidP="3C0BAC93">
            <w:pPr>
              <w:spacing w:before="14" w:after="0" w:line="245" w:lineRule="auto"/>
              <w:ind w:left="4" w:right="75"/>
            </w:pPr>
            <w:r w:rsidRPr="3C0BAC93">
              <w:rPr>
                <w:rFonts w:ascii="Arial" w:eastAsia="Arial" w:hAnsi="Arial" w:cs="Arial"/>
                <w:sz w:val="16"/>
                <w:szCs w:val="16"/>
              </w:rPr>
              <w:t xml:space="preserve">procedures as expeditiously as possible.  UAE will maintain adequately detailed records of investigative procedures performed against </w:t>
            </w:r>
          </w:p>
          <w:p w14:paraId="7822C2FC" w14:textId="43D7A7F8" w:rsidR="3C0BAC93" w:rsidRDefault="3C0BAC93" w:rsidP="3C0BAC93">
            <w:pPr>
              <w:spacing w:before="14" w:after="0" w:line="245" w:lineRule="auto"/>
              <w:ind w:left="4" w:right="75"/>
            </w:pPr>
            <w:r w:rsidRPr="3C0BAC93">
              <w:rPr>
                <w:rFonts w:ascii="Arial" w:eastAsia="Arial" w:hAnsi="Arial" w:cs="Arial"/>
                <w:sz w:val="16"/>
                <w:szCs w:val="16"/>
              </w:rPr>
              <w:t xml:space="preserve">alerts and when filing an STR/SAR, it will include a summary justifying the time taken to establish grounds of suspicion. In the event of </w:t>
            </w:r>
          </w:p>
          <w:p w14:paraId="33FD4214" w14:textId="7862D206" w:rsidR="3C0BAC93" w:rsidRDefault="3C0BAC93" w:rsidP="3C0BAC93">
            <w:pPr>
              <w:spacing w:before="14" w:after="0" w:line="245" w:lineRule="auto"/>
              <w:ind w:left="4" w:right="75"/>
            </w:pPr>
            <w:r w:rsidRPr="3C0BAC93">
              <w:rPr>
                <w:rFonts w:ascii="Arial" w:eastAsia="Arial" w:hAnsi="Arial" w:cs="Arial"/>
                <w:sz w:val="16"/>
                <w:szCs w:val="16"/>
              </w:rPr>
              <w:t xml:space="preserve">escalation for expedited review, the Compliance Officer or MLRO will file an STR or SAR to the FIU within 24 hours of the determination. </w:t>
            </w:r>
          </w:p>
          <w:p w14:paraId="5A9E68A6" w14:textId="55922F43" w:rsidR="3C0BAC93" w:rsidRDefault="3C0BAC93" w:rsidP="3C0BAC93">
            <w:pPr>
              <w:spacing w:before="14" w:after="0"/>
              <w:ind w:left="4" w:right="75"/>
            </w:pPr>
            <w:r w:rsidRPr="3C0BAC93">
              <w:rPr>
                <w:rFonts w:ascii="Arial" w:eastAsia="Arial" w:hAnsi="Arial" w:cs="Arial"/>
                <w:sz w:val="16"/>
                <w:szCs w:val="16"/>
              </w:rPr>
              <w:t>All prospective STRs or SARs will be reviewed for accuracy and completeness prior to filing, in accordance with applicable procedures</w:t>
            </w:r>
          </w:p>
        </w:tc>
      </w:tr>
      <w:tr w:rsidR="3C0BAC93" w14:paraId="6E0F5D36" w14:textId="77777777" w:rsidTr="3C0BAC93">
        <w:trPr>
          <w:trHeight w:val="615"/>
        </w:trPr>
        <w:tc>
          <w:tcPr>
            <w:tcW w:w="990" w:type="dxa"/>
            <w:vMerge/>
            <w:tcBorders>
              <w:left w:val="single" w:sz="0" w:space="0" w:color="000000" w:themeColor="text1"/>
              <w:right w:val="single" w:sz="0" w:space="0" w:color="000000" w:themeColor="text1"/>
            </w:tcBorders>
            <w:vAlign w:val="center"/>
          </w:tcPr>
          <w:p w14:paraId="52F8C1FD" w14:textId="77777777" w:rsidR="0065131D" w:rsidRDefault="0065131D"/>
        </w:tc>
        <w:tc>
          <w:tcPr>
            <w:tcW w:w="1095" w:type="dxa"/>
            <w:tcBorders>
              <w:top w:val="single" w:sz="8" w:space="0" w:color="000000" w:themeColor="text1"/>
              <w:left w:val="nil"/>
              <w:bottom w:val="single" w:sz="8" w:space="0" w:color="000000" w:themeColor="text1"/>
              <w:right w:val="single" w:sz="8" w:space="0" w:color="000000" w:themeColor="text1"/>
            </w:tcBorders>
            <w:shd w:val="clear" w:color="auto" w:fill="C6DFB3"/>
          </w:tcPr>
          <w:p w14:paraId="2337CB97" w14:textId="1561D6CA" w:rsidR="3C0BAC93" w:rsidRDefault="3C0BAC93" w:rsidP="3C0BAC93">
            <w:pPr>
              <w:spacing w:before="14" w:after="0" w:line="245" w:lineRule="auto"/>
              <w:ind w:left="4" w:right="75"/>
            </w:pPr>
            <w:r w:rsidRPr="3C0BAC93">
              <w:rPr>
                <w:rFonts w:ascii="Arial" w:eastAsia="Arial" w:hAnsi="Arial" w:cs="Arial"/>
                <w:sz w:val="16"/>
                <w:szCs w:val="16"/>
              </w:rPr>
              <w:t xml:space="preserve">Monitoring and </w:t>
            </w:r>
          </w:p>
          <w:p w14:paraId="2E3F3172" w14:textId="456EE167" w:rsidR="3C0BAC93" w:rsidRDefault="3C0BAC93" w:rsidP="3C0BAC93">
            <w:pPr>
              <w:spacing w:before="14" w:after="0" w:line="245" w:lineRule="auto"/>
              <w:ind w:left="4" w:right="75"/>
            </w:pPr>
            <w:r w:rsidRPr="3C0BAC93">
              <w:rPr>
                <w:rFonts w:ascii="Arial" w:eastAsia="Arial" w:hAnsi="Arial" w:cs="Arial"/>
                <w:sz w:val="16"/>
                <w:szCs w:val="16"/>
              </w:rPr>
              <w:t xml:space="preserve">Reporting of </w:t>
            </w:r>
          </w:p>
          <w:p w14:paraId="1FDAA2F3" w14:textId="1A638D60" w:rsidR="3C0BAC93" w:rsidRDefault="3C0BAC93" w:rsidP="3C0BAC93">
            <w:pPr>
              <w:spacing w:before="14" w:after="0" w:line="245" w:lineRule="auto"/>
              <w:ind w:left="4" w:right="75"/>
            </w:pPr>
            <w:r w:rsidRPr="3C0BAC93">
              <w:rPr>
                <w:rFonts w:ascii="Arial" w:eastAsia="Arial" w:hAnsi="Arial" w:cs="Arial"/>
                <w:sz w:val="16"/>
                <w:szCs w:val="16"/>
              </w:rPr>
              <w:t xml:space="preserve">Continuing Suspicious </w:t>
            </w:r>
          </w:p>
          <w:p w14:paraId="736BD1B8" w14:textId="58E0525C" w:rsidR="3C0BAC93" w:rsidRDefault="3C0BAC93" w:rsidP="3C0BAC93">
            <w:pPr>
              <w:spacing w:before="14" w:after="0" w:line="245" w:lineRule="auto"/>
              <w:ind w:left="4" w:right="75"/>
            </w:pPr>
            <w:r w:rsidRPr="3C0BAC93">
              <w:rPr>
                <w:rFonts w:ascii="Arial" w:eastAsia="Arial" w:hAnsi="Arial" w:cs="Arial"/>
                <w:sz w:val="16"/>
                <w:szCs w:val="16"/>
              </w:rPr>
              <w:t>Activity</w:t>
            </w:r>
          </w:p>
        </w:tc>
        <w:tc>
          <w:tcPr>
            <w:tcW w:w="8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456017F4" w14:textId="741DCEB9" w:rsidR="3C0BAC93" w:rsidRDefault="3C0BAC93" w:rsidP="3C0BAC93">
            <w:pPr>
              <w:spacing w:before="14" w:after="0" w:line="245" w:lineRule="auto"/>
              <w:ind w:left="4" w:right="75"/>
            </w:pPr>
            <w:r w:rsidRPr="3C0BAC93">
              <w:rPr>
                <w:rFonts w:ascii="Arial" w:eastAsia="Arial" w:hAnsi="Arial" w:cs="Arial"/>
                <w:sz w:val="16"/>
                <w:szCs w:val="16"/>
              </w:rPr>
              <w:t xml:space="preserve">Upon filing an STR/SAR pertaining to an account holder,  UAE will implement enhanced monitoring on such account holders. In </w:t>
            </w:r>
          </w:p>
          <w:p w14:paraId="4633BDFF" w14:textId="4A46F8DE" w:rsidR="3C0BAC93" w:rsidRDefault="3C0BAC93" w:rsidP="3C0BAC93">
            <w:pPr>
              <w:spacing w:before="14" w:after="0" w:line="245" w:lineRule="auto"/>
              <w:ind w:left="4" w:right="75"/>
            </w:pPr>
            <w:r w:rsidRPr="3C0BAC93">
              <w:rPr>
                <w:rFonts w:ascii="Arial" w:eastAsia="Arial" w:hAnsi="Arial" w:cs="Arial"/>
                <w:sz w:val="16"/>
                <w:szCs w:val="16"/>
              </w:rPr>
              <w:t xml:space="preserve">the case of continued suspicious activity detected against said account holder,  UAE will expeditiously file an STR/SAR with the </w:t>
            </w:r>
          </w:p>
          <w:p w14:paraId="6E1A72D1" w14:textId="43E8CC32" w:rsidR="3C0BAC93" w:rsidRDefault="3C0BAC93" w:rsidP="3C0BAC93">
            <w:pPr>
              <w:spacing w:before="14" w:after="0" w:line="245" w:lineRule="auto"/>
              <w:ind w:left="4" w:right="75"/>
            </w:pPr>
            <w:r w:rsidRPr="3C0BAC93">
              <w:rPr>
                <w:rFonts w:ascii="Arial" w:eastAsia="Arial" w:hAnsi="Arial" w:cs="Arial"/>
                <w:sz w:val="16"/>
                <w:szCs w:val="16"/>
              </w:rPr>
              <w:t>FIU</w:t>
            </w:r>
          </w:p>
        </w:tc>
      </w:tr>
      <w:tr w:rsidR="3C0BAC93" w14:paraId="5A6A84E2" w14:textId="77777777" w:rsidTr="3C0BAC93">
        <w:trPr>
          <w:trHeight w:val="780"/>
        </w:trPr>
        <w:tc>
          <w:tcPr>
            <w:tcW w:w="990" w:type="dxa"/>
            <w:vMerge/>
            <w:tcBorders>
              <w:left w:val="single" w:sz="0" w:space="0" w:color="000000" w:themeColor="text1"/>
              <w:right w:val="single" w:sz="0" w:space="0" w:color="000000" w:themeColor="text1"/>
            </w:tcBorders>
            <w:vAlign w:val="center"/>
          </w:tcPr>
          <w:p w14:paraId="442B5DB0" w14:textId="77777777" w:rsidR="0065131D" w:rsidRDefault="0065131D"/>
        </w:tc>
        <w:tc>
          <w:tcPr>
            <w:tcW w:w="1095" w:type="dxa"/>
            <w:tcBorders>
              <w:top w:val="single" w:sz="8" w:space="0" w:color="000000" w:themeColor="text1"/>
              <w:left w:val="nil"/>
              <w:bottom w:val="single" w:sz="4" w:space="0" w:color="000000" w:themeColor="text1"/>
              <w:right w:val="single" w:sz="4" w:space="0" w:color="000000" w:themeColor="text1"/>
            </w:tcBorders>
            <w:shd w:val="clear" w:color="auto" w:fill="C6DFB3"/>
          </w:tcPr>
          <w:p w14:paraId="0BF76A75" w14:textId="32E2DAAB" w:rsidR="3C0BAC93" w:rsidRDefault="3C0BAC93" w:rsidP="3C0BAC93">
            <w:pPr>
              <w:spacing w:before="14" w:after="0" w:line="245" w:lineRule="auto"/>
              <w:ind w:left="4" w:right="75"/>
            </w:pPr>
            <w:r w:rsidRPr="3C0BAC93">
              <w:rPr>
                <w:rFonts w:ascii="Arial" w:eastAsia="Arial" w:hAnsi="Arial" w:cs="Arial"/>
                <w:sz w:val="16"/>
                <w:szCs w:val="16"/>
              </w:rPr>
              <w:t xml:space="preserve">Activity Requiring </w:t>
            </w:r>
          </w:p>
          <w:p w14:paraId="03EB2019" w14:textId="359ACC8A" w:rsidR="3C0BAC93" w:rsidRDefault="3C0BAC93" w:rsidP="3C0BAC93">
            <w:pPr>
              <w:spacing w:before="14" w:after="0"/>
              <w:ind w:left="4" w:right="75"/>
            </w:pPr>
            <w:r w:rsidRPr="3C0BAC93">
              <w:rPr>
                <w:rFonts w:ascii="Arial" w:eastAsia="Arial" w:hAnsi="Arial" w:cs="Arial"/>
                <w:sz w:val="16"/>
                <w:szCs w:val="16"/>
              </w:rPr>
              <w:t>Immediate Attention</w:t>
            </w:r>
          </w:p>
        </w:tc>
        <w:tc>
          <w:tcPr>
            <w:tcW w:w="8685" w:type="dxa"/>
            <w:tcBorders>
              <w:top w:val="single" w:sz="8" w:space="0" w:color="000000" w:themeColor="text1"/>
              <w:left w:val="single" w:sz="4" w:space="0" w:color="000000" w:themeColor="text1"/>
              <w:bottom w:val="single" w:sz="4" w:space="0" w:color="000000" w:themeColor="text1"/>
              <w:right w:val="single" w:sz="4" w:space="0" w:color="000000" w:themeColor="text1"/>
            </w:tcBorders>
            <w:shd w:val="clear" w:color="auto" w:fill="F6F9FB"/>
          </w:tcPr>
          <w:p w14:paraId="71AF8285" w14:textId="3F253E61" w:rsidR="3C0BAC93" w:rsidRDefault="3C0BAC93" w:rsidP="3C0BAC93">
            <w:pPr>
              <w:spacing w:before="14" w:after="0" w:line="245" w:lineRule="auto"/>
              <w:ind w:left="4" w:right="75"/>
              <w:jc w:val="both"/>
            </w:pPr>
            <w:r w:rsidRPr="3C0BAC93">
              <w:rPr>
                <w:rFonts w:ascii="Arial" w:eastAsia="Arial" w:hAnsi="Arial" w:cs="Arial"/>
                <w:sz w:val="16"/>
                <w:szCs w:val="16"/>
              </w:rPr>
              <w:t xml:space="preserve">Situations requiring immediate attention include reportable violations that are ongoing (e.g., part of an ongoing money laundering scheme </w:t>
            </w:r>
          </w:p>
          <w:p w14:paraId="59E3D4A8" w14:textId="0B05DB10" w:rsidR="3C0BAC93" w:rsidRDefault="3C0BAC93" w:rsidP="3C0BAC93">
            <w:pPr>
              <w:spacing w:before="14" w:after="0" w:line="245" w:lineRule="auto"/>
              <w:ind w:left="4" w:right="75"/>
              <w:jc w:val="both"/>
            </w:pPr>
            <w:r w:rsidRPr="3C0BAC93">
              <w:rPr>
                <w:rFonts w:ascii="Arial" w:eastAsia="Arial" w:hAnsi="Arial" w:cs="Arial"/>
                <w:sz w:val="16"/>
                <w:szCs w:val="16"/>
              </w:rPr>
              <w:t xml:space="preserve">as indicated by an appropriate law enforcement authority) and transactions that  UAE suspects are related to the financing of terrorism </w:t>
            </w:r>
          </w:p>
          <w:p w14:paraId="27DCC379" w14:textId="18D9F356" w:rsidR="3C0BAC93" w:rsidRDefault="3C0BAC93" w:rsidP="3C0BAC93">
            <w:pPr>
              <w:spacing w:before="14" w:after="0"/>
              <w:ind w:left="4" w:right="75"/>
            </w:pPr>
            <w:r w:rsidRPr="3C0BAC93">
              <w:rPr>
                <w:rFonts w:ascii="Arial" w:eastAsia="Arial" w:hAnsi="Arial" w:cs="Arial"/>
                <w:sz w:val="16"/>
                <w:szCs w:val="16"/>
              </w:rPr>
              <w:t>and illegal organizations.</w:t>
            </w:r>
          </w:p>
        </w:tc>
      </w:tr>
      <w:tr w:rsidR="3C0BAC93" w14:paraId="59E13BDB" w14:textId="77777777" w:rsidTr="3C0BAC93">
        <w:trPr>
          <w:trHeight w:val="780"/>
        </w:trPr>
        <w:tc>
          <w:tcPr>
            <w:tcW w:w="990" w:type="dxa"/>
            <w:vMerge/>
            <w:tcBorders>
              <w:left w:val="single" w:sz="0" w:space="0" w:color="000000" w:themeColor="text1"/>
              <w:right w:val="single" w:sz="0" w:space="0" w:color="000000" w:themeColor="text1"/>
            </w:tcBorders>
            <w:vAlign w:val="center"/>
          </w:tcPr>
          <w:p w14:paraId="4B470B6E" w14:textId="77777777" w:rsidR="0065131D" w:rsidRDefault="0065131D"/>
        </w:tc>
        <w:tc>
          <w:tcPr>
            <w:tcW w:w="1095" w:type="dxa"/>
            <w:tcBorders>
              <w:top w:val="single" w:sz="4" w:space="0" w:color="000000" w:themeColor="text1"/>
              <w:left w:val="nil"/>
              <w:bottom w:val="single" w:sz="4" w:space="0" w:color="000000" w:themeColor="text1"/>
              <w:right w:val="single" w:sz="4" w:space="0" w:color="000000" w:themeColor="text1"/>
            </w:tcBorders>
            <w:shd w:val="clear" w:color="auto" w:fill="C6DFB3"/>
          </w:tcPr>
          <w:p w14:paraId="2DB37D98" w14:textId="2C6D9EAB" w:rsidR="3C0BAC93" w:rsidRDefault="3C0BAC93" w:rsidP="3C0BAC93">
            <w:pPr>
              <w:spacing w:before="14" w:after="0" w:line="245" w:lineRule="auto"/>
              <w:ind w:left="4" w:right="75"/>
            </w:pPr>
            <w:r w:rsidRPr="3C0BAC93">
              <w:rPr>
                <w:rFonts w:ascii="Arial" w:eastAsia="Arial" w:hAnsi="Arial" w:cs="Arial"/>
                <w:sz w:val="16"/>
                <w:szCs w:val="16"/>
              </w:rPr>
              <w:t xml:space="preserve">Exceptions for </w:t>
            </w:r>
          </w:p>
          <w:p w14:paraId="2F92252D" w14:textId="45EC41A6" w:rsidR="3C0BAC93" w:rsidRDefault="3C0BAC93" w:rsidP="3C0BAC93">
            <w:pPr>
              <w:spacing w:before="14" w:after="0" w:line="245" w:lineRule="auto"/>
              <w:ind w:left="4" w:right="75"/>
            </w:pPr>
            <w:r w:rsidRPr="3C0BAC93">
              <w:rPr>
                <w:rFonts w:ascii="Arial" w:eastAsia="Arial" w:hAnsi="Arial" w:cs="Arial"/>
                <w:sz w:val="16"/>
                <w:szCs w:val="16"/>
              </w:rPr>
              <w:t>Complex Investigations</w:t>
            </w:r>
          </w:p>
        </w:tc>
        <w:tc>
          <w:tcPr>
            <w:tcW w:w="86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F9FB"/>
          </w:tcPr>
          <w:p w14:paraId="7ED9D5EB" w14:textId="583042D1" w:rsidR="3C0BAC93" w:rsidRDefault="3C0BAC93" w:rsidP="3C0BAC93">
            <w:pPr>
              <w:spacing w:before="14" w:after="0" w:line="245" w:lineRule="auto"/>
              <w:ind w:left="4" w:right="75"/>
            </w:pPr>
            <w:r w:rsidRPr="3C0BAC93">
              <w:rPr>
                <w:rFonts w:ascii="Arial" w:eastAsia="Arial" w:hAnsi="Arial" w:cs="Arial"/>
                <w:sz w:val="16"/>
                <w:szCs w:val="16"/>
              </w:rPr>
              <w:t xml:space="preserve">If the  UAE designates an investigation as “complex”,  UAE will submit an initial STR or SAR to the FIU within 15 business days of the </w:t>
            </w:r>
          </w:p>
          <w:p w14:paraId="3570834E" w14:textId="089135E3" w:rsidR="3C0BAC93" w:rsidRDefault="3C0BAC93" w:rsidP="3C0BAC93">
            <w:pPr>
              <w:spacing w:before="14" w:after="0" w:line="245" w:lineRule="auto"/>
              <w:ind w:left="4" w:right="75"/>
            </w:pPr>
            <w:r w:rsidRPr="3C0BAC93">
              <w:rPr>
                <w:rFonts w:ascii="Arial" w:eastAsia="Arial" w:hAnsi="Arial" w:cs="Arial"/>
                <w:sz w:val="16"/>
                <w:szCs w:val="16"/>
              </w:rPr>
              <w:t xml:space="preserve">alert generation. The initial STR/SAR will be labelled as a “Complex investigation” to the FIU. Following the initial STR or SAR filing, </w:t>
            </w:r>
          </w:p>
          <w:p w14:paraId="2C42E2C6" w14:textId="1F1EEFBB" w:rsidR="3C0BAC93" w:rsidRDefault="3C0BAC93" w:rsidP="3C0BAC93">
            <w:pPr>
              <w:spacing w:before="14" w:after="0" w:line="245" w:lineRule="auto"/>
              <w:ind w:left="4" w:right="75"/>
            </w:pPr>
            <w:r w:rsidRPr="3C0BAC93">
              <w:rPr>
                <w:rFonts w:ascii="Arial" w:eastAsia="Arial" w:hAnsi="Arial" w:cs="Arial"/>
                <w:sz w:val="16"/>
                <w:szCs w:val="16"/>
              </w:rPr>
              <w:t xml:space="preserve">the  UAE will have an additional 30 business days to obtain all necessary information related to the complex investigation and submit a follow-up </w:t>
            </w:r>
          </w:p>
          <w:p w14:paraId="15E22662" w14:textId="0A394C1D" w:rsidR="3C0BAC93" w:rsidRDefault="3C0BAC93" w:rsidP="3C0BAC93">
            <w:pPr>
              <w:spacing w:before="14" w:after="0" w:line="245" w:lineRule="auto"/>
              <w:ind w:left="4" w:right="75"/>
              <w:jc w:val="both"/>
            </w:pPr>
            <w:r w:rsidRPr="3C0BAC93">
              <w:rPr>
                <w:rFonts w:ascii="Arial" w:eastAsia="Arial" w:hAnsi="Arial" w:cs="Arial"/>
                <w:sz w:val="16"/>
                <w:szCs w:val="16"/>
              </w:rPr>
              <w:t>STR or SAR to the FIU</w:t>
            </w:r>
          </w:p>
        </w:tc>
      </w:tr>
      <w:tr w:rsidR="3C0BAC93" w14:paraId="0766E30A" w14:textId="77777777" w:rsidTr="3C0BAC93">
        <w:trPr>
          <w:trHeight w:val="585"/>
        </w:trPr>
        <w:tc>
          <w:tcPr>
            <w:tcW w:w="990" w:type="dxa"/>
            <w:vMerge/>
            <w:tcBorders>
              <w:left w:val="single" w:sz="0" w:space="0" w:color="000000" w:themeColor="text1"/>
              <w:bottom w:val="single" w:sz="0" w:space="0" w:color="000000" w:themeColor="text1"/>
              <w:right w:val="single" w:sz="0" w:space="0" w:color="000000" w:themeColor="text1"/>
            </w:tcBorders>
            <w:vAlign w:val="center"/>
          </w:tcPr>
          <w:p w14:paraId="532A8BF5" w14:textId="77777777" w:rsidR="0065131D" w:rsidRDefault="0065131D"/>
        </w:tc>
        <w:tc>
          <w:tcPr>
            <w:tcW w:w="1095" w:type="dxa"/>
            <w:tcBorders>
              <w:top w:val="single" w:sz="4" w:space="0" w:color="000000" w:themeColor="text1"/>
              <w:left w:val="nil"/>
              <w:bottom w:val="single" w:sz="8" w:space="0" w:color="000000" w:themeColor="text1"/>
              <w:right w:val="single" w:sz="8" w:space="0" w:color="000000" w:themeColor="text1"/>
            </w:tcBorders>
            <w:shd w:val="clear" w:color="auto" w:fill="C6DFB3"/>
          </w:tcPr>
          <w:p w14:paraId="1CE2C111" w14:textId="4CFB7233" w:rsidR="3C0BAC93" w:rsidRDefault="3C0BAC93" w:rsidP="3C0BAC93">
            <w:pPr>
              <w:spacing w:before="14" w:after="0" w:line="245" w:lineRule="auto"/>
              <w:ind w:left="4" w:right="75"/>
            </w:pPr>
            <w:r w:rsidRPr="3C0BAC93">
              <w:rPr>
                <w:rFonts w:ascii="Arial" w:eastAsia="Arial" w:hAnsi="Arial" w:cs="Arial"/>
                <w:sz w:val="16"/>
                <w:szCs w:val="16"/>
              </w:rPr>
              <w:t>Summary of Review,</w:t>
            </w:r>
          </w:p>
          <w:p w14:paraId="6C90EC64" w14:textId="55DCC2E8" w:rsidR="3C0BAC93" w:rsidRDefault="3C0BAC93" w:rsidP="3C0BAC93">
            <w:pPr>
              <w:spacing w:before="14" w:after="0" w:line="245" w:lineRule="auto"/>
              <w:ind w:left="4" w:right="75"/>
            </w:pPr>
            <w:r w:rsidRPr="3C0BAC93">
              <w:rPr>
                <w:rFonts w:ascii="Arial" w:eastAsia="Arial" w:hAnsi="Arial" w:cs="Arial"/>
                <w:sz w:val="16"/>
                <w:szCs w:val="16"/>
              </w:rPr>
              <w:t>Investigation, and Reporting Timelines</w:t>
            </w:r>
          </w:p>
        </w:tc>
        <w:tc>
          <w:tcPr>
            <w:tcW w:w="8685" w:type="dxa"/>
            <w:tcBorders>
              <w:top w:val="single" w:sz="4"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72EA4BE5" w14:textId="69DCB57A" w:rsidR="3C0BAC93" w:rsidRDefault="3C0BAC93" w:rsidP="3C0BAC93">
            <w:pPr>
              <w:spacing w:before="14" w:after="0" w:line="245" w:lineRule="auto"/>
              <w:ind w:left="4" w:right="75"/>
            </w:pPr>
            <w:r w:rsidRPr="3C0BAC93">
              <w:rPr>
                <w:rFonts w:ascii="Arial" w:eastAsia="Arial" w:hAnsi="Arial" w:cs="Arial"/>
                <w:sz w:val="16"/>
                <w:szCs w:val="16"/>
              </w:rPr>
              <w:t>There are recommended timelines for the review, investigation, and reporting of suspicious activity in the absence of an escalation for expedited review.</w:t>
            </w:r>
          </w:p>
        </w:tc>
      </w:tr>
      <w:tr w:rsidR="3C0BAC93" w14:paraId="5C154A05" w14:textId="77777777" w:rsidTr="3C0BAC93">
        <w:trPr>
          <w:trHeight w:val="390"/>
        </w:trPr>
        <w:tc>
          <w:tcPr>
            <w:tcW w:w="990" w:type="dxa"/>
            <w:vMerge/>
            <w:tcBorders>
              <w:left w:val="single" w:sz="0" w:space="0" w:color="000000" w:themeColor="text1"/>
              <w:bottom w:val="single" w:sz="0" w:space="0" w:color="000000" w:themeColor="text1"/>
              <w:right w:val="single" w:sz="0" w:space="0" w:color="000000" w:themeColor="text1"/>
            </w:tcBorders>
            <w:vAlign w:val="center"/>
          </w:tcPr>
          <w:p w14:paraId="58726647" w14:textId="77777777" w:rsidR="0065131D" w:rsidRDefault="0065131D"/>
        </w:tc>
        <w:tc>
          <w:tcPr>
            <w:tcW w:w="1095" w:type="dxa"/>
            <w:tcBorders>
              <w:top w:val="single" w:sz="8" w:space="0" w:color="000000" w:themeColor="text1"/>
              <w:left w:val="nil"/>
              <w:bottom w:val="single" w:sz="4" w:space="0" w:color="000000" w:themeColor="text1"/>
              <w:right w:val="single" w:sz="4" w:space="0" w:color="000000" w:themeColor="text1"/>
            </w:tcBorders>
            <w:shd w:val="clear" w:color="auto" w:fill="C6DFB3"/>
          </w:tcPr>
          <w:p w14:paraId="3BD3F69F" w14:textId="6C52FF6D" w:rsidR="3C0BAC93" w:rsidRDefault="3C0BAC93" w:rsidP="3C0BAC93">
            <w:pPr>
              <w:spacing w:before="14" w:after="0" w:line="245" w:lineRule="auto"/>
              <w:ind w:left="4" w:right="75"/>
            </w:pPr>
            <w:r w:rsidRPr="3C0BAC93">
              <w:rPr>
                <w:rFonts w:ascii="Arial" w:eastAsia="Arial" w:hAnsi="Arial" w:cs="Arial"/>
                <w:sz w:val="16"/>
                <w:szCs w:val="16"/>
              </w:rPr>
              <w:t>Escalation for Expedited Review</w:t>
            </w:r>
          </w:p>
        </w:tc>
        <w:tc>
          <w:tcPr>
            <w:tcW w:w="8685" w:type="dxa"/>
            <w:tcBorders>
              <w:top w:val="single" w:sz="8" w:space="0" w:color="000000" w:themeColor="text1"/>
              <w:left w:val="single" w:sz="4" w:space="0" w:color="000000" w:themeColor="text1"/>
              <w:bottom w:val="single" w:sz="4" w:space="0" w:color="000000" w:themeColor="text1"/>
              <w:right w:val="single" w:sz="4" w:space="0" w:color="000000" w:themeColor="text1"/>
            </w:tcBorders>
            <w:shd w:val="clear" w:color="auto" w:fill="F6F9FB"/>
          </w:tcPr>
          <w:p w14:paraId="3EBB5883" w14:textId="4684F60B" w:rsidR="3C0BAC93" w:rsidRDefault="3C0BAC93" w:rsidP="3C0BAC93">
            <w:pPr>
              <w:spacing w:before="14" w:after="0" w:line="245" w:lineRule="auto"/>
              <w:ind w:left="4" w:right="75"/>
            </w:pPr>
            <w:r w:rsidRPr="3C0BAC93">
              <w:rPr>
                <w:rFonts w:ascii="Arial" w:eastAsia="Arial" w:hAnsi="Arial" w:cs="Arial"/>
                <w:sz w:val="16"/>
                <w:szCs w:val="16"/>
              </w:rPr>
              <w:t>In certain cases, an alert or case may need to be dispositioned and an STR or SAR filed more rapidly than usual processes allow. In such cases, the alert will be dispositioned and the STR or SAR filed within 24 hours.</w:t>
            </w:r>
          </w:p>
        </w:tc>
      </w:tr>
    </w:tbl>
    <w:p w14:paraId="177D6802" w14:textId="28B1A233" w:rsidR="0065131D" w:rsidRDefault="41028EAA" w:rsidP="3C0BAC93">
      <w:pPr>
        <w:spacing w:after="0"/>
        <w:ind w:left="284" w:right="247"/>
      </w:pPr>
      <w:r w:rsidRPr="3C0BAC93">
        <w:rPr>
          <w:rFonts w:ascii="Calibri" w:eastAsia="Calibri" w:hAnsi="Calibri" w:cs="Calibri"/>
        </w:rPr>
        <w:t xml:space="preserve"> </w:t>
      </w:r>
    </w:p>
    <w:p w14:paraId="4F8A10C5" w14:textId="6770683D" w:rsidR="0065131D" w:rsidRDefault="41028EAA" w:rsidP="3C0BAC93">
      <w:pPr>
        <w:spacing w:after="0"/>
      </w:pPr>
      <w:r w:rsidRPr="3C0BAC93">
        <w:rPr>
          <w:rFonts w:ascii="Calibri" w:eastAsia="Calibri" w:hAnsi="Calibri" w:cs="Calibri"/>
        </w:rPr>
        <w:t xml:space="preserve"> </w:t>
      </w:r>
    </w:p>
    <w:p w14:paraId="18FEF9B4" w14:textId="3CDB0D97" w:rsidR="0065131D" w:rsidRDefault="41028EAA" w:rsidP="3C0BAC93">
      <w:pPr>
        <w:spacing w:after="0"/>
      </w:pPr>
      <w:r w:rsidRPr="3C0BAC93">
        <w:rPr>
          <w:rFonts w:ascii="Calibri" w:eastAsia="Calibri" w:hAnsi="Calibri" w:cs="Calibri"/>
        </w:rPr>
        <w:t xml:space="preserve"> </w:t>
      </w:r>
    </w:p>
    <w:p w14:paraId="2443BD17" w14:textId="1E70F6F1" w:rsidR="0065131D" w:rsidRDefault="41028EAA" w:rsidP="3C0BAC93">
      <w:pPr>
        <w:spacing w:after="0"/>
      </w:pPr>
      <w:r w:rsidRPr="3C0BAC93">
        <w:rPr>
          <w:rFonts w:ascii="Calibri" w:eastAsia="Calibri" w:hAnsi="Calibri" w:cs="Calibri"/>
        </w:rPr>
        <w:t xml:space="preserve"> </w:t>
      </w:r>
    </w:p>
    <w:p w14:paraId="1AF07AA7" w14:textId="60663388" w:rsidR="0065131D" w:rsidRDefault="41028EAA" w:rsidP="3C0BAC93">
      <w:pPr>
        <w:spacing w:after="0"/>
      </w:pPr>
      <w:r w:rsidRPr="3C0BAC93">
        <w:rPr>
          <w:rFonts w:ascii="Calibri" w:eastAsia="Calibri" w:hAnsi="Calibri" w:cs="Calibri"/>
        </w:rPr>
        <w:t xml:space="preserve"> </w:t>
      </w:r>
    </w:p>
    <w:tbl>
      <w:tblPr>
        <w:tblW w:w="0" w:type="auto"/>
        <w:tblInd w:w="-285" w:type="dxa"/>
        <w:tblLook w:val="01E0" w:firstRow="1" w:lastRow="1" w:firstColumn="1" w:lastColumn="1" w:noHBand="0" w:noVBand="0"/>
      </w:tblPr>
      <w:tblGrid>
        <w:gridCol w:w="1401"/>
        <w:gridCol w:w="1614"/>
        <w:gridCol w:w="6610"/>
      </w:tblGrid>
      <w:tr w:rsidR="3C0BAC93" w14:paraId="7889C82C" w14:textId="77777777" w:rsidTr="3C0BAC93">
        <w:trPr>
          <w:trHeight w:val="87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0000"/>
          </w:tcPr>
          <w:p w14:paraId="2C423D6E" w14:textId="72267C14" w:rsidR="3C0BAC93" w:rsidRDefault="3C0BAC93" w:rsidP="3C0BAC93">
            <w:pPr>
              <w:spacing w:before="33" w:after="0" w:line="245" w:lineRule="auto"/>
              <w:ind w:left="4" w:right="26"/>
            </w:pPr>
            <w:r w:rsidRPr="3C0BAC93">
              <w:rPr>
                <w:rFonts w:ascii="Arial" w:eastAsia="Arial" w:hAnsi="Arial" w:cs="Arial"/>
                <w:sz w:val="16"/>
                <w:szCs w:val="16"/>
              </w:rPr>
              <w:t>Confidentiality and Prohibition against “Tipping Off”</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CD6ED"/>
          </w:tcPr>
          <w:p w14:paraId="5DBC4058" w14:textId="01477962" w:rsidR="3C0BAC93" w:rsidRDefault="3C0BAC93" w:rsidP="3C0BAC93">
            <w:pPr>
              <w:spacing w:before="144" w:after="0" w:line="245" w:lineRule="auto"/>
              <w:ind w:left="4" w:right="389"/>
              <w:jc w:val="both"/>
            </w:pPr>
            <w:r w:rsidRPr="3C0BAC93">
              <w:rPr>
                <w:rFonts w:ascii="Arial" w:eastAsia="Arial" w:hAnsi="Arial" w:cs="Arial"/>
                <w:sz w:val="16"/>
                <w:szCs w:val="16"/>
              </w:rPr>
              <w:t xml:space="preserve">Confidentiality and Prohibition </w:t>
            </w:r>
            <w:r w:rsidRPr="3C0BAC93">
              <w:rPr>
                <w:rFonts w:ascii="Arial" w:eastAsia="Arial" w:hAnsi="Arial" w:cs="Arial"/>
                <w:sz w:val="16"/>
                <w:szCs w:val="16"/>
              </w:rPr>
              <w:lastRenderedPageBreak/>
              <w:t>against “Tipping Off”</w:t>
            </w:r>
          </w:p>
        </w:tc>
        <w:tc>
          <w:tcPr>
            <w:tcW w:w="7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37F279E2" w14:textId="0D81869C" w:rsidR="3C0BAC93" w:rsidRDefault="3C0BAC93" w:rsidP="3C0BAC93">
            <w:pPr>
              <w:spacing w:before="144" w:after="0" w:line="245" w:lineRule="auto"/>
              <w:ind w:left="4" w:right="168"/>
            </w:pPr>
            <w:r w:rsidRPr="3C0BAC93">
              <w:rPr>
                <w:rFonts w:ascii="Arial" w:eastAsia="Arial" w:hAnsi="Arial" w:cs="Arial"/>
                <w:sz w:val="16"/>
                <w:szCs w:val="16"/>
              </w:rPr>
              <w:lastRenderedPageBreak/>
              <w:t>When reporting suspicious activity or transactions to the FIU,  UAE is obliged to maintain confidentiality regarding both the information being reported and specific to the act of reporting itself, and to make reasonable efforts to ensure that the information and data reported are protected from access by any unauthorized person.</w:t>
            </w:r>
          </w:p>
        </w:tc>
      </w:tr>
      <w:tr w:rsidR="3C0BAC93" w14:paraId="49BA4DA3" w14:textId="77777777" w:rsidTr="3C0BAC93">
        <w:trPr>
          <w:trHeight w:val="615"/>
        </w:trPr>
        <w:tc>
          <w:tcPr>
            <w:tcW w:w="142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0000"/>
          </w:tcPr>
          <w:p w14:paraId="0C35C210" w14:textId="4B1E9EEE" w:rsidR="3C0BAC93" w:rsidRDefault="3C0BAC93" w:rsidP="3C0BAC93">
            <w:pPr>
              <w:spacing w:after="0"/>
            </w:pPr>
            <w:r w:rsidRPr="3C0BAC93">
              <w:rPr>
                <w:rFonts w:ascii="Arial" w:eastAsia="Arial" w:hAnsi="Arial" w:cs="Arial"/>
                <w:sz w:val="16"/>
                <w:szCs w:val="16"/>
              </w:rPr>
              <w:t xml:space="preserve"> </w:t>
            </w:r>
          </w:p>
          <w:p w14:paraId="02065C76" w14:textId="50FF2FF4" w:rsidR="3C0BAC93" w:rsidRDefault="3C0BAC93" w:rsidP="3C0BAC93">
            <w:pPr>
              <w:spacing w:after="0"/>
            </w:pPr>
            <w:r w:rsidRPr="3C0BAC93">
              <w:rPr>
                <w:rFonts w:ascii="Arial" w:eastAsia="Arial" w:hAnsi="Arial" w:cs="Arial"/>
                <w:sz w:val="16"/>
                <w:szCs w:val="16"/>
              </w:rPr>
              <w:t xml:space="preserve"> </w:t>
            </w:r>
          </w:p>
          <w:p w14:paraId="6990187B" w14:textId="5D352236" w:rsidR="3C0BAC93" w:rsidRDefault="3C0BAC93" w:rsidP="3C0BAC93">
            <w:pPr>
              <w:spacing w:after="0"/>
            </w:pPr>
            <w:r w:rsidRPr="3C0BAC93">
              <w:rPr>
                <w:rFonts w:ascii="Arial" w:eastAsia="Arial" w:hAnsi="Arial" w:cs="Arial"/>
                <w:sz w:val="16"/>
                <w:szCs w:val="16"/>
              </w:rPr>
              <w:t xml:space="preserve"> </w:t>
            </w:r>
          </w:p>
          <w:p w14:paraId="43E06E86" w14:textId="4C957EEB" w:rsidR="3C0BAC93" w:rsidRDefault="3C0BAC93" w:rsidP="3C0BAC93">
            <w:pPr>
              <w:spacing w:before="8" w:after="0"/>
            </w:pPr>
            <w:r w:rsidRPr="3C0BAC93">
              <w:rPr>
                <w:rFonts w:ascii="Arial" w:eastAsia="Arial" w:hAnsi="Arial" w:cs="Arial"/>
                <w:sz w:val="16"/>
                <w:szCs w:val="16"/>
              </w:rPr>
              <w:t xml:space="preserve"> </w:t>
            </w:r>
          </w:p>
          <w:p w14:paraId="200196B2" w14:textId="2F218855" w:rsidR="3C0BAC93" w:rsidRDefault="3C0BAC93" w:rsidP="3C0BAC93">
            <w:pPr>
              <w:spacing w:after="0" w:line="245" w:lineRule="auto"/>
              <w:ind w:left="4" w:right="128"/>
            </w:pPr>
            <w:r w:rsidRPr="3C0BAC93">
              <w:rPr>
                <w:rFonts w:ascii="Arial" w:eastAsia="Arial" w:hAnsi="Arial" w:cs="Arial"/>
                <w:sz w:val="16"/>
                <w:szCs w:val="16"/>
              </w:rPr>
              <w:t>Handling of Transactions and Business Relationships after Filing STRs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FC4"/>
          </w:tcPr>
          <w:p w14:paraId="31B23086" w14:textId="5FFD3118" w:rsidR="3C0BAC93" w:rsidRDefault="3C0BAC93" w:rsidP="3C0BAC93">
            <w:pPr>
              <w:spacing w:before="9" w:after="0" w:line="242" w:lineRule="auto"/>
              <w:ind w:left="4"/>
            </w:pPr>
            <w:r w:rsidRPr="3C0BAC93">
              <w:rPr>
                <w:rFonts w:ascii="Arial" w:eastAsia="Arial" w:hAnsi="Arial" w:cs="Arial"/>
                <w:sz w:val="16"/>
                <w:szCs w:val="16"/>
              </w:rPr>
              <w:t>Requirements for Corresponding with the</w:t>
            </w:r>
          </w:p>
          <w:p w14:paraId="2772035B" w14:textId="6134786B" w:rsidR="3C0BAC93" w:rsidRDefault="3C0BAC93" w:rsidP="3C0BAC93">
            <w:pPr>
              <w:spacing w:before="3" w:after="0"/>
              <w:ind w:left="4"/>
            </w:pPr>
            <w:r w:rsidRPr="3C0BAC93">
              <w:rPr>
                <w:rFonts w:ascii="Arial" w:eastAsia="Arial" w:hAnsi="Arial" w:cs="Arial"/>
                <w:sz w:val="16"/>
                <w:szCs w:val="16"/>
              </w:rPr>
              <w:t>FIU</w:t>
            </w:r>
          </w:p>
        </w:tc>
        <w:tc>
          <w:tcPr>
            <w:tcW w:w="7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6EAF2D99" w14:textId="5A5177B4" w:rsidR="3C0BAC93" w:rsidRDefault="3C0BAC93" w:rsidP="3C0BAC93">
            <w:pPr>
              <w:spacing w:before="113" w:after="0" w:line="247" w:lineRule="auto"/>
              <w:ind w:left="4"/>
            </w:pPr>
            <w:r w:rsidRPr="3C0BAC93">
              <w:rPr>
                <w:rFonts w:ascii="Arial" w:eastAsia="Arial" w:hAnsi="Arial" w:cs="Arial"/>
                <w:sz w:val="16"/>
                <w:szCs w:val="16"/>
              </w:rPr>
              <w:t>If the FIU reaches out to  UAE for additional information pertaining to an STR or SAR, details will be provided in a way that is precise and outlined as per the request.  UAE will maintain clarity on the presented information and provide it in the expected format.</w:t>
            </w:r>
          </w:p>
        </w:tc>
      </w:tr>
      <w:tr w:rsidR="3C0BAC93" w14:paraId="3DE2CD1A" w14:textId="77777777" w:rsidTr="3C0BAC93">
        <w:trPr>
          <w:trHeight w:val="1140"/>
        </w:trPr>
        <w:tc>
          <w:tcPr>
            <w:tcW w:w="1425" w:type="dxa"/>
            <w:vMerge/>
            <w:tcBorders>
              <w:left w:val="single" w:sz="0" w:space="0" w:color="000000" w:themeColor="text1"/>
              <w:right w:val="single" w:sz="0" w:space="0" w:color="000000" w:themeColor="text1"/>
            </w:tcBorders>
            <w:vAlign w:val="center"/>
          </w:tcPr>
          <w:p w14:paraId="5956E6C3" w14:textId="77777777" w:rsidR="0065131D" w:rsidRDefault="0065131D"/>
        </w:tc>
        <w:tc>
          <w:tcPr>
            <w:tcW w:w="1335" w:type="dxa"/>
            <w:tcBorders>
              <w:top w:val="single" w:sz="8" w:space="0" w:color="000000" w:themeColor="text1"/>
              <w:left w:val="nil"/>
              <w:bottom w:val="single" w:sz="8" w:space="0" w:color="000000" w:themeColor="text1"/>
              <w:right w:val="single" w:sz="8" w:space="0" w:color="000000" w:themeColor="text1"/>
            </w:tcBorders>
            <w:shd w:val="clear" w:color="auto" w:fill="FFEFC4"/>
          </w:tcPr>
          <w:p w14:paraId="5811D7EA" w14:textId="0A0BD010" w:rsidR="3C0BAC93" w:rsidRDefault="3C0BAC93" w:rsidP="3C0BAC93">
            <w:pPr>
              <w:spacing w:after="0"/>
            </w:pPr>
            <w:r w:rsidRPr="3C0BAC93">
              <w:rPr>
                <w:rFonts w:ascii="Arial" w:eastAsia="Arial" w:hAnsi="Arial" w:cs="Arial"/>
                <w:sz w:val="16"/>
                <w:szCs w:val="16"/>
              </w:rPr>
              <w:t xml:space="preserve"> </w:t>
            </w:r>
          </w:p>
          <w:p w14:paraId="2A2E8F1D" w14:textId="3FEC4D0B" w:rsidR="3C0BAC93" w:rsidRDefault="3C0BAC93" w:rsidP="3C0BAC93">
            <w:pPr>
              <w:spacing w:before="166" w:after="0" w:line="242" w:lineRule="auto"/>
              <w:ind w:left="4" w:right="470"/>
            </w:pPr>
            <w:r w:rsidRPr="3C0BAC93">
              <w:rPr>
                <w:rFonts w:ascii="Arial" w:eastAsia="Arial" w:hAnsi="Arial" w:cs="Arial"/>
                <w:sz w:val="16"/>
                <w:szCs w:val="16"/>
              </w:rPr>
              <w:t>Post STR or SAR Process</w:t>
            </w:r>
          </w:p>
        </w:tc>
        <w:tc>
          <w:tcPr>
            <w:tcW w:w="7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22972EA9" w14:textId="09E8220A" w:rsidR="3C0BAC93" w:rsidRDefault="3C0BAC93" w:rsidP="3C0BAC93">
            <w:pPr>
              <w:spacing w:before="74" w:after="0" w:line="245" w:lineRule="auto"/>
              <w:ind w:left="4" w:right="159"/>
            </w:pPr>
            <w:r w:rsidRPr="3C0BAC93">
              <w:rPr>
                <w:rFonts w:ascii="Arial" w:eastAsia="Arial" w:hAnsi="Arial" w:cs="Arial"/>
                <w:sz w:val="16"/>
                <w:szCs w:val="16"/>
              </w:rPr>
              <w:t>Following the filing of an STR or SAR filing,  UAE is obliged to follow the instructions, if any, of the FIU in relation to both the specific transaction and to the business relationship in general.  UAE may decide to retain a customer relationship, exit the relationship, or restrict an account, among others. Any actions taken by an  UAE following the filing of an STR or SAR is a decision based on the  UAE internal policies and procedures, including its risk appetite, although  UAE will consider the risk of tipping off a customer when implementing such restrictive measures.</w:t>
            </w:r>
          </w:p>
        </w:tc>
      </w:tr>
      <w:tr w:rsidR="3C0BAC93" w14:paraId="27775C98" w14:textId="77777777" w:rsidTr="3C0BAC93">
        <w:trPr>
          <w:trHeight w:val="600"/>
        </w:trPr>
        <w:tc>
          <w:tcPr>
            <w:tcW w:w="1425" w:type="dxa"/>
            <w:vMerge/>
            <w:tcBorders>
              <w:left w:val="single" w:sz="0" w:space="0" w:color="000000" w:themeColor="text1"/>
              <w:right w:val="single" w:sz="0" w:space="0" w:color="000000" w:themeColor="text1"/>
            </w:tcBorders>
            <w:vAlign w:val="center"/>
          </w:tcPr>
          <w:p w14:paraId="3366130A" w14:textId="77777777" w:rsidR="0065131D" w:rsidRDefault="0065131D"/>
        </w:tc>
        <w:tc>
          <w:tcPr>
            <w:tcW w:w="1335" w:type="dxa"/>
            <w:tcBorders>
              <w:top w:val="single" w:sz="8" w:space="0" w:color="000000" w:themeColor="text1"/>
              <w:left w:val="nil"/>
              <w:bottom w:val="single" w:sz="8" w:space="0" w:color="000000" w:themeColor="text1"/>
              <w:right w:val="single" w:sz="8" w:space="0" w:color="000000" w:themeColor="text1"/>
            </w:tcBorders>
            <w:shd w:val="clear" w:color="auto" w:fill="FFEFC4"/>
          </w:tcPr>
          <w:p w14:paraId="09F2089F" w14:textId="05968E4F" w:rsidR="3C0BAC93" w:rsidRDefault="3C0BAC93" w:rsidP="3C0BAC93">
            <w:pPr>
              <w:spacing w:before="5" w:after="0"/>
              <w:ind w:left="4"/>
            </w:pPr>
            <w:r w:rsidRPr="3C0BAC93">
              <w:rPr>
                <w:rFonts w:ascii="Arial" w:eastAsia="Arial" w:hAnsi="Arial" w:cs="Arial"/>
                <w:sz w:val="16"/>
                <w:szCs w:val="16"/>
              </w:rPr>
              <w:t>Governance and</w:t>
            </w:r>
          </w:p>
          <w:p w14:paraId="6DC7EE82" w14:textId="3F279298" w:rsidR="3C0BAC93" w:rsidRDefault="3C0BAC93" w:rsidP="3C0BAC93">
            <w:pPr>
              <w:spacing w:after="0"/>
              <w:ind w:left="4"/>
            </w:pPr>
            <w:r w:rsidRPr="3C0BAC93">
              <w:rPr>
                <w:rFonts w:ascii="Arial" w:eastAsia="Arial" w:hAnsi="Arial" w:cs="Arial"/>
                <w:sz w:val="16"/>
                <w:szCs w:val="16"/>
              </w:rPr>
              <w:t>Reporting to Senior Management</w:t>
            </w:r>
          </w:p>
        </w:tc>
        <w:tc>
          <w:tcPr>
            <w:tcW w:w="7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3079E248" w14:textId="1B20A88C" w:rsidR="3C0BAC93" w:rsidRDefault="3C0BAC93" w:rsidP="3C0BAC93">
            <w:pPr>
              <w:spacing w:before="110" w:after="0" w:line="245" w:lineRule="auto"/>
              <w:ind w:left="4"/>
            </w:pPr>
            <w:r w:rsidRPr="3C0BAC93">
              <w:rPr>
                <w:rFonts w:ascii="Arial" w:eastAsia="Arial" w:hAnsi="Arial" w:cs="Arial"/>
                <w:sz w:val="16"/>
                <w:szCs w:val="16"/>
              </w:rPr>
              <w:t xml:space="preserve"> UAE has a mechanism to inform senior management and Head Office on the status of its AML/CFT program, including reporting on the number and types of STRs or SARs.</w:t>
            </w:r>
          </w:p>
        </w:tc>
      </w:tr>
      <w:tr w:rsidR="3C0BAC93" w14:paraId="3296F86C" w14:textId="77777777" w:rsidTr="3C0BAC93">
        <w:trPr>
          <w:trHeight w:val="750"/>
        </w:trPr>
        <w:tc>
          <w:tcPr>
            <w:tcW w:w="1425" w:type="dxa"/>
            <w:vMerge/>
            <w:tcBorders>
              <w:left w:val="single" w:sz="0" w:space="0" w:color="000000" w:themeColor="text1"/>
              <w:bottom w:val="single" w:sz="0" w:space="0" w:color="000000" w:themeColor="text1"/>
              <w:right w:val="single" w:sz="0" w:space="0" w:color="000000" w:themeColor="text1"/>
            </w:tcBorders>
            <w:vAlign w:val="center"/>
          </w:tcPr>
          <w:p w14:paraId="76C1788B" w14:textId="77777777" w:rsidR="0065131D" w:rsidRDefault="0065131D"/>
        </w:tc>
        <w:tc>
          <w:tcPr>
            <w:tcW w:w="1335" w:type="dxa"/>
            <w:tcBorders>
              <w:top w:val="single" w:sz="8" w:space="0" w:color="000000" w:themeColor="text1"/>
              <w:left w:val="nil"/>
              <w:bottom w:val="single" w:sz="8" w:space="0" w:color="000000" w:themeColor="text1"/>
              <w:right w:val="single" w:sz="8" w:space="0" w:color="000000" w:themeColor="text1"/>
            </w:tcBorders>
            <w:shd w:val="clear" w:color="auto" w:fill="FFEFC4"/>
          </w:tcPr>
          <w:p w14:paraId="5C116CDC" w14:textId="585ED7C8" w:rsidR="3C0BAC93" w:rsidRDefault="3C0BAC93" w:rsidP="3C0BAC93">
            <w:pPr>
              <w:spacing w:before="9" w:after="0"/>
            </w:pPr>
            <w:r w:rsidRPr="3C0BAC93">
              <w:rPr>
                <w:rFonts w:ascii="Arial" w:eastAsia="Arial" w:hAnsi="Arial" w:cs="Arial"/>
                <w:sz w:val="16"/>
                <w:szCs w:val="16"/>
              </w:rPr>
              <w:t xml:space="preserve"> </w:t>
            </w:r>
          </w:p>
          <w:p w14:paraId="65F7D993" w14:textId="46FCFC9C" w:rsidR="3C0BAC93" w:rsidRDefault="3C0BAC93" w:rsidP="3C0BAC93">
            <w:pPr>
              <w:spacing w:after="0"/>
              <w:ind w:left="4"/>
            </w:pPr>
            <w:r w:rsidRPr="3C0BAC93">
              <w:rPr>
                <w:rFonts w:ascii="Arial" w:eastAsia="Arial" w:hAnsi="Arial" w:cs="Arial"/>
                <w:sz w:val="16"/>
                <w:szCs w:val="16"/>
              </w:rPr>
              <w:t>Record Retention</w:t>
            </w:r>
          </w:p>
        </w:tc>
        <w:tc>
          <w:tcPr>
            <w:tcW w:w="7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6A90DDB9" w14:textId="760D7219" w:rsidR="3C0BAC93" w:rsidRDefault="3C0BAC93" w:rsidP="3C0BAC93">
            <w:pPr>
              <w:spacing w:before="74" w:after="0" w:line="245" w:lineRule="auto"/>
              <w:ind w:left="4" w:right="830"/>
              <w:jc w:val="both"/>
            </w:pPr>
            <w:r w:rsidRPr="3C0BAC93">
              <w:rPr>
                <w:rFonts w:ascii="Arial" w:eastAsia="Arial" w:hAnsi="Arial" w:cs="Arial"/>
                <w:sz w:val="16"/>
                <w:szCs w:val="16"/>
              </w:rPr>
              <w:t xml:space="preserve"> UAE is required to retain all records and documents pertaining to STRs or SARs and the results of all analysis or investigations performed for a period of no less than five (5) years from the date of completion of the transaction or termination of the business relationship.</w:t>
            </w:r>
          </w:p>
        </w:tc>
      </w:tr>
      <w:tr w:rsidR="3C0BAC93" w14:paraId="2536C262" w14:textId="77777777" w:rsidTr="3C0BAC93">
        <w:trPr>
          <w:trHeight w:val="810"/>
        </w:trPr>
        <w:tc>
          <w:tcPr>
            <w:tcW w:w="1425" w:type="dxa"/>
            <w:vMerge w:val="restart"/>
            <w:tcBorders>
              <w:top w:val="nil"/>
              <w:left w:val="single" w:sz="4" w:space="0" w:color="000000" w:themeColor="text1"/>
              <w:bottom w:val="single" w:sz="4" w:space="0" w:color="000000" w:themeColor="text1"/>
              <w:right w:val="single" w:sz="4" w:space="0" w:color="000000" w:themeColor="text1"/>
            </w:tcBorders>
            <w:shd w:val="clear" w:color="auto" w:fill="BF0000"/>
          </w:tcPr>
          <w:p w14:paraId="4C30B08F" w14:textId="390ED041" w:rsidR="3C0BAC93" w:rsidRDefault="3C0BAC93" w:rsidP="3C0BAC93">
            <w:pPr>
              <w:spacing w:after="0"/>
            </w:pPr>
            <w:r w:rsidRPr="3C0BAC93">
              <w:rPr>
                <w:rFonts w:ascii="Arial" w:eastAsia="Arial" w:hAnsi="Arial" w:cs="Arial"/>
                <w:sz w:val="16"/>
                <w:szCs w:val="16"/>
              </w:rPr>
              <w:t xml:space="preserve"> </w:t>
            </w:r>
          </w:p>
          <w:p w14:paraId="78EBF2E7" w14:textId="4F2F0DC6" w:rsidR="3C0BAC93" w:rsidRDefault="3C0BAC93" w:rsidP="3C0BAC93">
            <w:pPr>
              <w:spacing w:after="0"/>
            </w:pPr>
            <w:r w:rsidRPr="3C0BAC93">
              <w:rPr>
                <w:rFonts w:ascii="Arial" w:eastAsia="Arial" w:hAnsi="Arial" w:cs="Arial"/>
                <w:sz w:val="16"/>
                <w:szCs w:val="16"/>
              </w:rPr>
              <w:t xml:space="preserve"> </w:t>
            </w:r>
          </w:p>
          <w:p w14:paraId="1DC14170" w14:textId="0DEF535C" w:rsidR="3C0BAC93" w:rsidRDefault="3C0BAC93" w:rsidP="3C0BAC93">
            <w:pPr>
              <w:spacing w:after="0"/>
            </w:pPr>
            <w:r w:rsidRPr="3C0BAC93">
              <w:rPr>
                <w:rFonts w:ascii="Arial" w:eastAsia="Arial" w:hAnsi="Arial" w:cs="Arial"/>
                <w:sz w:val="16"/>
                <w:szCs w:val="16"/>
              </w:rPr>
              <w:t xml:space="preserve"> </w:t>
            </w:r>
          </w:p>
          <w:p w14:paraId="7ABAE6F3" w14:textId="71A342E7" w:rsidR="3C0BAC93" w:rsidRDefault="3C0BAC93" w:rsidP="3C0BAC93">
            <w:pPr>
              <w:spacing w:after="0"/>
            </w:pPr>
            <w:r w:rsidRPr="3C0BAC93">
              <w:rPr>
                <w:rFonts w:ascii="Arial" w:eastAsia="Arial" w:hAnsi="Arial" w:cs="Arial"/>
                <w:sz w:val="16"/>
                <w:szCs w:val="16"/>
              </w:rPr>
              <w:t xml:space="preserve"> </w:t>
            </w:r>
          </w:p>
          <w:p w14:paraId="30FE9511" w14:textId="4FDCD07D" w:rsidR="3C0BAC93" w:rsidRDefault="3C0BAC93" w:rsidP="3C0BAC93">
            <w:pPr>
              <w:spacing w:after="0"/>
            </w:pPr>
            <w:r w:rsidRPr="3C0BAC93">
              <w:rPr>
                <w:rFonts w:ascii="Arial" w:eastAsia="Arial" w:hAnsi="Arial" w:cs="Arial"/>
                <w:sz w:val="16"/>
                <w:szCs w:val="16"/>
              </w:rPr>
              <w:t xml:space="preserve"> </w:t>
            </w:r>
          </w:p>
          <w:p w14:paraId="78C09A81" w14:textId="4C3E47A9" w:rsidR="3C0BAC93" w:rsidRDefault="3C0BAC93" w:rsidP="3C0BAC93">
            <w:pPr>
              <w:spacing w:after="0"/>
            </w:pPr>
            <w:r w:rsidRPr="3C0BAC93">
              <w:rPr>
                <w:rFonts w:ascii="Arial" w:eastAsia="Arial" w:hAnsi="Arial" w:cs="Arial"/>
                <w:sz w:val="16"/>
                <w:szCs w:val="16"/>
              </w:rPr>
              <w:t xml:space="preserve"> </w:t>
            </w:r>
          </w:p>
          <w:p w14:paraId="36C3021F" w14:textId="4B016C0D" w:rsidR="3C0BAC93" w:rsidRDefault="3C0BAC93" w:rsidP="3C0BAC93">
            <w:pPr>
              <w:spacing w:before="8" w:after="0"/>
            </w:pPr>
            <w:r w:rsidRPr="3C0BAC93">
              <w:rPr>
                <w:rFonts w:ascii="Arial" w:eastAsia="Arial" w:hAnsi="Arial" w:cs="Arial"/>
                <w:sz w:val="16"/>
                <w:szCs w:val="16"/>
              </w:rPr>
              <w:t xml:space="preserve"> </w:t>
            </w:r>
          </w:p>
          <w:p w14:paraId="0FA52479" w14:textId="588915BC" w:rsidR="3C0BAC93" w:rsidRDefault="3C0BAC93" w:rsidP="3C0BAC93">
            <w:pPr>
              <w:spacing w:after="0"/>
              <w:ind w:left="4"/>
            </w:pPr>
            <w:r w:rsidRPr="3C0BAC93">
              <w:rPr>
                <w:rFonts w:ascii="Arial" w:eastAsia="Arial" w:hAnsi="Arial" w:cs="Arial"/>
                <w:sz w:val="16"/>
                <w:szCs w:val="16"/>
              </w:rPr>
              <w:t>Annexes</w:t>
            </w:r>
          </w:p>
        </w:tc>
        <w:tc>
          <w:tcPr>
            <w:tcW w:w="1335" w:type="dxa"/>
            <w:tcBorders>
              <w:top w:val="single" w:sz="8" w:space="0" w:color="000000" w:themeColor="text1"/>
              <w:left w:val="single" w:sz="4" w:space="0" w:color="000000" w:themeColor="text1"/>
              <w:bottom w:val="single" w:sz="8" w:space="0" w:color="000000" w:themeColor="text1"/>
              <w:right w:val="single" w:sz="8" w:space="0" w:color="000000" w:themeColor="text1"/>
            </w:tcBorders>
            <w:shd w:val="clear" w:color="auto" w:fill="C6DFB3"/>
          </w:tcPr>
          <w:p w14:paraId="28A69402" w14:textId="773E25D3" w:rsidR="3C0BAC93" w:rsidRDefault="3C0BAC93" w:rsidP="3C0BAC93">
            <w:pPr>
              <w:spacing w:before="2" w:after="0" w:line="245" w:lineRule="auto"/>
              <w:ind w:left="4" w:right="86"/>
            </w:pPr>
            <w:r w:rsidRPr="3C0BAC93">
              <w:rPr>
                <w:rFonts w:ascii="Arial" w:eastAsia="Arial" w:hAnsi="Arial" w:cs="Arial"/>
                <w:sz w:val="16"/>
                <w:szCs w:val="16"/>
              </w:rPr>
              <w:t>Annex 1: Indicative Examples of Insufficient STR or</w:t>
            </w:r>
          </w:p>
          <w:p w14:paraId="737090F1" w14:textId="439F0042" w:rsidR="3C0BAC93" w:rsidRDefault="3C0BAC93" w:rsidP="3C0BAC93">
            <w:pPr>
              <w:spacing w:after="0"/>
              <w:ind w:left="4"/>
            </w:pPr>
            <w:r w:rsidRPr="3C0BAC93">
              <w:rPr>
                <w:rFonts w:ascii="Arial" w:eastAsia="Arial" w:hAnsi="Arial" w:cs="Arial"/>
                <w:sz w:val="16"/>
                <w:szCs w:val="16"/>
              </w:rPr>
              <w:t>SAR Narratives</w:t>
            </w:r>
          </w:p>
        </w:tc>
        <w:tc>
          <w:tcPr>
            <w:tcW w:w="7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35DCF735" w14:textId="12BCD5F6" w:rsidR="3C0BAC93" w:rsidRDefault="3C0BAC93" w:rsidP="3C0BAC93">
            <w:pPr>
              <w:spacing w:before="6" w:after="0"/>
            </w:pPr>
            <w:r w:rsidRPr="3C0BAC93">
              <w:rPr>
                <w:rFonts w:ascii="Arial" w:eastAsia="Arial" w:hAnsi="Arial" w:cs="Arial"/>
                <w:sz w:val="16"/>
                <w:szCs w:val="16"/>
              </w:rPr>
              <w:t xml:space="preserve"> </w:t>
            </w:r>
          </w:p>
          <w:p w14:paraId="500EE82A" w14:textId="17C2AB57" w:rsidR="3C0BAC93" w:rsidRDefault="3C0BAC93" w:rsidP="3C0BAC93">
            <w:pPr>
              <w:spacing w:after="0" w:line="245" w:lineRule="auto"/>
              <w:ind w:left="4"/>
            </w:pPr>
            <w:r w:rsidRPr="3C0BAC93">
              <w:rPr>
                <w:rFonts w:ascii="Arial" w:eastAsia="Arial" w:hAnsi="Arial" w:cs="Arial"/>
                <w:sz w:val="16"/>
                <w:szCs w:val="16"/>
              </w:rPr>
              <w:t>Examples of insufficient STR or SAR narratives are provided with an explanation on why these STR or SAR narratives are not sufficient and comprehensive.</w:t>
            </w:r>
          </w:p>
        </w:tc>
      </w:tr>
      <w:tr w:rsidR="3C0BAC93" w14:paraId="703E00CF" w14:textId="77777777" w:rsidTr="3C0BAC93">
        <w:trPr>
          <w:trHeight w:val="615"/>
        </w:trPr>
        <w:tc>
          <w:tcPr>
            <w:tcW w:w="1425" w:type="dxa"/>
            <w:vMerge/>
            <w:tcBorders>
              <w:left w:val="single" w:sz="0" w:space="0" w:color="000000" w:themeColor="text1"/>
              <w:right w:val="single" w:sz="0" w:space="0" w:color="000000" w:themeColor="text1"/>
            </w:tcBorders>
            <w:vAlign w:val="center"/>
          </w:tcPr>
          <w:p w14:paraId="74E59ECC" w14:textId="77777777" w:rsidR="0065131D" w:rsidRDefault="0065131D"/>
        </w:tc>
        <w:tc>
          <w:tcPr>
            <w:tcW w:w="1335" w:type="dxa"/>
            <w:tcBorders>
              <w:top w:val="single" w:sz="8" w:space="0" w:color="000000" w:themeColor="text1"/>
              <w:left w:val="nil"/>
              <w:bottom w:val="single" w:sz="8" w:space="0" w:color="000000" w:themeColor="text1"/>
              <w:right w:val="single" w:sz="8" w:space="0" w:color="000000" w:themeColor="text1"/>
            </w:tcBorders>
            <w:shd w:val="clear" w:color="auto" w:fill="C6DFB3"/>
          </w:tcPr>
          <w:p w14:paraId="5ACDC743" w14:textId="5F249515" w:rsidR="3C0BAC93" w:rsidRDefault="3C0BAC93" w:rsidP="3C0BAC93">
            <w:pPr>
              <w:spacing w:before="9" w:after="0" w:line="242" w:lineRule="auto"/>
              <w:ind w:left="4" w:right="377"/>
            </w:pPr>
            <w:r w:rsidRPr="3C0BAC93">
              <w:rPr>
                <w:rFonts w:ascii="Arial" w:eastAsia="Arial" w:hAnsi="Arial" w:cs="Arial"/>
                <w:sz w:val="16"/>
                <w:szCs w:val="16"/>
              </w:rPr>
              <w:t>Annex 2. Red Flag Indicators in the</w:t>
            </w:r>
          </w:p>
          <w:p w14:paraId="4C44C8C0" w14:textId="6960733C" w:rsidR="3C0BAC93" w:rsidRDefault="3C0BAC93" w:rsidP="3C0BAC93">
            <w:pPr>
              <w:spacing w:before="3" w:after="0"/>
              <w:ind w:left="4"/>
            </w:pPr>
            <w:r w:rsidRPr="3C0BAC93">
              <w:rPr>
                <w:rFonts w:ascii="Arial" w:eastAsia="Arial" w:hAnsi="Arial" w:cs="Arial"/>
                <w:sz w:val="16"/>
                <w:szCs w:val="16"/>
              </w:rPr>
              <w:t>Context of the UAE</w:t>
            </w:r>
          </w:p>
        </w:tc>
        <w:tc>
          <w:tcPr>
            <w:tcW w:w="7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1D90162E" w14:textId="1A3A5643" w:rsidR="3C0BAC93" w:rsidRDefault="3C0BAC93" w:rsidP="3C0BAC93">
            <w:pPr>
              <w:spacing w:before="117" w:after="0" w:line="242" w:lineRule="auto"/>
              <w:ind w:left="4"/>
            </w:pPr>
            <w:r w:rsidRPr="3C0BAC93">
              <w:rPr>
                <w:rFonts w:ascii="Arial" w:eastAsia="Arial" w:hAnsi="Arial" w:cs="Arial"/>
                <w:sz w:val="16"/>
                <w:szCs w:val="16"/>
              </w:rPr>
              <w:t>The FIU published typologies and indicators of suspicious activity that  UAE will consider with a view to update policies, procedures, detection scenarios, and red flag indicators for identifying potentially suspicious activity.</w:t>
            </w:r>
          </w:p>
        </w:tc>
      </w:tr>
      <w:tr w:rsidR="3C0BAC93" w14:paraId="2145D8E9" w14:textId="77777777" w:rsidTr="3C0BAC93">
        <w:trPr>
          <w:trHeight w:val="600"/>
        </w:trPr>
        <w:tc>
          <w:tcPr>
            <w:tcW w:w="1425" w:type="dxa"/>
            <w:vMerge/>
            <w:tcBorders>
              <w:left w:val="single" w:sz="0" w:space="0" w:color="000000" w:themeColor="text1"/>
              <w:right w:val="single" w:sz="0" w:space="0" w:color="000000" w:themeColor="text1"/>
            </w:tcBorders>
            <w:vAlign w:val="center"/>
          </w:tcPr>
          <w:p w14:paraId="6BD4D0D6" w14:textId="77777777" w:rsidR="0065131D" w:rsidRDefault="0065131D"/>
        </w:tc>
        <w:tc>
          <w:tcPr>
            <w:tcW w:w="1335" w:type="dxa"/>
            <w:tcBorders>
              <w:top w:val="single" w:sz="8" w:space="0" w:color="000000" w:themeColor="text1"/>
              <w:left w:val="nil"/>
              <w:bottom w:val="single" w:sz="8" w:space="0" w:color="000000" w:themeColor="text1"/>
              <w:right w:val="single" w:sz="8" w:space="0" w:color="000000" w:themeColor="text1"/>
            </w:tcBorders>
            <w:shd w:val="clear" w:color="auto" w:fill="C6DFB3"/>
          </w:tcPr>
          <w:p w14:paraId="22251C4F" w14:textId="766335F6" w:rsidR="3C0BAC93" w:rsidRDefault="3C0BAC93" w:rsidP="3C0BAC93">
            <w:pPr>
              <w:spacing w:before="2" w:after="0"/>
              <w:ind w:left="4"/>
            </w:pPr>
            <w:r w:rsidRPr="3C0BAC93">
              <w:rPr>
                <w:rFonts w:ascii="Arial" w:eastAsia="Arial" w:hAnsi="Arial" w:cs="Arial"/>
                <w:sz w:val="16"/>
                <w:szCs w:val="16"/>
              </w:rPr>
              <w:t>Annex 3. Red Flag</w:t>
            </w:r>
          </w:p>
          <w:p w14:paraId="790449F7" w14:textId="35190394" w:rsidR="3C0BAC93" w:rsidRDefault="3C0BAC93" w:rsidP="3C0BAC93">
            <w:pPr>
              <w:spacing w:after="0"/>
              <w:ind w:left="4"/>
            </w:pPr>
            <w:r w:rsidRPr="3C0BAC93">
              <w:rPr>
                <w:rFonts w:ascii="Arial" w:eastAsia="Arial" w:hAnsi="Arial" w:cs="Arial"/>
                <w:sz w:val="16"/>
                <w:szCs w:val="16"/>
              </w:rPr>
              <w:t>Indicators for the UAE Insurance Sector</w:t>
            </w:r>
          </w:p>
        </w:tc>
        <w:tc>
          <w:tcPr>
            <w:tcW w:w="7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6D414F7A" w14:textId="19271C88" w:rsidR="3C0BAC93" w:rsidRDefault="3C0BAC93" w:rsidP="3C0BAC93">
            <w:pPr>
              <w:spacing w:before="110" w:after="0" w:line="245" w:lineRule="auto"/>
              <w:ind w:left="4"/>
            </w:pPr>
            <w:r w:rsidRPr="3C0BAC93">
              <w:rPr>
                <w:rFonts w:ascii="Arial" w:eastAsia="Arial" w:hAnsi="Arial" w:cs="Arial"/>
                <w:sz w:val="16"/>
                <w:szCs w:val="16"/>
              </w:rPr>
              <w:t>The UAE Insurance Authority issued a list of red flag indicators that  UAE will consider with a view to update policies, procedures, detection scenarios, and red flag indicators for identifying potentially suspicious activity.</w:t>
            </w:r>
          </w:p>
        </w:tc>
      </w:tr>
      <w:tr w:rsidR="3C0BAC93" w14:paraId="36282ECF" w14:textId="77777777" w:rsidTr="3C0BAC93">
        <w:trPr>
          <w:trHeight w:val="810"/>
        </w:trPr>
        <w:tc>
          <w:tcPr>
            <w:tcW w:w="1425" w:type="dxa"/>
            <w:vMerge/>
            <w:tcBorders>
              <w:left w:val="single" w:sz="0" w:space="0" w:color="000000" w:themeColor="text1"/>
              <w:bottom w:val="single" w:sz="0" w:space="0" w:color="000000" w:themeColor="text1"/>
              <w:right w:val="single" w:sz="0" w:space="0" w:color="000000" w:themeColor="text1"/>
            </w:tcBorders>
            <w:vAlign w:val="center"/>
          </w:tcPr>
          <w:p w14:paraId="2767FAD1" w14:textId="77777777" w:rsidR="0065131D" w:rsidRDefault="0065131D"/>
        </w:tc>
        <w:tc>
          <w:tcPr>
            <w:tcW w:w="1335" w:type="dxa"/>
            <w:tcBorders>
              <w:top w:val="single" w:sz="8" w:space="0" w:color="000000" w:themeColor="text1"/>
              <w:left w:val="nil"/>
              <w:bottom w:val="single" w:sz="8" w:space="0" w:color="000000" w:themeColor="text1"/>
              <w:right w:val="single" w:sz="8" w:space="0" w:color="000000" w:themeColor="text1"/>
            </w:tcBorders>
            <w:shd w:val="clear" w:color="auto" w:fill="C6DFB3"/>
          </w:tcPr>
          <w:p w14:paraId="22AB3BC8" w14:textId="24A755AB" w:rsidR="3C0BAC93" w:rsidRDefault="3C0BAC93" w:rsidP="3C0BAC93">
            <w:pPr>
              <w:spacing w:before="5" w:after="0" w:line="245" w:lineRule="auto"/>
              <w:ind w:left="4"/>
            </w:pPr>
            <w:r w:rsidRPr="3C0BAC93">
              <w:rPr>
                <w:rFonts w:ascii="Arial" w:eastAsia="Arial" w:hAnsi="Arial" w:cs="Arial"/>
                <w:sz w:val="16"/>
                <w:szCs w:val="16"/>
              </w:rPr>
              <w:t>Annex 4. Overarching Rules and Principles for the goAML</w:t>
            </w:r>
          </w:p>
          <w:p w14:paraId="58CDFABA" w14:textId="53FA64AC" w:rsidR="3C0BAC93" w:rsidRDefault="3C0BAC93" w:rsidP="3C0BAC93">
            <w:pPr>
              <w:spacing w:after="0"/>
              <w:ind w:left="4"/>
            </w:pPr>
            <w:r w:rsidRPr="3C0BAC93">
              <w:rPr>
                <w:rFonts w:ascii="Arial" w:eastAsia="Arial" w:hAnsi="Arial" w:cs="Arial"/>
                <w:sz w:val="16"/>
                <w:szCs w:val="16"/>
              </w:rPr>
              <w:t>System</w:t>
            </w:r>
          </w:p>
        </w:tc>
        <w:tc>
          <w:tcPr>
            <w:tcW w:w="7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6F9FB"/>
          </w:tcPr>
          <w:p w14:paraId="037FE6B1" w14:textId="764C2FC7" w:rsidR="3C0BAC93" w:rsidRDefault="3C0BAC93" w:rsidP="3C0BAC93">
            <w:pPr>
              <w:spacing w:before="9" w:after="0"/>
            </w:pPr>
            <w:r w:rsidRPr="3C0BAC93">
              <w:rPr>
                <w:rFonts w:ascii="Arial" w:eastAsia="Arial" w:hAnsi="Arial" w:cs="Arial"/>
                <w:sz w:val="16"/>
                <w:szCs w:val="16"/>
              </w:rPr>
              <w:t xml:space="preserve"> </w:t>
            </w:r>
          </w:p>
          <w:p w14:paraId="0F656676" w14:textId="149BF90B" w:rsidR="3C0BAC93" w:rsidRDefault="3C0BAC93" w:rsidP="3C0BAC93">
            <w:pPr>
              <w:spacing w:after="0" w:line="245" w:lineRule="auto"/>
              <w:ind w:left="4"/>
            </w:pPr>
            <w:r w:rsidRPr="3C0BAC93">
              <w:rPr>
                <w:rFonts w:ascii="Arial" w:eastAsia="Arial" w:hAnsi="Arial" w:cs="Arial"/>
                <w:sz w:val="16"/>
                <w:szCs w:val="16"/>
              </w:rPr>
              <w:t>The goAML XML Submission Guide provides additional detail on the rules that  UAE will consider when submitting an STR, SAR, or other report type in the goAML system.</w:t>
            </w:r>
          </w:p>
        </w:tc>
      </w:tr>
      <w:tr w:rsidR="3C0BAC93" w14:paraId="5D6DF194" w14:textId="77777777" w:rsidTr="3C0BAC93">
        <w:trPr>
          <w:trHeight w:val="405"/>
        </w:trPr>
        <w:tc>
          <w:tcPr>
            <w:tcW w:w="1425" w:type="dxa"/>
            <w:vMerge/>
            <w:tcBorders>
              <w:left w:val="single" w:sz="0" w:space="0" w:color="000000" w:themeColor="text1"/>
              <w:bottom w:val="single" w:sz="0" w:space="0" w:color="000000" w:themeColor="text1"/>
              <w:right w:val="single" w:sz="0" w:space="0" w:color="000000" w:themeColor="text1"/>
            </w:tcBorders>
            <w:vAlign w:val="center"/>
          </w:tcPr>
          <w:p w14:paraId="114811F9" w14:textId="77777777" w:rsidR="0065131D" w:rsidRDefault="0065131D"/>
        </w:tc>
        <w:tc>
          <w:tcPr>
            <w:tcW w:w="1335" w:type="dxa"/>
            <w:tcBorders>
              <w:top w:val="single" w:sz="8" w:space="0" w:color="000000" w:themeColor="text1"/>
              <w:left w:val="nil"/>
              <w:bottom w:val="single" w:sz="4" w:space="0" w:color="000000" w:themeColor="text1"/>
              <w:right w:val="single" w:sz="4" w:space="0" w:color="000000" w:themeColor="text1"/>
            </w:tcBorders>
            <w:shd w:val="clear" w:color="auto" w:fill="C6DFB3"/>
          </w:tcPr>
          <w:p w14:paraId="507B41BB" w14:textId="5B424BF0" w:rsidR="3C0BAC93" w:rsidRDefault="3C0BAC93" w:rsidP="3C0BAC93">
            <w:pPr>
              <w:spacing w:before="113" w:after="0"/>
              <w:ind w:left="4"/>
            </w:pPr>
            <w:r w:rsidRPr="3C0BAC93">
              <w:rPr>
                <w:rFonts w:ascii="Arial" w:eastAsia="Arial" w:hAnsi="Arial" w:cs="Arial"/>
                <w:sz w:val="16"/>
                <w:szCs w:val="16"/>
              </w:rPr>
              <w:t>Annex 5</w:t>
            </w:r>
          </w:p>
        </w:tc>
        <w:tc>
          <w:tcPr>
            <w:tcW w:w="7830" w:type="dxa"/>
            <w:tcBorders>
              <w:top w:val="single" w:sz="8" w:space="0" w:color="000000" w:themeColor="text1"/>
              <w:left w:val="single" w:sz="4" w:space="0" w:color="000000" w:themeColor="text1"/>
              <w:bottom w:val="single" w:sz="4" w:space="0" w:color="000000" w:themeColor="text1"/>
              <w:right w:val="single" w:sz="4" w:space="0" w:color="000000" w:themeColor="text1"/>
            </w:tcBorders>
            <w:shd w:val="clear" w:color="auto" w:fill="F6F9FB"/>
          </w:tcPr>
          <w:p w14:paraId="29BBEF52" w14:textId="5C75CCFE" w:rsidR="3C0BAC93" w:rsidRDefault="3C0BAC93" w:rsidP="3C0BAC93">
            <w:pPr>
              <w:spacing w:before="113" w:after="0"/>
              <w:ind w:left="4"/>
            </w:pPr>
            <w:r w:rsidRPr="3C0BAC93">
              <w:rPr>
                <w:rFonts w:ascii="Arial" w:eastAsia="Arial" w:hAnsi="Arial" w:cs="Arial"/>
                <w:sz w:val="16"/>
                <w:szCs w:val="16"/>
              </w:rPr>
              <w:t>Synopsis of the Guidance</w:t>
            </w:r>
          </w:p>
        </w:tc>
      </w:tr>
    </w:tbl>
    <w:p w14:paraId="20A1299A" w14:textId="7EF0FCE6" w:rsidR="0065131D" w:rsidRDefault="41028EAA" w:rsidP="3C0BAC93">
      <w:pPr>
        <w:spacing w:after="0"/>
      </w:pPr>
      <w:r w:rsidRPr="3C0BAC93">
        <w:rPr>
          <w:rFonts w:ascii="Calibri" w:eastAsia="Calibri" w:hAnsi="Calibri" w:cs="Calibri"/>
        </w:rPr>
        <w:t xml:space="preserve"> </w:t>
      </w:r>
    </w:p>
    <w:p w14:paraId="5D2D2E2B" w14:textId="3D7280DC" w:rsidR="0065131D" w:rsidRDefault="0065131D" w:rsidP="3C0BAC93">
      <w:pPr>
        <w:spacing w:after="0"/>
        <w:jc w:val="center"/>
        <w:rPr>
          <w:rFonts w:ascii="Calibri" w:eastAsia="Calibri" w:hAnsi="Calibri" w:cs="Calibri"/>
        </w:rPr>
      </w:pPr>
    </w:p>
    <w:p w14:paraId="2C078E63" w14:textId="7E1F015B" w:rsidR="0065131D" w:rsidRDefault="0065131D"/>
    <w:sectPr w:rsidR="00651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BBE0"/>
    <w:multiLevelType w:val="hybridMultilevel"/>
    <w:tmpl w:val="29A631EC"/>
    <w:lvl w:ilvl="0" w:tplc="9BC42AA4">
      <w:start w:val="1"/>
      <w:numFmt w:val="decimal"/>
      <w:lvlText w:val="%1."/>
      <w:lvlJc w:val="left"/>
      <w:pPr>
        <w:ind w:left="720" w:hanging="360"/>
      </w:pPr>
    </w:lvl>
    <w:lvl w:ilvl="1" w:tplc="398C24E2">
      <w:start w:val="1"/>
      <w:numFmt w:val="decimal"/>
      <w:lvlText w:val="%2.2"/>
      <w:lvlJc w:val="left"/>
      <w:pPr>
        <w:ind w:left="1440" w:hanging="360"/>
      </w:pPr>
    </w:lvl>
    <w:lvl w:ilvl="2" w:tplc="4544BE34">
      <w:start w:val="1"/>
      <w:numFmt w:val="lowerRoman"/>
      <w:lvlText w:val="%3."/>
      <w:lvlJc w:val="right"/>
      <w:pPr>
        <w:ind w:left="2160" w:hanging="180"/>
      </w:pPr>
    </w:lvl>
    <w:lvl w:ilvl="3" w:tplc="7FF08F72">
      <w:start w:val="1"/>
      <w:numFmt w:val="decimal"/>
      <w:lvlText w:val="%4."/>
      <w:lvlJc w:val="left"/>
      <w:pPr>
        <w:ind w:left="2880" w:hanging="360"/>
      </w:pPr>
    </w:lvl>
    <w:lvl w:ilvl="4" w:tplc="8FB82C54">
      <w:start w:val="1"/>
      <w:numFmt w:val="lowerLetter"/>
      <w:lvlText w:val="%5."/>
      <w:lvlJc w:val="left"/>
      <w:pPr>
        <w:ind w:left="3600" w:hanging="360"/>
      </w:pPr>
    </w:lvl>
    <w:lvl w:ilvl="5" w:tplc="09041BF6">
      <w:start w:val="1"/>
      <w:numFmt w:val="lowerRoman"/>
      <w:lvlText w:val="%6."/>
      <w:lvlJc w:val="right"/>
      <w:pPr>
        <w:ind w:left="4320" w:hanging="180"/>
      </w:pPr>
    </w:lvl>
    <w:lvl w:ilvl="6" w:tplc="0DF4A754">
      <w:start w:val="1"/>
      <w:numFmt w:val="decimal"/>
      <w:lvlText w:val="%7."/>
      <w:lvlJc w:val="left"/>
      <w:pPr>
        <w:ind w:left="5040" w:hanging="360"/>
      </w:pPr>
    </w:lvl>
    <w:lvl w:ilvl="7" w:tplc="CAA6C540">
      <w:start w:val="1"/>
      <w:numFmt w:val="lowerLetter"/>
      <w:lvlText w:val="%8."/>
      <w:lvlJc w:val="left"/>
      <w:pPr>
        <w:ind w:left="5760" w:hanging="360"/>
      </w:pPr>
    </w:lvl>
    <w:lvl w:ilvl="8" w:tplc="AB8498B8">
      <w:start w:val="1"/>
      <w:numFmt w:val="lowerRoman"/>
      <w:lvlText w:val="%9."/>
      <w:lvlJc w:val="right"/>
      <w:pPr>
        <w:ind w:left="6480" w:hanging="180"/>
      </w:pPr>
    </w:lvl>
  </w:abstractNum>
  <w:abstractNum w:abstractNumId="1" w15:restartNumberingAfterBreak="0">
    <w:nsid w:val="02CEDC07"/>
    <w:multiLevelType w:val="hybridMultilevel"/>
    <w:tmpl w:val="0CC8BAB2"/>
    <w:lvl w:ilvl="0" w:tplc="BA48EF98">
      <w:start w:val="1"/>
      <w:numFmt w:val="decimal"/>
      <w:lvlText w:val="%1."/>
      <w:lvlJc w:val="left"/>
      <w:pPr>
        <w:ind w:left="720" w:hanging="360"/>
      </w:pPr>
    </w:lvl>
    <w:lvl w:ilvl="1" w:tplc="4B963C38">
      <w:start w:val="1"/>
      <w:numFmt w:val="decimal"/>
      <w:lvlText w:val="%2.27"/>
      <w:lvlJc w:val="left"/>
      <w:pPr>
        <w:ind w:left="1440" w:hanging="360"/>
      </w:pPr>
    </w:lvl>
    <w:lvl w:ilvl="2" w:tplc="AA5CFCD2">
      <w:start w:val="1"/>
      <w:numFmt w:val="lowerRoman"/>
      <w:lvlText w:val="%3."/>
      <w:lvlJc w:val="right"/>
      <w:pPr>
        <w:ind w:left="2160" w:hanging="180"/>
      </w:pPr>
    </w:lvl>
    <w:lvl w:ilvl="3" w:tplc="8CFAF832">
      <w:start w:val="1"/>
      <w:numFmt w:val="decimal"/>
      <w:lvlText w:val="%4."/>
      <w:lvlJc w:val="left"/>
      <w:pPr>
        <w:ind w:left="2880" w:hanging="360"/>
      </w:pPr>
    </w:lvl>
    <w:lvl w:ilvl="4" w:tplc="2B4C6890">
      <w:start w:val="1"/>
      <w:numFmt w:val="lowerLetter"/>
      <w:lvlText w:val="%5."/>
      <w:lvlJc w:val="left"/>
      <w:pPr>
        <w:ind w:left="3600" w:hanging="360"/>
      </w:pPr>
    </w:lvl>
    <w:lvl w:ilvl="5" w:tplc="C4A6D188">
      <w:start w:val="1"/>
      <w:numFmt w:val="lowerRoman"/>
      <w:lvlText w:val="%6."/>
      <w:lvlJc w:val="right"/>
      <w:pPr>
        <w:ind w:left="4320" w:hanging="180"/>
      </w:pPr>
    </w:lvl>
    <w:lvl w:ilvl="6" w:tplc="D4EAD084">
      <w:start w:val="1"/>
      <w:numFmt w:val="decimal"/>
      <w:lvlText w:val="%7."/>
      <w:lvlJc w:val="left"/>
      <w:pPr>
        <w:ind w:left="5040" w:hanging="360"/>
      </w:pPr>
    </w:lvl>
    <w:lvl w:ilvl="7" w:tplc="DE109F46">
      <w:start w:val="1"/>
      <w:numFmt w:val="lowerLetter"/>
      <w:lvlText w:val="%8."/>
      <w:lvlJc w:val="left"/>
      <w:pPr>
        <w:ind w:left="5760" w:hanging="360"/>
      </w:pPr>
    </w:lvl>
    <w:lvl w:ilvl="8" w:tplc="ADBC865E">
      <w:start w:val="1"/>
      <w:numFmt w:val="lowerRoman"/>
      <w:lvlText w:val="%9."/>
      <w:lvlJc w:val="right"/>
      <w:pPr>
        <w:ind w:left="6480" w:hanging="180"/>
      </w:pPr>
    </w:lvl>
  </w:abstractNum>
  <w:abstractNum w:abstractNumId="2" w15:restartNumberingAfterBreak="0">
    <w:nsid w:val="061D122B"/>
    <w:multiLevelType w:val="hybridMultilevel"/>
    <w:tmpl w:val="FDD8EA4A"/>
    <w:lvl w:ilvl="0" w:tplc="A33815EE">
      <w:start w:val="1"/>
      <w:numFmt w:val="decimal"/>
      <w:lvlText w:val="•"/>
      <w:lvlJc w:val="left"/>
      <w:pPr>
        <w:ind w:left="720" w:hanging="360"/>
      </w:pPr>
    </w:lvl>
    <w:lvl w:ilvl="1" w:tplc="9F8EA942">
      <w:start w:val="1"/>
      <w:numFmt w:val="lowerLetter"/>
      <w:lvlText w:val="%2."/>
      <w:lvlJc w:val="left"/>
      <w:pPr>
        <w:ind w:left="1440" w:hanging="360"/>
      </w:pPr>
    </w:lvl>
    <w:lvl w:ilvl="2" w:tplc="E1FE5EB2">
      <w:start w:val="1"/>
      <w:numFmt w:val="lowerRoman"/>
      <w:lvlText w:val="%3."/>
      <w:lvlJc w:val="right"/>
      <w:pPr>
        <w:ind w:left="2160" w:hanging="180"/>
      </w:pPr>
    </w:lvl>
    <w:lvl w:ilvl="3" w:tplc="37529A14">
      <w:start w:val="1"/>
      <w:numFmt w:val="decimal"/>
      <w:lvlText w:val="%4."/>
      <w:lvlJc w:val="left"/>
      <w:pPr>
        <w:ind w:left="2880" w:hanging="360"/>
      </w:pPr>
    </w:lvl>
    <w:lvl w:ilvl="4" w:tplc="83D06A94">
      <w:start w:val="1"/>
      <w:numFmt w:val="lowerLetter"/>
      <w:lvlText w:val="%5."/>
      <w:lvlJc w:val="left"/>
      <w:pPr>
        <w:ind w:left="3600" w:hanging="360"/>
      </w:pPr>
    </w:lvl>
    <w:lvl w:ilvl="5" w:tplc="13B8E712">
      <w:start w:val="1"/>
      <w:numFmt w:val="lowerRoman"/>
      <w:lvlText w:val="%6."/>
      <w:lvlJc w:val="right"/>
      <w:pPr>
        <w:ind w:left="4320" w:hanging="180"/>
      </w:pPr>
    </w:lvl>
    <w:lvl w:ilvl="6" w:tplc="47308072">
      <w:start w:val="1"/>
      <w:numFmt w:val="decimal"/>
      <w:lvlText w:val="%7."/>
      <w:lvlJc w:val="left"/>
      <w:pPr>
        <w:ind w:left="5040" w:hanging="360"/>
      </w:pPr>
    </w:lvl>
    <w:lvl w:ilvl="7" w:tplc="22F68236">
      <w:start w:val="1"/>
      <w:numFmt w:val="lowerLetter"/>
      <w:lvlText w:val="%8."/>
      <w:lvlJc w:val="left"/>
      <w:pPr>
        <w:ind w:left="5760" w:hanging="360"/>
      </w:pPr>
    </w:lvl>
    <w:lvl w:ilvl="8" w:tplc="D106783A">
      <w:start w:val="1"/>
      <w:numFmt w:val="lowerRoman"/>
      <w:lvlText w:val="%9."/>
      <w:lvlJc w:val="right"/>
      <w:pPr>
        <w:ind w:left="6480" w:hanging="180"/>
      </w:pPr>
    </w:lvl>
  </w:abstractNum>
  <w:abstractNum w:abstractNumId="3" w15:restartNumberingAfterBreak="0">
    <w:nsid w:val="164A39D5"/>
    <w:multiLevelType w:val="hybridMultilevel"/>
    <w:tmpl w:val="B8922CE4"/>
    <w:lvl w:ilvl="0" w:tplc="B38CA328">
      <w:start w:val="1"/>
      <w:numFmt w:val="decimal"/>
      <w:lvlText w:val="•"/>
      <w:lvlJc w:val="left"/>
      <w:pPr>
        <w:ind w:left="720" w:hanging="360"/>
      </w:pPr>
    </w:lvl>
    <w:lvl w:ilvl="1" w:tplc="A296C3BC">
      <w:start w:val="1"/>
      <w:numFmt w:val="lowerLetter"/>
      <w:lvlText w:val="%2."/>
      <w:lvlJc w:val="left"/>
      <w:pPr>
        <w:ind w:left="1440" w:hanging="360"/>
      </w:pPr>
    </w:lvl>
    <w:lvl w:ilvl="2" w:tplc="8A0C8D78">
      <w:start w:val="1"/>
      <w:numFmt w:val="lowerRoman"/>
      <w:lvlText w:val="%3."/>
      <w:lvlJc w:val="right"/>
      <w:pPr>
        <w:ind w:left="2160" w:hanging="180"/>
      </w:pPr>
    </w:lvl>
    <w:lvl w:ilvl="3" w:tplc="B1BABBCC">
      <w:start w:val="1"/>
      <w:numFmt w:val="decimal"/>
      <w:lvlText w:val="%4."/>
      <w:lvlJc w:val="left"/>
      <w:pPr>
        <w:ind w:left="2880" w:hanging="360"/>
      </w:pPr>
    </w:lvl>
    <w:lvl w:ilvl="4" w:tplc="3C32A410">
      <w:start w:val="1"/>
      <w:numFmt w:val="lowerLetter"/>
      <w:lvlText w:val="%5."/>
      <w:lvlJc w:val="left"/>
      <w:pPr>
        <w:ind w:left="3600" w:hanging="360"/>
      </w:pPr>
    </w:lvl>
    <w:lvl w:ilvl="5" w:tplc="A6129242">
      <w:start w:val="1"/>
      <w:numFmt w:val="lowerRoman"/>
      <w:lvlText w:val="%6."/>
      <w:lvlJc w:val="right"/>
      <w:pPr>
        <w:ind w:left="4320" w:hanging="180"/>
      </w:pPr>
    </w:lvl>
    <w:lvl w:ilvl="6" w:tplc="6EC60C9E">
      <w:start w:val="1"/>
      <w:numFmt w:val="decimal"/>
      <w:lvlText w:val="%7."/>
      <w:lvlJc w:val="left"/>
      <w:pPr>
        <w:ind w:left="5040" w:hanging="360"/>
      </w:pPr>
    </w:lvl>
    <w:lvl w:ilvl="7" w:tplc="5790970C">
      <w:start w:val="1"/>
      <w:numFmt w:val="lowerLetter"/>
      <w:lvlText w:val="%8."/>
      <w:lvlJc w:val="left"/>
      <w:pPr>
        <w:ind w:left="5760" w:hanging="360"/>
      </w:pPr>
    </w:lvl>
    <w:lvl w:ilvl="8" w:tplc="41A0227C">
      <w:start w:val="1"/>
      <w:numFmt w:val="lowerRoman"/>
      <w:lvlText w:val="%9."/>
      <w:lvlJc w:val="right"/>
      <w:pPr>
        <w:ind w:left="6480" w:hanging="180"/>
      </w:pPr>
    </w:lvl>
  </w:abstractNum>
  <w:abstractNum w:abstractNumId="4" w15:restartNumberingAfterBreak="0">
    <w:nsid w:val="1727B0A5"/>
    <w:multiLevelType w:val="multilevel"/>
    <w:tmpl w:val="5EA68FD4"/>
    <w:lvl w:ilvl="0">
      <w:start w:val="1"/>
      <w:numFmt w:val="decimal"/>
      <w:lvlText w:val="%1."/>
      <w:lvlJc w:val="left"/>
      <w:pPr>
        <w:ind w:left="720" w:hanging="360"/>
      </w:pPr>
    </w:lvl>
    <w:lvl w:ilvl="1">
      <w:start w:val="1"/>
      <w:numFmt w:val="decimal"/>
      <w:lvlText w:val="%2.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7B6C7E"/>
    <w:multiLevelType w:val="hybridMultilevel"/>
    <w:tmpl w:val="B958E134"/>
    <w:lvl w:ilvl="0" w:tplc="348659DA">
      <w:start w:val="1"/>
      <w:numFmt w:val="decimal"/>
      <w:lvlText w:val="%1."/>
      <w:lvlJc w:val="left"/>
      <w:pPr>
        <w:ind w:left="720" w:hanging="360"/>
      </w:pPr>
    </w:lvl>
    <w:lvl w:ilvl="1" w:tplc="76FC3732">
      <w:start w:val="1"/>
      <w:numFmt w:val="lowerLetter"/>
      <w:lvlText w:val="%2."/>
      <w:lvlJc w:val="left"/>
      <w:pPr>
        <w:ind w:left="1440" w:hanging="360"/>
      </w:pPr>
    </w:lvl>
    <w:lvl w:ilvl="2" w:tplc="C9E61988">
      <w:start w:val="1"/>
      <w:numFmt w:val="lowerRoman"/>
      <w:lvlText w:val="%3."/>
      <w:lvlJc w:val="right"/>
      <w:pPr>
        <w:ind w:left="2160" w:hanging="180"/>
      </w:pPr>
    </w:lvl>
    <w:lvl w:ilvl="3" w:tplc="C01C895A">
      <w:start w:val="1"/>
      <w:numFmt w:val="decimal"/>
      <w:lvlText w:val="%4."/>
      <w:lvlJc w:val="left"/>
      <w:pPr>
        <w:ind w:left="2880" w:hanging="360"/>
      </w:pPr>
    </w:lvl>
    <w:lvl w:ilvl="4" w:tplc="ED4C25EC">
      <w:start w:val="1"/>
      <w:numFmt w:val="lowerLetter"/>
      <w:lvlText w:val="%5."/>
      <w:lvlJc w:val="left"/>
      <w:pPr>
        <w:ind w:left="3600" w:hanging="360"/>
      </w:pPr>
    </w:lvl>
    <w:lvl w:ilvl="5" w:tplc="258E44EC">
      <w:start w:val="1"/>
      <w:numFmt w:val="lowerRoman"/>
      <w:lvlText w:val="%6."/>
      <w:lvlJc w:val="right"/>
      <w:pPr>
        <w:ind w:left="4320" w:hanging="180"/>
      </w:pPr>
    </w:lvl>
    <w:lvl w:ilvl="6" w:tplc="A43C4466">
      <w:start w:val="1"/>
      <w:numFmt w:val="decimal"/>
      <w:lvlText w:val="%7."/>
      <w:lvlJc w:val="left"/>
      <w:pPr>
        <w:ind w:left="5040" w:hanging="360"/>
      </w:pPr>
    </w:lvl>
    <w:lvl w:ilvl="7" w:tplc="90663CC6">
      <w:start w:val="1"/>
      <w:numFmt w:val="lowerLetter"/>
      <w:lvlText w:val="%8."/>
      <w:lvlJc w:val="left"/>
      <w:pPr>
        <w:ind w:left="5760" w:hanging="360"/>
      </w:pPr>
    </w:lvl>
    <w:lvl w:ilvl="8" w:tplc="F2846ED6">
      <w:start w:val="1"/>
      <w:numFmt w:val="lowerRoman"/>
      <w:lvlText w:val="%9."/>
      <w:lvlJc w:val="right"/>
      <w:pPr>
        <w:ind w:left="6480" w:hanging="180"/>
      </w:pPr>
    </w:lvl>
  </w:abstractNum>
  <w:abstractNum w:abstractNumId="6" w15:restartNumberingAfterBreak="0">
    <w:nsid w:val="18ED4930"/>
    <w:multiLevelType w:val="hybridMultilevel"/>
    <w:tmpl w:val="54B40786"/>
    <w:lvl w:ilvl="0" w:tplc="FA621FF2">
      <w:start w:val="1"/>
      <w:numFmt w:val="decimal"/>
      <w:lvlText w:val="%1."/>
      <w:lvlJc w:val="left"/>
      <w:pPr>
        <w:ind w:left="720" w:hanging="360"/>
      </w:pPr>
    </w:lvl>
    <w:lvl w:ilvl="1" w:tplc="E1D2B4A6">
      <w:start w:val="1"/>
      <w:numFmt w:val="decimal"/>
      <w:lvlText w:val="%2.3"/>
      <w:lvlJc w:val="left"/>
      <w:pPr>
        <w:ind w:left="1440" w:hanging="360"/>
      </w:pPr>
    </w:lvl>
    <w:lvl w:ilvl="2" w:tplc="B7D86B7E">
      <w:start w:val="1"/>
      <w:numFmt w:val="lowerRoman"/>
      <w:lvlText w:val="%3."/>
      <w:lvlJc w:val="right"/>
      <w:pPr>
        <w:ind w:left="2160" w:hanging="180"/>
      </w:pPr>
    </w:lvl>
    <w:lvl w:ilvl="3" w:tplc="359E38DE">
      <w:start w:val="1"/>
      <w:numFmt w:val="decimal"/>
      <w:lvlText w:val="%4."/>
      <w:lvlJc w:val="left"/>
      <w:pPr>
        <w:ind w:left="2880" w:hanging="360"/>
      </w:pPr>
    </w:lvl>
    <w:lvl w:ilvl="4" w:tplc="1A94E560">
      <w:start w:val="1"/>
      <w:numFmt w:val="lowerLetter"/>
      <w:lvlText w:val="%5."/>
      <w:lvlJc w:val="left"/>
      <w:pPr>
        <w:ind w:left="3600" w:hanging="360"/>
      </w:pPr>
    </w:lvl>
    <w:lvl w:ilvl="5" w:tplc="3A368EB2">
      <w:start w:val="1"/>
      <w:numFmt w:val="lowerRoman"/>
      <w:lvlText w:val="%6."/>
      <w:lvlJc w:val="right"/>
      <w:pPr>
        <w:ind w:left="4320" w:hanging="180"/>
      </w:pPr>
    </w:lvl>
    <w:lvl w:ilvl="6" w:tplc="AB36D1D6">
      <w:start w:val="1"/>
      <w:numFmt w:val="decimal"/>
      <w:lvlText w:val="%7."/>
      <w:lvlJc w:val="left"/>
      <w:pPr>
        <w:ind w:left="5040" w:hanging="360"/>
      </w:pPr>
    </w:lvl>
    <w:lvl w:ilvl="7" w:tplc="A4F283AA">
      <w:start w:val="1"/>
      <w:numFmt w:val="lowerLetter"/>
      <w:lvlText w:val="%8."/>
      <w:lvlJc w:val="left"/>
      <w:pPr>
        <w:ind w:left="5760" w:hanging="360"/>
      </w:pPr>
    </w:lvl>
    <w:lvl w:ilvl="8" w:tplc="A9640184">
      <w:start w:val="1"/>
      <w:numFmt w:val="lowerRoman"/>
      <w:lvlText w:val="%9."/>
      <w:lvlJc w:val="right"/>
      <w:pPr>
        <w:ind w:left="6480" w:hanging="180"/>
      </w:pPr>
    </w:lvl>
  </w:abstractNum>
  <w:abstractNum w:abstractNumId="7" w15:restartNumberingAfterBreak="0">
    <w:nsid w:val="1AE99C84"/>
    <w:multiLevelType w:val="hybridMultilevel"/>
    <w:tmpl w:val="EC587F72"/>
    <w:lvl w:ilvl="0" w:tplc="D7C42ED6">
      <w:start w:val="1"/>
      <w:numFmt w:val="decimal"/>
      <w:lvlText w:val="(v)"/>
      <w:lvlJc w:val="left"/>
      <w:pPr>
        <w:ind w:left="720" w:hanging="360"/>
      </w:pPr>
    </w:lvl>
    <w:lvl w:ilvl="1" w:tplc="56A455FC">
      <w:start w:val="1"/>
      <w:numFmt w:val="lowerLetter"/>
      <w:lvlText w:val="%2."/>
      <w:lvlJc w:val="left"/>
      <w:pPr>
        <w:ind w:left="1440" w:hanging="360"/>
      </w:pPr>
    </w:lvl>
    <w:lvl w:ilvl="2" w:tplc="0F78E99E">
      <w:start w:val="1"/>
      <w:numFmt w:val="lowerRoman"/>
      <w:lvlText w:val="%3."/>
      <w:lvlJc w:val="right"/>
      <w:pPr>
        <w:ind w:left="2160" w:hanging="180"/>
      </w:pPr>
    </w:lvl>
    <w:lvl w:ilvl="3" w:tplc="170A3AFA">
      <w:start w:val="1"/>
      <w:numFmt w:val="decimal"/>
      <w:lvlText w:val="%4."/>
      <w:lvlJc w:val="left"/>
      <w:pPr>
        <w:ind w:left="2880" w:hanging="360"/>
      </w:pPr>
    </w:lvl>
    <w:lvl w:ilvl="4" w:tplc="024EAB34">
      <w:start w:val="1"/>
      <w:numFmt w:val="lowerLetter"/>
      <w:lvlText w:val="%5."/>
      <w:lvlJc w:val="left"/>
      <w:pPr>
        <w:ind w:left="3600" w:hanging="360"/>
      </w:pPr>
    </w:lvl>
    <w:lvl w:ilvl="5" w:tplc="5C4A0C36">
      <w:start w:val="1"/>
      <w:numFmt w:val="lowerRoman"/>
      <w:lvlText w:val="%6."/>
      <w:lvlJc w:val="right"/>
      <w:pPr>
        <w:ind w:left="4320" w:hanging="180"/>
      </w:pPr>
    </w:lvl>
    <w:lvl w:ilvl="6" w:tplc="CA969690">
      <w:start w:val="1"/>
      <w:numFmt w:val="decimal"/>
      <w:lvlText w:val="%7."/>
      <w:lvlJc w:val="left"/>
      <w:pPr>
        <w:ind w:left="5040" w:hanging="360"/>
      </w:pPr>
    </w:lvl>
    <w:lvl w:ilvl="7" w:tplc="B26A2970">
      <w:start w:val="1"/>
      <w:numFmt w:val="lowerLetter"/>
      <w:lvlText w:val="%8."/>
      <w:lvlJc w:val="left"/>
      <w:pPr>
        <w:ind w:left="5760" w:hanging="360"/>
      </w:pPr>
    </w:lvl>
    <w:lvl w:ilvl="8" w:tplc="1CF64B14">
      <w:start w:val="1"/>
      <w:numFmt w:val="lowerRoman"/>
      <w:lvlText w:val="%9."/>
      <w:lvlJc w:val="right"/>
      <w:pPr>
        <w:ind w:left="6480" w:hanging="180"/>
      </w:pPr>
    </w:lvl>
  </w:abstractNum>
  <w:abstractNum w:abstractNumId="8" w15:restartNumberingAfterBreak="0">
    <w:nsid w:val="1E39DB0F"/>
    <w:multiLevelType w:val="hybridMultilevel"/>
    <w:tmpl w:val="FEFC9386"/>
    <w:lvl w:ilvl="0" w:tplc="27484300">
      <w:start w:val="1"/>
      <w:numFmt w:val="bullet"/>
      <w:lvlText w:val="·"/>
      <w:lvlJc w:val="left"/>
      <w:pPr>
        <w:ind w:left="720" w:hanging="360"/>
      </w:pPr>
      <w:rPr>
        <w:rFonts w:ascii="Symbol" w:hAnsi="Symbol" w:hint="default"/>
      </w:rPr>
    </w:lvl>
    <w:lvl w:ilvl="1" w:tplc="BBD45482">
      <w:start w:val="1"/>
      <w:numFmt w:val="bullet"/>
      <w:lvlText w:val="o"/>
      <w:lvlJc w:val="left"/>
      <w:pPr>
        <w:ind w:left="1440" w:hanging="360"/>
      </w:pPr>
      <w:rPr>
        <w:rFonts w:ascii="Courier New" w:hAnsi="Courier New" w:hint="default"/>
      </w:rPr>
    </w:lvl>
    <w:lvl w:ilvl="2" w:tplc="9868361E">
      <w:start w:val="1"/>
      <w:numFmt w:val="bullet"/>
      <w:lvlText w:val=""/>
      <w:lvlJc w:val="left"/>
      <w:pPr>
        <w:ind w:left="2160" w:hanging="360"/>
      </w:pPr>
      <w:rPr>
        <w:rFonts w:ascii="Wingdings" w:hAnsi="Wingdings" w:hint="default"/>
      </w:rPr>
    </w:lvl>
    <w:lvl w:ilvl="3" w:tplc="7276B8D8">
      <w:start w:val="1"/>
      <w:numFmt w:val="bullet"/>
      <w:lvlText w:val=""/>
      <w:lvlJc w:val="left"/>
      <w:pPr>
        <w:ind w:left="2880" w:hanging="360"/>
      </w:pPr>
      <w:rPr>
        <w:rFonts w:ascii="Symbol" w:hAnsi="Symbol" w:hint="default"/>
      </w:rPr>
    </w:lvl>
    <w:lvl w:ilvl="4" w:tplc="D7D0C0B2">
      <w:start w:val="1"/>
      <w:numFmt w:val="bullet"/>
      <w:lvlText w:val="o"/>
      <w:lvlJc w:val="left"/>
      <w:pPr>
        <w:ind w:left="3600" w:hanging="360"/>
      </w:pPr>
      <w:rPr>
        <w:rFonts w:ascii="Courier New" w:hAnsi="Courier New" w:hint="default"/>
      </w:rPr>
    </w:lvl>
    <w:lvl w:ilvl="5" w:tplc="E390A62E">
      <w:start w:val="1"/>
      <w:numFmt w:val="bullet"/>
      <w:lvlText w:val=""/>
      <w:lvlJc w:val="left"/>
      <w:pPr>
        <w:ind w:left="4320" w:hanging="360"/>
      </w:pPr>
      <w:rPr>
        <w:rFonts w:ascii="Wingdings" w:hAnsi="Wingdings" w:hint="default"/>
      </w:rPr>
    </w:lvl>
    <w:lvl w:ilvl="6" w:tplc="B0FE6E26">
      <w:start w:val="1"/>
      <w:numFmt w:val="bullet"/>
      <w:lvlText w:val=""/>
      <w:lvlJc w:val="left"/>
      <w:pPr>
        <w:ind w:left="5040" w:hanging="360"/>
      </w:pPr>
      <w:rPr>
        <w:rFonts w:ascii="Symbol" w:hAnsi="Symbol" w:hint="default"/>
      </w:rPr>
    </w:lvl>
    <w:lvl w:ilvl="7" w:tplc="4858B194">
      <w:start w:val="1"/>
      <w:numFmt w:val="bullet"/>
      <w:lvlText w:val="o"/>
      <w:lvlJc w:val="left"/>
      <w:pPr>
        <w:ind w:left="5760" w:hanging="360"/>
      </w:pPr>
      <w:rPr>
        <w:rFonts w:ascii="Courier New" w:hAnsi="Courier New" w:hint="default"/>
      </w:rPr>
    </w:lvl>
    <w:lvl w:ilvl="8" w:tplc="058C49A0">
      <w:start w:val="1"/>
      <w:numFmt w:val="bullet"/>
      <w:lvlText w:val=""/>
      <w:lvlJc w:val="left"/>
      <w:pPr>
        <w:ind w:left="6480" w:hanging="360"/>
      </w:pPr>
      <w:rPr>
        <w:rFonts w:ascii="Wingdings" w:hAnsi="Wingdings" w:hint="default"/>
      </w:rPr>
    </w:lvl>
  </w:abstractNum>
  <w:abstractNum w:abstractNumId="9" w15:restartNumberingAfterBreak="0">
    <w:nsid w:val="3827BED6"/>
    <w:multiLevelType w:val="hybridMultilevel"/>
    <w:tmpl w:val="293E959C"/>
    <w:lvl w:ilvl="0" w:tplc="EF0EB652">
      <w:start w:val="1"/>
      <w:numFmt w:val="decimal"/>
      <w:lvlText w:val="%1."/>
      <w:lvlJc w:val="left"/>
      <w:pPr>
        <w:ind w:left="720" w:hanging="360"/>
      </w:pPr>
    </w:lvl>
    <w:lvl w:ilvl="1" w:tplc="E1FAF886">
      <w:start w:val="1"/>
      <w:numFmt w:val="decimal"/>
      <w:lvlText w:val="%2.7"/>
      <w:lvlJc w:val="left"/>
      <w:pPr>
        <w:ind w:left="1440" w:hanging="360"/>
      </w:pPr>
    </w:lvl>
    <w:lvl w:ilvl="2" w:tplc="F124708E">
      <w:start w:val="1"/>
      <w:numFmt w:val="lowerRoman"/>
      <w:lvlText w:val="%3."/>
      <w:lvlJc w:val="right"/>
      <w:pPr>
        <w:ind w:left="2160" w:hanging="180"/>
      </w:pPr>
    </w:lvl>
    <w:lvl w:ilvl="3" w:tplc="729AFC52">
      <w:start w:val="1"/>
      <w:numFmt w:val="decimal"/>
      <w:lvlText w:val="%4."/>
      <w:lvlJc w:val="left"/>
      <w:pPr>
        <w:ind w:left="2880" w:hanging="360"/>
      </w:pPr>
    </w:lvl>
    <w:lvl w:ilvl="4" w:tplc="A3F47B20">
      <w:start w:val="1"/>
      <w:numFmt w:val="lowerLetter"/>
      <w:lvlText w:val="%5."/>
      <w:lvlJc w:val="left"/>
      <w:pPr>
        <w:ind w:left="3600" w:hanging="360"/>
      </w:pPr>
    </w:lvl>
    <w:lvl w:ilvl="5" w:tplc="EBC6907C">
      <w:start w:val="1"/>
      <w:numFmt w:val="lowerRoman"/>
      <w:lvlText w:val="%6."/>
      <w:lvlJc w:val="right"/>
      <w:pPr>
        <w:ind w:left="4320" w:hanging="180"/>
      </w:pPr>
    </w:lvl>
    <w:lvl w:ilvl="6" w:tplc="4B50CAF0">
      <w:start w:val="1"/>
      <w:numFmt w:val="decimal"/>
      <w:lvlText w:val="%7."/>
      <w:lvlJc w:val="left"/>
      <w:pPr>
        <w:ind w:left="5040" w:hanging="360"/>
      </w:pPr>
    </w:lvl>
    <w:lvl w:ilvl="7" w:tplc="F7344EEE">
      <w:start w:val="1"/>
      <w:numFmt w:val="lowerLetter"/>
      <w:lvlText w:val="%8."/>
      <w:lvlJc w:val="left"/>
      <w:pPr>
        <w:ind w:left="5760" w:hanging="360"/>
      </w:pPr>
    </w:lvl>
    <w:lvl w:ilvl="8" w:tplc="8A7659DC">
      <w:start w:val="1"/>
      <w:numFmt w:val="lowerRoman"/>
      <w:lvlText w:val="%9."/>
      <w:lvlJc w:val="right"/>
      <w:pPr>
        <w:ind w:left="6480" w:hanging="180"/>
      </w:pPr>
    </w:lvl>
  </w:abstractNum>
  <w:abstractNum w:abstractNumId="10" w15:restartNumberingAfterBreak="0">
    <w:nsid w:val="398FAC13"/>
    <w:multiLevelType w:val="hybridMultilevel"/>
    <w:tmpl w:val="DD685C68"/>
    <w:lvl w:ilvl="0" w:tplc="95D81668">
      <w:start w:val="1"/>
      <w:numFmt w:val="lowerLetter"/>
      <w:lvlText w:val="c)"/>
      <w:lvlJc w:val="left"/>
      <w:pPr>
        <w:ind w:left="720" w:hanging="360"/>
      </w:pPr>
    </w:lvl>
    <w:lvl w:ilvl="1" w:tplc="FAE2403C">
      <w:start w:val="1"/>
      <w:numFmt w:val="lowerLetter"/>
      <w:lvlText w:val="%2."/>
      <w:lvlJc w:val="left"/>
      <w:pPr>
        <w:ind w:left="1440" w:hanging="360"/>
      </w:pPr>
    </w:lvl>
    <w:lvl w:ilvl="2" w:tplc="A55E9D90">
      <w:start w:val="1"/>
      <w:numFmt w:val="lowerRoman"/>
      <w:lvlText w:val="%3."/>
      <w:lvlJc w:val="right"/>
      <w:pPr>
        <w:ind w:left="2160" w:hanging="180"/>
      </w:pPr>
    </w:lvl>
    <w:lvl w:ilvl="3" w:tplc="422E48A8">
      <w:start w:val="1"/>
      <w:numFmt w:val="decimal"/>
      <w:lvlText w:val="%4."/>
      <w:lvlJc w:val="left"/>
      <w:pPr>
        <w:ind w:left="2880" w:hanging="360"/>
      </w:pPr>
    </w:lvl>
    <w:lvl w:ilvl="4" w:tplc="DA86EF9E">
      <w:start w:val="1"/>
      <w:numFmt w:val="lowerLetter"/>
      <w:lvlText w:val="%5."/>
      <w:lvlJc w:val="left"/>
      <w:pPr>
        <w:ind w:left="3600" w:hanging="360"/>
      </w:pPr>
    </w:lvl>
    <w:lvl w:ilvl="5" w:tplc="008A1776">
      <w:start w:val="1"/>
      <w:numFmt w:val="lowerRoman"/>
      <w:lvlText w:val="%6."/>
      <w:lvlJc w:val="right"/>
      <w:pPr>
        <w:ind w:left="4320" w:hanging="180"/>
      </w:pPr>
    </w:lvl>
    <w:lvl w:ilvl="6" w:tplc="4F8E5036">
      <w:start w:val="1"/>
      <w:numFmt w:val="decimal"/>
      <w:lvlText w:val="%7."/>
      <w:lvlJc w:val="left"/>
      <w:pPr>
        <w:ind w:left="5040" w:hanging="360"/>
      </w:pPr>
    </w:lvl>
    <w:lvl w:ilvl="7" w:tplc="954616B6">
      <w:start w:val="1"/>
      <w:numFmt w:val="lowerLetter"/>
      <w:lvlText w:val="%8."/>
      <w:lvlJc w:val="left"/>
      <w:pPr>
        <w:ind w:left="5760" w:hanging="360"/>
      </w:pPr>
    </w:lvl>
    <w:lvl w:ilvl="8" w:tplc="97AAE952">
      <w:start w:val="1"/>
      <w:numFmt w:val="lowerRoman"/>
      <w:lvlText w:val="%9."/>
      <w:lvlJc w:val="right"/>
      <w:pPr>
        <w:ind w:left="6480" w:hanging="180"/>
      </w:pPr>
    </w:lvl>
  </w:abstractNum>
  <w:abstractNum w:abstractNumId="11" w15:restartNumberingAfterBreak="0">
    <w:nsid w:val="3C926BAC"/>
    <w:multiLevelType w:val="hybridMultilevel"/>
    <w:tmpl w:val="D7F8E5C2"/>
    <w:lvl w:ilvl="0" w:tplc="D4D48428">
      <w:start w:val="1"/>
      <w:numFmt w:val="bullet"/>
      <w:lvlText w:val="·"/>
      <w:lvlJc w:val="left"/>
      <w:pPr>
        <w:ind w:left="720" w:hanging="360"/>
      </w:pPr>
      <w:rPr>
        <w:rFonts w:ascii="Symbol" w:hAnsi="Symbol" w:hint="default"/>
      </w:rPr>
    </w:lvl>
    <w:lvl w:ilvl="1" w:tplc="88246250">
      <w:start w:val="1"/>
      <w:numFmt w:val="bullet"/>
      <w:lvlText w:val="o"/>
      <w:lvlJc w:val="left"/>
      <w:pPr>
        <w:ind w:left="1440" w:hanging="360"/>
      </w:pPr>
      <w:rPr>
        <w:rFonts w:ascii="Courier New" w:hAnsi="Courier New" w:hint="default"/>
      </w:rPr>
    </w:lvl>
    <w:lvl w:ilvl="2" w:tplc="F7BCA098">
      <w:start w:val="1"/>
      <w:numFmt w:val="bullet"/>
      <w:lvlText w:val=""/>
      <w:lvlJc w:val="left"/>
      <w:pPr>
        <w:ind w:left="2160" w:hanging="360"/>
      </w:pPr>
      <w:rPr>
        <w:rFonts w:ascii="Wingdings" w:hAnsi="Wingdings" w:hint="default"/>
      </w:rPr>
    </w:lvl>
    <w:lvl w:ilvl="3" w:tplc="5D9C9B6C">
      <w:start w:val="1"/>
      <w:numFmt w:val="bullet"/>
      <w:lvlText w:val=""/>
      <w:lvlJc w:val="left"/>
      <w:pPr>
        <w:ind w:left="2880" w:hanging="360"/>
      </w:pPr>
      <w:rPr>
        <w:rFonts w:ascii="Symbol" w:hAnsi="Symbol" w:hint="default"/>
      </w:rPr>
    </w:lvl>
    <w:lvl w:ilvl="4" w:tplc="F2206848">
      <w:start w:val="1"/>
      <w:numFmt w:val="bullet"/>
      <w:lvlText w:val="o"/>
      <w:lvlJc w:val="left"/>
      <w:pPr>
        <w:ind w:left="3600" w:hanging="360"/>
      </w:pPr>
      <w:rPr>
        <w:rFonts w:ascii="Courier New" w:hAnsi="Courier New" w:hint="default"/>
      </w:rPr>
    </w:lvl>
    <w:lvl w:ilvl="5" w:tplc="E8023C6E">
      <w:start w:val="1"/>
      <w:numFmt w:val="bullet"/>
      <w:lvlText w:val=""/>
      <w:lvlJc w:val="left"/>
      <w:pPr>
        <w:ind w:left="4320" w:hanging="360"/>
      </w:pPr>
      <w:rPr>
        <w:rFonts w:ascii="Wingdings" w:hAnsi="Wingdings" w:hint="default"/>
      </w:rPr>
    </w:lvl>
    <w:lvl w:ilvl="6" w:tplc="AD08B3D8">
      <w:start w:val="1"/>
      <w:numFmt w:val="bullet"/>
      <w:lvlText w:val=""/>
      <w:lvlJc w:val="left"/>
      <w:pPr>
        <w:ind w:left="5040" w:hanging="360"/>
      </w:pPr>
      <w:rPr>
        <w:rFonts w:ascii="Symbol" w:hAnsi="Symbol" w:hint="default"/>
      </w:rPr>
    </w:lvl>
    <w:lvl w:ilvl="7" w:tplc="DE2AAE86">
      <w:start w:val="1"/>
      <w:numFmt w:val="bullet"/>
      <w:lvlText w:val="o"/>
      <w:lvlJc w:val="left"/>
      <w:pPr>
        <w:ind w:left="5760" w:hanging="360"/>
      </w:pPr>
      <w:rPr>
        <w:rFonts w:ascii="Courier New" w:hAnsi="Courier New" w:hint="default"/>
      </w:rPr>
    </w:lvl>
    <w:lvl w:ilvl="8" w:tplc="EF1A664E">
      <w:start w:val="1"/>
      <w:numFmt w:val="bullet"/>
      <w:lvlText w:val=""/>
      <w:lvlJc w:val="left"/>
      <w:pPr>
        <w:ind w:left="6480" w:hanging="360"/>
      </w:pPr>
      <w:rPr>
        <w:rFonts w:ascii="Wingdings" w:hAnsi="Wingdings" w:hint="default"/>
      </w:rPr>
    </w:lvl>
  </w:abstractNum>
  <w:abstractNum w:abstractNumId="12" w15:restartNumberingAfterBreak="0">
    <w:nsid w:val="3C926ED2"/>
    <w:multiLevelType w:val="hybridMultilevel"/>
    <w:tmpl w:val="ED965A2E"/>
    <w:lvl w:ilvl="0" w:tplc="F3280248">
      <w:start w:val="1"/>
      <w:numFmt w:val="decimal"/>
      <w:lvlText w:val="%1."/>
      <w:lvlJc w:val="left"/>
      <w:pPr>
        <w:ind w:left="720" w:hanging="360"/>
      </w:pPr>
    </w:lvl>
    <w:lvl w:ilvl="1" w:tplc="FF342332">
      <w:start w:val="1"/>
      <w:numFmt w:val="decimal"/>
      <w:lvlText w:val="%2.17"/>
      <w:lvlJc w:val="left"/>
      <w:pPr>
        <w:ind w:left="1440" w:hanging="360"/>
      </w:pPr>
    </w:lvl>
    <w:lvl w:ilvl="2" w:tplc="ABE8735E">
      <w:start w:val="1"/>
      <w:numFmt w:val="lowerRoman"/>
      <w:lvlText w:val="%3."/>
      <w:lvlJc w:val="right"/>
      <w:pPr>
        <w:ind w:left="2160" w:hanging="180"/>
      </w:pPr>
    </w:lvl>
    <w:lvl w:ilvl="3" w:tplc="6F904F10">
      <w:start w:val="1"/>
      <w:numFmt w:val="decimal"/>
      <w:lvlText w:val="%4."/>
      <w:lvlJc w:val="left"/>
      <w:pPr>
        <w:ind w:left="2880" w:hanging="360"/>
      </w:pPr>
    </w:lvl>
    <w:lvl w:ilvl="4" w:tplc="6C78C3D2">
      <w:start w:val="1"/>
      <w:numFmt w:val="lowerLetter"/>
      <w:lvlText w:val="%5."/>
      <w:lvlJc w:val="left"/>
      <w:pPr>
        <w:ind w:left="3600" w:hanging="360"/>
      </w:pPr>
    </w:lvl>
    <w:lvl w:ilvl="5" w:tplc="E422A77C">
      <w:start w:val="1"/>
      <w:numFmt w:val="lowerRoman"/>
      <w:lvlText w:val="%6."/>
      <w:lvlJc w:val="right"/>
      <w:pPr>
        <w:ind w:left="4320" w:hanging="180"/>
      </w:pPr>
    </w:lvl>
    <w:lvl w:ilvl="6" w:tplc="D41E35B6">
      <w:start w:val="1"/>
      <w:numFmt w:val="decimal"/>
      <w:lvlText w:val="%7."/>
      <w:lvlJc w:val="left"/>
      <w:pPr>
        <w:ind w:left="5040" w:hanging="360"/>
      </w:pPr>
    </w:lvl>
    <w:lvl w:ilvl="7" w:tplc="0CAC9CA6">
      <w:start w:val="1"/>
      <w:numFmt w:val="lowerLetter"/>
      <w:lvlText w:val="%8."/>
      <w:lvlJc w:val="left"/>
      <w:pPr>
        <w:ind w:left="5760" w:hanging="360"/>
      </w:pPr>
    </w:lvl>
    <w:lvl w:ilvl="8" w:tplc="0C00DBD4">
      <w:start w:val="1"/>
      <w:numFmt w:val="lowerRoman"/>
      <w:lvlText w:val="%9."/>
      <w:lvlJc w:val="right"/>
      <w:pPr>
        <w:ind w:left="6480" w:hanging="180"/>
      </w:pPr>
    </w:lvl>
  </w:abstractNum>
  <w:abstractNum w:abstractNumId="13" w15:restartNumberingAfterBreak="0">
    <w:nsid w:val="3D238A19"/>
    <w:multiLevelType w:val="hybridMultilevel"/>
    <w:tmpl w:val="D4184160"/>
    <w:lvl w:ilvl="0" w:tplc="8818A680">
      <w:start w:val="1"/>
      <w:numFmt w:val="bullet"/>
      <w:lvlText w:val="·"/>
      <w:lvlJc w:val="left"/>
      <w:pPr>
        <w:ind w:left="720" w:hanging="360"/>
      </w:pPr>
      <w:rPr>
        <w:rFonts w:ascii="Symbol" w:hAnsi="Symbol" w:hint="default"/>
      </w:rPr>
    </w:lvl>
    <w:lvl w:ilvl="1" w:tplc="024A3E00">
      <w:start w:val="1"/>
      <w:numFmt w:val="decimal"/>
      <w:lvlText w:val="•"/>
      <w:lvlJc w:val="left"/>
      <w:pPr>
        <w:ind w:left="1440" w:hanging="360"/>
      </w:pPr>
    </w:lvl>
    <w:lvl w:ilvl="2" w:tplc="FD263F6A">
      <w:start w:val="1"/>
      <w:numFmt w:val="bullet"/>
      <w:lvlText w:val=""/>
      <w:lvlJc w:val="left"/>
      <w:pPr>
        <w:ind w:left="2160" w:hanging="360"/>
      </w:pPr>
      <w:rPr>
        <w:rFonts w:ascii="Wingdings" w:hAnsi="Wingdings" w:hint="default"/>
      </w:rPr>
    </w:lvl>
    <w:lvl w:ilvl="3" w:tplc="41689AE4">
      <w:start w:val="1"/>
      <w:numFmt w:val="bullet"/>
      <w:lvlText w:val=""/>
      <w:lvlJc w:val="left"/>
      <w:pPr>
        <w:ind w:left="2880" w:hanging="360"/>
      </w:pPr>
      <w:rPr>
        <w:rFonts w:ascii="Symbol" w:hAnsi="Symbol" w:hint="default"/>
      </w:rPr>
    </w:lvl>
    <w:lvl w:ilvl="4" w:tplc="9B7A1AE4">
      <w:start w:val="1"/>
      <w:numFmt w:val="bullet"/>
      <w:lvlText w:val="o"/>
      <w:lvlJc w:val="left"/>
      <w:pPr>
        <w:ind w:left="3600" w:hanging="360"/>
      </w:pPr>
      <w:rPr>
        <w:rFonts w:ascii="Courier New" w:hAnsi="Courier New" w:hint="default"/>
      </w:rPr>
    </w:lvl>
    <w:lvl w:ilvl="5" w:tplc="FB662982">
      <w:start w:val="1"/>
      <w:numFmt w:val="bullet"/>
      <w:lvlText w:val=""/>
      <w:lvlJc w:val="left"/>
      <w:pPr>
        <w:ind w:left="4320" w:hanging="360"/>
      </w:pPr>
      <w:rPr>
        <w:rFonts w:ascii="Wingdings" w:hAnsi="Wingdings" w:hint="default"/>
      </w:rPr>
    </w:lvl>
    <w:lvl w:ilvl="6" w:tplc="A44ED542">
      <w:start w:val="1"/>
      <w:numFmt w:val="bullet"/>
      <w:lvlText w:val=""/>
      <w:lvlJc w:val="left"/>
      <w:pPr>
        <w:ind w:left="5040" w:hanging="360"/>
      </w:pPr>
      <w:rPr>
        <w:rFonts w:ascii="Symbol" w:hAnsi="Symbol" w:hint="default"/>
      </w:rPr>
    </w:lvl>
    <w:lvl w:ilvl="7" w:tplc="DC0E7D38">
      <w:start w:val="1"/>
      <w:numFmt w:val="bullet"/>
      <w:lvlText w:val="o"/>
      <w:lvlJc w:val="left"/>
      <w:pPr>
        <w:ind w:left="5760" w:hanging="360"/>
      </w:pPr>
      <w:rPr>
        <w:rFonts w:ascii="Courier New" w:hAnsi="Courier New" w:hint="default"/>
      </w:rPr>
    </w:lvl>
    <w:lvl w:ilvl="8" w:tplc="314A3462">
      <w:start w:val="1"/>
      <w:numFmt w:val="bullet"/>
      <w:lvlText w:val=""/>
      <w:lvlJc w:val="left"/>
      <w:pPr>
        <w:ind w:left="6480" w:hanging="360"/>
      </w:pPr>
      <w:rPr>
        <w:rFonts w:ascii="Wingdings" w:hAnsi="Wingdings" w:hint="default"/>
      </w:rPr>
    </w:lvl>
  </w:abstractNum>
  <w:abstractNum w:abstractNumId="14" w15:restartNumberingAfterBreak="0">
    <w:nsid w:val="3E1EADC4"/>
    <w:multiLevelType w:val="hybridMultilevel"/>
    <w:tmpl w:val="F398CA18"/>
    <w:lvl w:ilvl="0" w:tplc="9BA451A0">
      <w:start w:val="1"/>
      <w:numFmt w:val="decimal"/>
      <w:lvlText w:val="•"/>
      <w:lvlJc w:val="left"/>
      <w:pPr>
        <w:ind w:left="720" w:hanging="360"/>
      </w:pPr>
    </w:lvl>
    <w:lvl w:ilvl="1" w:tplc="ED9AF4CA">
      <w:start w:val="1"/>
      <w:numFmt w:val="lowerLetter"/>
      <w:lvlText w:val="%2."/>
      <w:lvlJc w:val="left"/>
      <w:pPr>
        <w:ind w:left="1440" w:hanging="360"/>
      </w:pPr>
    </w:lvl>
    <w:lvl w:ilvl="2" w:tplc="82CAE096">
      <w:start w:val="1"/>
      <w:numFmt w:val="lowerRoman"/>
      <w:lvlText w:val="%3."/>
      <w:lvlJc w:val="right"/>
      <w:pPr>
        <w:ind w:left="2160" w:hanging="180"/>
      </w:pPr>
    </w:lvl>
    <w:lvl w:ilvl="3" w:tplc="5E9E330A">
      <w:start w:val="1"/>
      <w:numFmt w:val="decimal"/>
      <w:lvlText w:val="%4."/>
      <w:lvlJc w:val="left"/>
      <w:pPr>
        <w:ind w:left="2880" w:hanging="360"/>
      </w:pPr>
    </w:lvl>
    <w:lvl w:ilvl="4" w:tplc="793EA64E">
      <w:start w:val="1"/>
      <w:numFmt w:val="lowerLetter"/>
      <w:lvlText w:val="%5."/>
      <w:lvlJc w:val="left"/>
      <w:pPr>
        <w:ind w:left="3600" w:hanging="360"/>
      </w:pPr>
    </w:lvl>
    <w:lvl w:ilvl="5" w:tplc="72800B32">
      <w:start w:val="1"/>
      <w:numFmt w:val="lowerRoman"/>
      <w:lvlText w:val="%6."/>
      <w:lvlJc w:val="right"/>
      <w:pPr>
        <w:ind w:left="4320" w:hanging="180"/>
      </w:pPr>
    </w:lvl>
    <w:lvl w:ilvl="6" w:tplc="F202D6D2">
      <w:start w:val="1"/>
      <w:numFmt w:val="decimal"/>
      <w:lvlText w:val="%7."/>
      <w:lvlJc w:val="left"/>
      <w:pPr>
        <w:ind w:left="5040" w:hanging="360"/>
      </w:pPr>
    </w:lvl>
    <w:lvl w:ilvl="7" w:tplc="D6A4F2A6">
      <w:start w:val="1"/>
      <w:numFmt w:val="lowerLetter"/>
      <w:lvlText w:val="%8."/>
      <w:lvlJc w:val="left"/>
      <w:pPr>
        <w:ind w:left="5760" w:hanging="360"/>
      </w:pPr>
    </w:lvl>
    <w:lvl w:ilvl="8" w:tplc="93BC00B6">
      <w:start w:val="1"/>
      <w:numFmt w:val="lowerRoman"/>
      <w:lvlText w:val="%9."/>
      <w:lvlJc w:val="right"/>
      <w:pPr>
        <w:ind w:left="6480" w:hanging="180"/>
      </w:pPr>
    </w:lvl>
  </w:abstractNum>
  <w:abstractNum w:abstractNumId="15" w15:restartNumberingAfterBreak="0">
    <w:nsid w:val="441F0F61"/>
    <w:multiLevelType w:val="hybridMultilevel"/>
    <w:tmpl w:val="C97AC46E"/>
    <w:lvl w:ilvl="0" w:tplc="48A08936">
      <w:start w:val="1"/>
      <w:numFmt w:val="decimal"/>
      <w:lvlText w:val="%1."/>
      <w:lvlJc w:val="left"/>
      <w:pPr>
        <w:ind w:left="720" w:hanging="360"/>
      </w:pPr>
    </w:lvl>
    <w:lvl w:ilvl="1" w:tplc="7100698E">
      <w:start w:val="1"/>
      <w:numFmt w:val="decimal"/>
      <w:lvlText w:val="%2.4"/>
      <w:lvlJc w:val="left"/>
      <w:pPr>
        <w:ind w:left="1440" w:hanging="360"/>
      </w:pPr>
    </w:lvl>
    <w:lvl w:ilvl="2" w:tplc="F41A1A42">
      <w:start w:val="1"/>
      <w:numFmt w:val="lowerRoman"/>
      <w:lvlText w:val="%3."/>
      <w:lvlJc w:val="right"/>
      <w:pPr>
        <w:ind w:left="2160" w:hanging="180"/>
      </w:pPr>
    </w:lvl>
    <w:lvl w:ilvl="3" w:tplc="A6EE798C">
      <w:start w:val="1"/>
      <w:numFmt w:val="decimal"/>
      <w:lvlText w:val="%4."/>
      <w:lvlJc w:val="left"/>
      <w:pPr>
        <w:ind w:left="2880" w:hanging="360"/>
      </w:pPr>
    </w:lvl>
    <w:lvl w:ilvl="4" w:tplc="5A224A30">
      <w:start w:val="1"/>
      <w:numFmt w:val="lowerLetter"/>
      <w:lvlText w:val="%5."/>
      <w:lvlJc w:val="left"/>
      <w:pPr>
        <w:ind w:left="3600" w:hanging="360"/>
      </w:pPr>
    </w:lvl>
    <w:lvl w:ilvl="5" w:tplc="7076EE9A">
      <w:start w:val="1"/>
      <w:numFmt w:val="lowerRoman"/>
      <w:lvlText w:val="%6."/>
      <w:lvlJc w:val="right"/>
      <w:pPr>
        <w:ind w:left="4320" w:hanging="180"/>
      </w:pPr>
    </w:lvl>
    <w:lvl w:ilvl="6" w:tplc="1B2CB772">
      <w:start w:val="1"/>
      <w:numFmt w:val="decimal"/>
      <w:lvlText w:val="%7."/>
      <w:lvlJc w:val="left"/>
      <w:pPr>
        <w:ind w:left="5040" w:hanging="360"/>
      </w:pPr>
    </w:lvl>
    <w:lvl w:ilvl="7" w:tplc="273C92FA">
      <w:start w:val="1"/>
      <w:numFmt w:val="lowerLetter"/>
      <w:lvlText w:val="%8."/>
      <w:lvlJc w:val="left"/>
      <w:pPr>
        <w:ind w:left="5760" w:hanging="360"/>
      </w:pPr>
    </w:lvl>
    <w:lvl w:ilvl="8" w:tplc="03321140">
      <w:start w:val="1"/>
      <w:numFmt w:val="lowerRoman"/>
      <w:lvlText w:val="%9."/>
      <w:lvlJc w:val="right"/>
      <w:pPr>
        <w:ind w:left="6480" w:hanging="180"/>
      </w:pPr>
    </w:lvl>
  </w:abstractNum>
  <w:abstractNum w:abstractNumId="16" w15:restartNumberingAfterBreak="0">
    <w:nsid w:val="46C998AB"/>
    <w:multiLevelType w:val="hybridMultilevel"/>
    <w:tmpl w:val="10000B60"/>
    <w:lvl w:ilvl="0" w:tplc="AE187D24">
      <w:start w:val="1"/>
      <w:numFmt w:val="bullet"/>
      <w:lvlText w:val=""/>
      <w:lvlJc w:val="left"/>
      <w:pPr>
        <w:ind w:left="720" w:hanging="360"/>
      </w:pPr>
      <w:rPr>
        <w:rFonts w:ascii="Symbol" w:hAnsi="Symbol" w:hint="default"/>
      </w:rPr>
    </w:lvl>
    <w:lvl w:ilvl="1" w:tplc="3CD4F020">
      <w:start w:val="1"/>
      <w:numFmt w:val="bullet"/>
      <w:lvlText w:val="·"/>
      <w:lvlJc w:val="left"/>
      <w:pPr>
        <w:ind w:left="1440" w:hanging="360"/>
      </w:pPr>
      <w:rPr>
        <w:rFonts w:ascii="Symbol" w:hAnsi="Symbol" w:hint="default"/>
      </w:rPr>
    </w:lvl>
    <w:lvl w:ilvl="2" w:tplc="9B12AA38">
      <w:start w:val="1"/>
      <w:numFmt w:val="bullet"/>
      <w:lvlText w:val=""/>
      <w:lvlJc w:val="left"/>
      <w:pPr>
        <w:ind w:left="2160" w:hanging="360"/>
      </w:pPr>
      <w:rPr>
        <w:rFonts w:ascii="Wingdings" w:hAnsi="Wingdings" w:hint="default"/>
      </w:rPr>
    </w:lvl>
    <w:lvl w:ilvl="3" w:tplc="C33EBF6C">
      <w:start w:val="1"/>
      <w:numFmt w:val="bullet"/>
      <w:lvlText w:val=""/>
      <w:lvlJc w:val="left"/>
      <w:pPr>
        <w:ind w:left="2880" w:hanging="360"/>
      </w:pPr>
      <w:rPr>
        <w:rFonts w:ascii="Symbol" w:hAnsi="Symbol" w:hint="default"/>
      </w:rPr>
    </w:lvl>
    <w:lvl w:ilvl="4" w:tplc="025E51B4">
      <w:start w:val="1"/>
      <w:numFmt w:val="bullet"/>
      <w:lvlText w:val="o"/>
      <w:lvlJc w:val="left"/>
      <w:pPr>
        <w:ind w:left="3600" w:hanging="360"/>
      </w:pPr>
      <w:rPr>
        <w:rFonts w:ascii="Courier New" w:hAnsi="Courier New" w:hint="default"/>
      </w:rPr>
    </w:lvl>
    <w:lvl w:ilvl="5" w:tplc="F0AA30EA">
      <w:start w:val="1"/>
      <w:numFmt w:val="bullet"/>
      <w:lvlText w:val=""/>
      <w:lvlJc w:val="left"/>
      <w:pPr>
        <w:ind w:left="4320" w:hanging="360"/>
      </w:pPr>
      <w:rPr>
        <w:rFonts w:ascii="Wingdings" w:hAnsi="Wingdings" w:hint="default"/>
      </w:rPr>
    </w:lvl>
    <w:lvl w:ilvl="6" w:tplc="E40C46BA">
      <w:start w:val="1"/>
      <w:numFmt w:val="bullet"/>
      <w:lvlText w:val=""/>
      <w:lvlJc w:val="left"/>
      <w:pPr>
        <w:ind w:left="5040" w:hanging="360"/>
      </w:pPr>
      <w:rPr>
        <w:rFonts w:ascii="Symbol" w:hAnsi="Symbol" w:hint="default"/>
      </w:rPr>
    </w:lvl>
    <w:lvl w:ilvl="7" w:tplc="C9A8AA2A">
      <w:start w:val="1"/>
      <w:numFmt w:val="bullet"/>
      <w:lvlText w:val="o"/>
      <w:lvlJc w:val="left"/>
      <w:pPr>
        <w:ind w:left="5760" w:hanging="360"/>
      </w:pPr>
      <w:rPr>
        <w:rFonts w:ascii="Courier New" w:hAnsi="Courier New" w:hint="default"/>
      </w:rPr>
    </w:lvl>
    <w:lvl w:ilvl="8" w:tplc="9C7473E6">
      <w:start w:val="1"/>
      <w:numFmt w:val="bullet"/>
      <w:lvlText w:val=""/>
      <w:lvlJc w:val="left"/>
      <w:pPr>
        <w:ind w:left="6480" w:hanging="360"/>
      </w:pPr>
      <w:rPr>
        <w:rFonts w:ascii="Wingdings" w:hAnsi="Wingdings" w:hint="default"/>
      </w:rPr>
    </w:lvl>
  </w:abstractNum>
  <w:abstractNum w:abstractNumId="17" w15:restartNumberingAfterBreak="0">
    <w:nsid w:val="5F7B829C"/>
    <w:multiLevelType w:val="hybridMultilevel"/>
    <w:tmpl w:val="048A9366"/>
    <w:lvl w:ilvl="0" w:tplc="27AA052E">
      <w:start w:val="1"/>
      <w:numFmt w:val="lowerLetter"/>
      <w:lvlText w:val="%1."/>
      <w:lvlJc w:val="left"/>
      <w:pPr>
        <w:ind w:left="720" w:hanging="360"/>
      </w:pPr>
    </w:lvl>
    <w:lvl w:ilvl="1" w:tplc="27A6586E">
      <w:start w:val="1"/>
      <w:numFmt w:val="lowerLetter"/>
      <w:lvlText w:val="%2."/>
      <w:lvlJc w:val="left"/>
      <w:pPr>
        <w:ind w:left="1440" w:hanging="360"/>
      </w:pPr>
    </w:lvl>
    <w:lvl w:ilvl="2" w:tplc="FC46CD12">
      <w:start w:val="1"/>
      <w:numFmt w:val="lowerRoman"/>
      <w:lvlText w:val="%3."/>
      <w:lvlJc w:val="right"/>
      <w:pPr>
        <w:ind w:left="2160" w:hanging="180"/>
      </w:pPr>
    </w:lvl>
    <w:lvl w:ilvl="3" w:tplc="D7045CE0">
      <w:start w:val="1"/>
      <w:numFmt w:val="decimal"/>
      <w:lvlText w:val="%4."/>
      <w:lvlJc w:val="left"/>
      <w:pPr>
        <w:ind w:left="2880" w:hanging="360"/>
      </w:pPr>
    </w:lvl>
    <w:lvl w:ilvl="4" w:tplc="8E92092E">
      <w:start w:val="1"/>
      <w:numFmt w:val="lowerLetter"/>
      <w:lvlText w:val="%5."/>
      <w:lvlJc w:val="left"/>
      <w:pPr>
        <w:ind w:left="3600" w:hanging="360"/>
      </w:pPr>
    </w:lvl>
    <w:lvl w:ilvl="5" w:tplc="81561F3A">
      <w:start w:val="1"/>
      <w:numFmt w:val="lowerRoman"/>
      <w:lvlText w:val="%6."/>
      <w:lvlJc w:val="right"/>
      <w:pPr>
        <w:ind w:left="4320" w:hanging="180"/>
      </w:pPr>
    </w:lvl>
    <w:lvl w:ilvl="6" w:tplc="394EC2DC">
      <w:start w:val="1"/>
      <w:numFmt w:val="decimal"/>
      <w:lvlText w:val="%7."/>
      <w:lvlJc w:val="left"/>
      <w:pPr>
        <w:ind w:left="5040" w:hanging="360"/>
      </w:pPr>
    </w:lvl>
    <w:lvl w:ilvl="7" w:tplc="F2AA1B3A">
      <w:start w:val="1"/>
      <w:numFmt w:val="lowerLetter"/>
      <w:lvlText w:val="%8."/>
      <w:lvlJc w:val="left"/>
      <w:pPr>
        <w:ind w:left="5760" w:hanging="360"/>
      </w:pPr>
    </w:lvl>
    <w:lvl w:ilvl="8" w:tplc="F3081884">
      <w:start w:val="1"/>
      <w:numFmt w:val="lowerRoman"/>
      <w:lvlText w:val="%9."/>
      <w:lvlJc w:val="right"/>
      <w:pPr>
        <w:ind w:left="6480" w:hanging="180"/>
      </w:pPr>
    </w:lvl>
  </w:abstractNum>
  <w:abstractNum w:abstractNumId="18" w15:restartNumberingAfterBreak="0">
    <w:nsid w:val="63A7041F"/>
    <w:multiLevelType w:val="hybridMultilevel"/>
    <w:tmpl w:val="475CE6C6"/>
    <w:lvl w:ilvl="0" w:tplc="D30864E6">
      <w:start w:val="1"/>
      <w:numFmt w:val="decimal"/>
      <w:lvlText w:val="•"/>
      <w:lvlJc w:val="left"/>
      <w:pPr>
        <w:ind w:left="720" w:hanging="360"/>
      </w:pPr>
    </w:lvl>
    <w:lvl w:ilvl="1" w:tplc="5DFAB8BA">
      <w:start w:val="1"/>
      <w:numFmt w:val="lowerLetter"/>
      <w:lvlText w:val="%2."/>
      <w:lvlJc w:val="left"/>
      <w:pPr>
        <w:ind w:left="1440" w:hanging="360"/>
      </w:pPr>
    </w:lvl>
    <w:lvl w:ilvl="2" w:tplc="6C20668E">
      <w:start w:val="1"/>
      <w:numFmt w:val="lowerRoman"/>
      <w:lvlText w:val="%3."/>
      <w:lvlJc w:val="right"/>
      <w:pPr>
        <w:ind w:left="2160" w:hanging="180"/>
      </w:pPr>
    </w:lvl>
    <w:lvl w:ilvl="3" w:tplc="E0C69A0A">
      <w:start w:val="1"/>
      <w:numFmt w:val="decimal"/>
      <w:lvlText w:val="%4."/>
      <w:lvlJc w:val="left"/>
      <w:pPr>
        <w:ind w:left="2880" w:hanging="360"/>
      </w:pPr>
    </w:lvl>
    <w:lvl w:ilvl="4" w:tplc="F012AA4A">
      <w:start w:val="1"/>
      <w:numFmt w:val="lowerLetter"/>
      <w:lvlText w:val="%5."/>
      <w:lvlJc w:val="left"/>
      <w:pPr>
        <w:ind w:left="3600" w:hanging="360"/>
      </w:pPr>
    </w:lvl>
    <w:lvl w:ilvl="5" w:tplc="630A158C">
      <w:start w:val="1"/>
      <w:numFmt w:val="lowerRoman"/>
      <w:lvlText w:val="%6."/>
      <w:lvlJc w:val="right"/>
      <w:pPr>
        <w:ind w:left="4320" w:hanging="180"/>
      </w:pPr>
    </w:lvl>
    <w:lvl w:ilvl="6" w:tplc="0D2476F6">
      <w:start w:val="1"/>
      <w:numFmt w:val="decimal"/>
      <w:lvlText w:val="%7."/>
      <w:lvlJc w:val="left"/>
      <w:pPr>
        <w:ind w:left="5040" w:hanging="360"/>
      </w:pPr>
    </w:lvl>
    <w:lvl w:ilvl="7" w:tplc="248EA19A">
      <w:start w:val="1"/>
      <w:numFmt w:val="lowerLetter"/>
      <w:lvlText w:val="%8."/>
      <w:lvlJc w:val="left"/>
      <w:pPr>
        <w:ind w:left="5760" w:hanging="360"/>
      </w:pPr>
    </w:lvl>
    <w:lvl w:ilvl="8" w:tplc="11927A86">
      <w:start w:val="1"/>
      <w:numFmt w:val="lowerRoman"/>
      <w:lvlText w:val="%9."/>
      <w:lvlJc w:val="right"/>
      <w:pPr>
        <w:ind w:left="6480" w:hanging="180"/>
      </w:pPr>
    </w:lvl>
  </w:abstractNum>
  <w:abstractNum w:abstractNumId="19" w15:restartNumberingAfterBreak="0">
    <w:nsid w:val="6471B8CE"/>
    <w:multiLevelType w:val="hybridMultilevel"/>
    <w:tmpl w:val="E8EA01AE"/>
    <w:lvl w:ilvl="0" w:tplc="AAE6BF54">
      <w:start w:val="1"/>
      <w:numFmt w:val="decimal"/>
      <w:lvlText w:val="%1."/>
      <w:lvlJc w:val="left"/>
      <w:pPr>
        <w:ind w:left="720" w:hanging="360"/>
      </w:pPr>
    </w:lvl>
    <w:lvl w:ilvl="1" w:tplc="9BE2A800">
      <w:start w:val="1"/>
      <w:numFmt w:val="lowerLetter"/>
      <w:lvlText w:val="%2."/>
      <w:lvlJc w:val="left"/>
      <w:pPr>
        <w:ind w:left="1440" w:hanging="360"/>
      </w:pPr>
    </w:lvl>
    <w:lvl w:ilvl="2" w:tplc="B89E1AC8">
      <w:start w:val="1"/>
      <w:numFmt w:val="lowerRoman"/>
      <w:lvlText w:val="%3."/>
      <w:lvlJc w:val="right"/>
      <w:pPr>
        <w:ind w:left="2160" w:hanging="180"/>
      </w:pPr>
    </w:lvl>
    <w:lvl w:ilvl="3" w:tplc="C9DCB562">
      <w:start w:val="1"/>
      <w:numFmt w:val="decimal"/>
      <w:lvlText w:val="%4."/>
      <w:lvlJc w:val="left"/>
      <w:pPr>
        <w:ind w:left="2880" w:hanging="360"/>
      </w:pPr>
    </w:lvl>
    <w:lvl w:ilvl="4" w:tplc="FA9E3D14">
      <w:start w:val="1"/>
      <w:numFmt w:val="lowerLetter"/>
      <w:lvlText w:val="%5."/>
      <w:lvlJc w:val="left"/>
      <w:pPr>
        <w:ind w:left="3600" w:hanging="360"/>
      </w:pPr>
    </w:lvl>
    <w:lvl w:ilvl="5" w:tplc="7340DECE">
      <w:start w:val="1"/>
      <w:numFmt w:val="lowerRoman"/>
      <w:lvlText w:val="%6."/>
      <w:lvlJc w:val="right"/>
      <w:pPr>
        <w:ind w:left="4320" w:hanging="180"/>
      </w:pPr>
    </w:lvl>
    <w:lvl w:ilvl="6" w:tplc="35DE077A">
      <w:start w:val="1"/>
      <w:numFmt w:val="decimal"/>
      <w:lvlText w:val="%7."/>
      <w:lvlJc w:val="left"/>
      <w:pPr>
        <w:ind w:left="5040" w:hanging="360"/>
      </w:pPr>
    </w:lvl>
    <w:lvl w:ilvl="7" w:tplc="2610884A">
      <w:start w:val="1"/>
      <w:numFmt w:val="lowerLetter"/>
      <w:lvlText w:val="%8."/>
      <w:lvlJc w:val="left"/>
      <w:pPr>
        <w:ind w:left="5760" w:hanging="360"/>
      </w:pPr>
    </w:lvl>
    <w:lvl w:ilvl="8" w:tplc="DF9CF872">
      <w:start w:val="1"/>
      <w:numFmt w:val="lowerRoman"/>
      <w:lvlText w:val="%9."/>
      <w:lvlJc w:val="right"/>
      <w:pPr>
        <w:ind w:left="6480" w:hanging="180"/>
      </w:pPr>
    </w:lvl>
  </w:abstractNum>
  <w:abstractNum w:abstractNumId="20" w15:restartNumberingAfterBreak="0">
    <w:nsid w:val="6497ABD8"/>
    <w:multiLevelType w:val="hybridMultilevel"/>
    <w:tmpl w:val="FA9616FE"/>
    <w:lvl w:ilvl="0" w:tplc="7EEA5AFE">
      <w:start w:val="1"/>
      <w:numFmt w:val="bullet"/>
      <w:lvlText w:val="·"/>
      <w:lvlJc w:val="left"/>
      <w:pPr>
        <w:ind w:left="720" w:hanging="360"/>
      </w:pPr>
      <w:rPr>
        <w:rFonts w:ascii="Symbol" w:hAnsi="Symbol" w:hint="default"/>
      </w:rPr>
    </w:lvl>
    <w:lvl w:ilvl="1" w:tplc="1D0A6276">
      <w:start w:val="1"/>
      <w:numFmt w:val="bullet"/>
      <w:lvlText w:val="o"/>
      <w:lvlJc w:val="left"/>
      <w:pPr>
        <w:ind w:left="1440" w:hanging="360"/>
      </w:pPr>
      <w:rPr>
        <w:rFonts w:ascii="Courier New" w:hAnsi="Courier New" w:hint="default"/>
      </w:rPr>
    </w:lvl>
    <w:lvl w:ilvl="2" w:tplc="C8DACA70">
      <w:start w:val="1"/>
      <w:numFmt w:val="bullet"/>
      <w:lvlText w:val=""/>
      <w:lvlJc w:val="left"/>
      <w:pPr>
        <w:ind w:left="2160" w:hanging="360"/>
      </w:pPr>
      <w:rPr>
        <w:rFonts w:ascii="Wingdings" w:hAnsi="Wingdings" w:hint="default"/>
      </w:rPr>
    </w:lvl>
    <w:lvl w:ilvl="3" w:tplc="CCEE6C46">
      <w:start w:val="1"/>
      <w:numFmt w:val="bullet"/>
      <w:lvlText w:val=""/>
      <w:lvlJc w:val="left"/>
      <w:pPr>
        <w:ind w:left="2880" w:hanging="360"/>
      </w:pPr>
      <w:rPr>
        <w:rFonts w:ascii="Symbol" w:hAnsi="Symbol" w:hint="default"/>
      </w:rPr>
    </w:lvl>
    <w:lvl w:ilvl="4" w:tplc="1F4C223C">
      <w:start w:val="1"/>
      <w:numFmt w:val="bullet"/>
      <w:lvlText w:val="o"/>
      <w:lvlJc w:val="left"/>
      <w:pPr>
        <w:ind w:left="3600" w:hanging="360"/>
      </w:pPr>
      <w:rPr>
        <w:rFonts w:ascii="Courier New" w:hAnsi="Courier New" w:hint="default"/>
      </w:rPr>
    </w:lvl>
    <w:lvl w:ilvl="5" w:tplc="CC4C3844">
      <w:start w:val="1"/>
      <w:numFmt w:val="bullet"/>
      <w:lvlText w:val=""/>
      <w:lvlJc w:val="left"/>
      <w:pPr>
        <w:ind w:left="4320" w:hanging="360"/>
      </w:pPr>
      <w:rPr>
        <w:rFonts w:ascii="Wingdings" w:hAnsi="Wingdings" w:hint="default"/>
      </w:rPr>
    </w:lvl>
    <w:lvl w:ilvl="6" w:tplc="DD967B0E">
      <w:start w:val="1"/>
      <w:numFmt w:val="bullet"/>
      <w:lvlText w:val=""/>
      <w:lvlJc w:val="left"/>
      <w:pPr>
        <w:ind w:left="5040" w:hanging="360"/>
      </w:pPr>
      <w:rPr>
        <w:rFonts w:ascii="Symbol" w:hAnsi="Symbol" w:hint="default"/>
      </w:rPr>
    </w:lvl>
    <w:lvl w:ilvl="7" w:tplc="604EF19C">
      <w:start w:val="1"/>
      <w:numFmt w:val="bullet"/>
      <w:lvlText w:val="o"/>
      <w:lvlJc w:val="left"/>
      <w:pPr>
        <w:ind w:left="5760" w:hanging="360"/>
      </w:pPr>
      <w:rPr>
        <w:rFonts w:ascii="Courier New" w:hAnsi="Courier New" w:hint="default"/>
      </w:rPr>
    </w:lvl>
    <w:lvl w:ilvl="8" w:tplc="8C984EAC">
      <w:start w:val="1"/>
      <w:numFmt w:val="bullet"/>
      <w:lvlText w:val=""/>
      <w:lvlJc w:val="left"/>
      <w:pPr>
        <w:ind w:left="6480" w:hanging="360"/>
      </w:pPr>
      <w:rPr>
        <w:rFonts w:ascii="Wingdings" w:hAnsi="Wingdings" w:hint="default"/>
      </w:rPr>
    </w:lvl>
  </w:abstractNum>
  <w:abstractNum w:abstractNumId="21" w15:restartNumberingAfterBreak="0">
    <w:nsid w:val="64A42D11"/>
    <w:multiLevelType w:val="hybridMultilevel"/>
    <w:tmpl w:val="A7E68FF6"/>
    <w:lvl w:ilvl="0" w:tplc="6498B504">
      <w:start w:val="1"/>
      <w:numFmt w:val="bullet"/>
      <w:lvlText w:val="·"/>
      <w:lvlJc w:val="left"/>
      <w:pPr>
        <w:ind w:left="720" w:hanging="360"/>
      </w:pPr>
      <w:rPr>
        <w:rFonts w:ascii="Symbol" w:hAnsi="Symbol" w:hint="default"/>
      </w:rPr>
    </w:lvl>
    <w:lvl w:ilvl="1" w:tplc="D01C7576">
      <w:start w:val="1"/>
      <w:numFmt w:val="bullet"/>
      <w:lvlText w:val="o"/>
      <w:lvlJc w:val="left"/>
      <w:pPr>
        <w:ind w:left="1440" w:hanging="360"/>
      </w:pPr>
      <w:rPr>
        <w:rFonts w:ascii="Courier New" w:hAnsi="Courier New" w:hint="default"/>
      </w:rPr>
    </w:lvl>
    <w:lvl w:ilvl="2" w:tplc="A53C9556">
      <w:start w:val="1"/>
      <w:numFmt w:val="bullet"/>
      <w:lvlText w:val=""/>
      <w:lvlJc w:val="left"/>
      <w:pPr>
        <w:ind w:left="2160" w:hanging="360"/>
      </w:pPr>
      <w:rPr>
        <w:rFonts w:ascii="Wingdings" w:hAnsi="Wingdings" w:hint="default"/>
      </w:rPr>
    </w:lvl>
    <w:lvl w:ilvl="3" w:tplc="71D6B20A">
      <w:start w:val="1"/>
      <w:numFmt w:val="bullet"/>
      <w:lvlText w:val=""/>
      <w:lvlJc w:val="left"/>
      <w:pPr>
        <w:ind w:left="2880" w:hanging="360"/>
      </w:pPr>
      <w:rPr>
        <w:rFonts w:ascii="Symbol" w:hAnsi="Symbol" w:hint="default"/>
      </w:rPr>
    </w:lvl>
    <w:lvl w:ilvl="4" w:tplc="C148751E">
      <w:start w:val="1"/>
      <w:numFmt w:val="bullet"/>
      <w:lvlText w:val="o"/>
      <w:lvlJc w:val="left"/>
      <w:pPr>
        <w:ind w:left="3600" w:hanging="360"/>
      </w:pPr>
      <w:rPr>
        <w:rFonts w:ascii="Courier New" w:hAnsi="Courier New" w:hint="default"/>
      </w:rPr>
    </w:lvl>
    <w:lvl w:ilvl="5" w:tplc="8B106A00">
      <w:start w:val="1"/>
      <w:numFmt w:val="bullet"/>
      <w:lvlText w:val=""/>
      <w:lvlJc w:val="left"/>
      <w:pPr>
        <w:ind w:left="4320" w:hanging="360"/>
      </w:pPr>
      <w:rPr>
        <w:rFonts w:ascii="Wingdings" w:hAnsi="Wingdings" w:hint="default"/>
      </w:rPr>
    </w:lvl>
    <w:lvl w:ilvl="6" w:tplc="13E8281E">
      <w:start w:val="1"/>
      <w:numFmt w:val="bullet"/>
      <w:lvlText w:val=""/>
      <w:lvlJc w:val="left"/>
      <w:pPr>
        <w:ind w:left="5040" w:hanging="360"/>
      </w:pPr>
      <w:rPr>
        <w:rFonts w:ascii="Symbol" w:hAnsi="Symbol" w:hint="default"/>
      </w:rPr>
    </w:lvl>
    <w:lvl w:ilvl="7" w:tplc="6B1450F2">
      <w:start w:val="1"/>
      <w:numFmt w:val="bullet"/>
      <w:lvlText w:val="o"/>
      <w:lvlJc w:val="left"/>
      <w:pPr>
        <w:ind w:left="5760" w:hanging="360"/>
      </w:pPr>
      <w:rPr>
        <w:rFonts w:ascii="Courier New" w:hAnsi="Courier New" w:hint="default"/>
      </w:rPr>
    </w:lvl>
    <w:lvl w:ilvl="8" w:tplc="C9AAFCD6">
      <w:start w:val="1"/>
      <w:numFmt w:val="bullet"/>
      <w:lvlText w:val=""/>
      <w:lvlJc w:val="left"/>
      <w:pPr>
        <w:ind w:left="6480" w:hanging="360"/>
      </w:pPr>
      <w:rPr>
        <w:rFonts w:ascii="Wingdings" w:hAnsi="Wingdings" w:hint="default"/>
      </w:rPr>
    </w:lvl>
  </w:abstractNum>
  <w:abstractNum w:abstractNumId="22" w15:restartNumberingAfterBreak="0">
    <w:nsid w:val="6B75E63D"/>
    <w:multiLevelType w:val="hybridMultilevel"/>
    <w:tmpl w:val="B4B617E0"/>
    <w:lvl w:ilvl="0" w:tplc="35489D40">
      <w:start w:val="1"/>
      <w:numFmt w:val="bullet"/>
      <w:lvlText w:val="·"/>
      <w:lvlJc w:val="left"/>
      <w:pPr>
        <w:ind w:left="720" w:hanging="360"/>
      </w:pPr>
      <w:rPr>
        <w:rFonts w:ascii="Symbol" w:hAnsi="Symbol" w:hint="default"/>
      </w:rPr>
    </w:lvl>
    <w:lvl w:ilvl="1" w:tplc="0BE0F1BC">
      <w:start w:val="1"/>
      <w:numFmt w:val="bullet"/>
      <w:lvlText w:val="o"/>
      <w:lvlJc w:val="left"/>
      <w:pPr>
        <w:ind w:left="1440" w:hanging="360"/>
      </w:pPr>
      <w:rPr>
        <w:rFonts w:ascii="Courier New" w:hAnsi="Courier New" w:hint="default"/>
      </w:rPr>
    </w:lvl>
    <w:lvl w:ilvl="2" w:tplc="4D0C5538">
      <w:start w:val="1"/>
      <w:numFmt w:val="bullet"/>
      <w:lvlText w:val=""/>
      <w:lvlJc w:val="left"/>
      <w:pPr>
        <w:ind w:left="2160" w:hanging="360"/>
      </w:pPr>
      <w:rPr>
        <w:rFonts w:ascii="Wingdings" w:hAnsi="Wingdings" w:hint="default"/>
      </w:rPr>
    </w:lvl>
    <w:lvl w:ilvl="3" w:tplc="D8863A5C">
      <w:start w:val="1"/>
      <w:numFmt w:val="bullet"/>
      <w:lvlText w:val=""/>
      <w:lvlJc w:val="left"/>
      <w:pPr>
        <w:ind w:left="2880" w:hanging="360"/>
      </w:pPr>
      <w:rPr>
        <w:rFonts w:ascii="Symbol" w:hAnsi="Symbol" w:hint="default"/>
      </w:rPr>
    </w:lvl>
    <w:lvl w:ilvl="4" w:tplc="6148626E">
      <w:start w:val="1"/>
      <w:numFmt w:val="bullet"/>
      <w:lvlText w:val="o"/>
      <w:lvlJc w:val="left"/>
      <w:pPr>
        <w:ind w:left="3600" w:hanging="360"/>
      </w:pPr>
      <w:rPr>
        <w:rFonts w:ascii="Courier New" w:hAnsi="Courier New" w:hint="default"/>
      </w:rPr>
    </w:lvl>
    <w:lvl w:ilvl="5" w:tplc="B2E44F20">
      <w:start w:val="1"/>
      <w:numFmt w:val="bullet"/>
      <w:lvlText w:val=""/>
      <w:lvlJc w:val="left"/>
      <w:pPr>
        <w:ind w:left="4320" w:hanging="360"/>
      </w:pPr>
      <w:rPr>
        <w:rFonts w:ascii="Wingdings" w:hAnsi="Wingdings" w:hint="default"/>
      </w:rPr>
    </w:lvl>
    <w:lvl w:ilvl="6" w:tplc="DD42B874">
      <w:start w:val="1"/>
      <w:numFmt w:val="bullet"/>
      <w:lvlText w:val=""/>
      <w:lvlJc w:val="left"/>
      <w:pPr>
        <w:ind w:left="5040" w:hanging="360"/>
      </w:pPr>
      <w:rPr>
        <w:rFonts w:ascii="Symbol" w:hAnsi="Symbol" w:hint="default"/>
      </w:rPr>
    </w:lvl>
    <w:lvl w:ilvl="7" w:tplc="BB4E51E6">
      <w:start w:val="1"/>
      <w:numFmt w:val="bullet"/>
      <w:lvlText w:val="o"/>
      <w:lvlJc w:val="left"/>
      <w:pPr>
        <w:ind w:left="5760" w:hanging="360"/>
      </w:pPr>
      <w:rPr>
        <w:rFonts w:ascii="Courier New" w:hAnsi="Courier New" w:hint="default"/>
      </w:rPr>
    </w:lvl>
    <w:lvl w:ilvl="8" w:tplc="6388EFB4">
      <w:start w:val="1"/>
      <w:numFmt w:val="bullet"/>
      <w:lvlText w:val=""/>
      <w:lvlJc w:val="left"/>
      <w:pPr>
        <w:ind w:left="6480" w:hanging="360"/>
      </w:pPr>
      <w:rPr>
        <w:rFonts w:ascii="Wingdings" w:hAnsi="Wingdings" w:hint="default"/>
      </w:rPr>
    </w:lvl>
  </w:abstractNum>
  <w:abstractNum w:abstractNumId="23" w15:restartNumberingAfterBreak="0">
    <w:nsid w:val="71E1B826"/>
    <w:multiLevelType w:val="hybridMultilevel"/>
    <w:tmpl w:val="DE9CA788"/>
    <w:lvl w:ilvl="0" w:tplc="8B3059C6">
      <w:start w:val="1"/>
      <w:numFmt w:val="decimal"/>
      <w:lvlText w:val="%1."/>
      <w:lvlJc w:val="left"/>
      <w:pPr>
        <w:ind w:left="720" w:hanging="360"/>
      </w:pPr>
    </w:lvl>
    <w:lvl w:ilvl="1" w:tplc="772C5E8C">
      <w:start w:val="1"/>
      <w:numFmt w:val="decimal"/>
      <w:lvlText w:val="%2.9"/>
      <w:lvlJc w:val="left"/>
      <w:pPr>
        <w:ind w:left="1440" w:hanging="360"/>
      </w:pPr>
    </w:lvl>
    <w:lvl w:ilvl="2" w:tplc="91F013B2">
      <w:start w:val="1"/>
      <w:numFmt w:val="lowerRoman"/>
      <w:lvlText w:val="%3."/>
      <w:lvlJc w:val="right"/>
      <w:pPr>
        <w:ind w:left="2160" w:hanging="180"/>
      </w:pPr>
    </w:lvl>
    <w:lvl w:ilvl="3" w:tplc="18FE5226">
      <w:start w:val="1"/>
      <w:numFmt w:val="decimal"/>
      <w:lvlText w:val="%4."/>
      <w:lvlJc w:val="left"/>
      <w:pPr>
        <w:ind w:left="2880" w:hanging="360"/>
      </w:pPr>
    </w:lvl>
    <w:lvl w:ilvl="4" w:tplc="D1568774">
      <w:start w:val="1"/>
      <w:numFmt w:val="lowerLetter"/>
      <w:lvlText w:val="%5."/>
      <w:lvlJc w:val="left"/>
      <w:pPr>
        <w:ind w:left="3600" w:hanging="360"/>
      </w:pPr>
    </w:lvl>
    <w:lvl w:ilvl="5" w:tplc="DF04600E">
      <w:start w:val="1"/>
      <w:numFmt w:val="lowerRoman"/>
      <w:lvlText w:val="%6."/>
      <w:lvlJc w:val="right"/>
      <w:pPr>
        <w:ind w:left="4320" w:hanging="180"/>
      </w:pPr>
    </w:lvl>
    <w:lvl w:ilvl="6" w:tplc="95F2F70A">
      <w:start w:val="1"/>
      <w:numFmt w:val="decimal"/>
      <w:lvlText w:val="%7."/>
      <w:lvlJc w:val="left"/>
      <w:pPr>
        <w:ind w:left="5040" w:hanging="360"/>
      </w:pPr>
    </w:lvl>
    <w:lvl w:ilvl="7" w:tplc="E5D2342A">
      <w:start w:val="1"/>
      <w:numFmt w:val="lowerLetter"/>
      <w:lvlText w:val="%8."/>
      <w:lvlJc w:val="left"/>
      <w:pPr>
        <w:ind w:left="5760" w:hanging="360"/>
      </w:pPr>
    </w:lvl>
    <w:lvl w:ilvl="8" w:tplc="AF54CCDA">
      <w:start w:val="1"/>
      <w:numFmt w:val="lowerRoman"/>
      <w:lvlText w:val="%9."/>
      <w:lvlJc w:val="right"/>
      <w:pPr>
        <w:ind w:left="6480" w:hanging="180"/>
      </w:pPr>
    </w:lvl>
  </w:abstractNum>
  <w:abstractNum w:abstractNumId="24" w15:restartNumberingAfterBreak="0">
    <w:nsid w:val="74AE3603"/>
    <w:multiLevelType w:val="hybridMultilevel"/>
    <w:tmpl w:val="6E52C5EE"/>
    <w:lvl w:ilvl="0" w:tplc="B52040FE">
      <w:start w:val="1"/>
      <w:numFmt w:val="decimal"/>
      <w:lvlText w:val="%1."/>
      <w:lvlJc w:val="left"/>
      <w:pPr>
        <w:ind w:left="720" w:hanging="360"/>
      </w:pPr>
    </w:lvl>
    <w:lvl w:ilvl="1" w:tplc="C8B8F40C">
      <w:start w:val="1"/>
      <w:numFmt w:val="decimal"/>
      <w:lvlText w:val="%2.30"/>
      <w:lvlJc w:val="left"/>
      <w:pPr>
        <w:ind w:left="1440" w:hanging="360"/>
      </w:pPr>
    </w:lvl>
    <w:lvl w:ilvl="2" w:tplc="2D96318A">
      <w:start w:val="1"/>
      <w:numFmt w:val="lowerRoman"/>
      <w:lvlText w:val="%3."/>
      <w:lvlJc w:val="right"/>
      <w:pPr>
        <w:ind w:left="2160" w:hanging="180"/>
      </w:pPr>
    </w:lvl>
    <w:lvl w:ilvl="3" w:tplc="F63C088C">
      <w:start w:val="1"/>
      <w:numFmt w:val="decimal"/>
      <w:lvlText w:val="%4."/>
      <w:lvlJc w:val="left"/>
      <w:pPr>
        <w:ind w:left="2880" w:hanging="360"/>
      </w:pPr>
    </w:lvl>
    <w:lvl w:ilvl="4" w:tplc="1EF4FC52">
      <w:start w:val="1"/>
      <w:numFmt w:val="lowerLetter"/>
      <w:lvlText w:val="%5."/>
      <w:lvlJc w:val="left"/>
      <w:pPr>
        <w:ind w:left="3600" w:hanging="360"/>
      </w:pPr>
    </w:lvl>
    <w:lvl w:ilvl="5" w:tplc="90EE7DCA">
      <w:start w:val="1"/>
      <w:numFmt w:val="lowerRoman"/>
      <w:lvlText w:val="%6."/>
      <w:lvlJc w:val="right"/>
      <w:pPr>
        <w:ind w:left="4320" w:hanging="180"/>
      </w:pPr>
    </w:lvl>
    <w:lvl w:ilvl="6" w:tplc="5002CADA">
      <w:start w:val="1"/>
      <w:numFmt w:val="decimal"/>
      <w:lvlText w:val="%7."/>
      <w:lvlJc w:val="left"/>
      <w:pPr>
        <w:ind w:left="5040" w:hanging="360"/>
      </w:pPr>
    </w:lvl>
    <w:lvl w:ilvl="7" w:tplc="97FC3BDA">
      <w:start w:val="1"/>
      <w:numFmt w:val="lowerLetter"/>
      <w:lvlText w:val="%8."/>
      <w:lvlJc w:val="left"/>
      <w:pPr>
        <w:ind w:left="5760" w:hanging="360"/>
      </w:pPr>
    </w:lvl>
    <w:lvl w:ilvl="8" w:tplc="9392DA4C">
      <w:start w:val="1"/>
      <w:numFmt w:val="lowerRoman"/>
      <w:lvlText w:val="%9."/>
      <w:lvlJc w:val="right"/>
      <w:pPr>
        <w:ind w:left="6480" w:hanging="180"/>
      </w:pPr>
    </w:lvl>
  </w:abstractNum>
  <w:abstractNum w:abstractNumId="25" w15:restartNumberingAfterBreak="0">
    <w:nsid w:val="753B5915"/>
    <w:multiLevelType w:val="hybridMultilevel"/>
    <w:tmpl w:val="D364337E"/>
    <w:lvl w:ilvl="0" w:tplc="C0A4C94A">
      <w:start w:val="1"/>
      <w:numFmt w:val="decimal"/>
      <w:lvlText w:val="%1."/>
      <w:lvlJc w:val="left"/>
      <w:pPr>
        <w:ind w:left="720" w:hanging="360"/>
      </w:pPr>
    </w:lvl>
    <w:lvl w:ilvl="1" w:tplc="B61A9DCA">
      <w:start w:val="1"/>
      <w:numFmt w:val="lowerLetter"/>
      <w:lvlText w:val="%2."/>
      <w:lvlJc w:val="left"/>
      <w:pPr>
        <w:ind w:left="1440" w:hanging="360"/>
      </w:pPr>
    </w:lvl>
    <w:lvl w:ilvl="2" w:tplc="EC425ED2">
      <w:start w:val="1"/>
      <w:numFmt w:val="lowerRoman"/>
      <w:lvlText w:val="%3."/>
      <w:lvlJc w:val="right"/>
      <w:pPr>
        <w:ind w:left="2160" w:hanging="180"/>
      </w:pPr>
    </w:lvl>
    <w:lvl w:ilvl="3" w:tplc="FBF8E5A0">
      <w:start w:val="1"/>
      <w:numFmt w:val="decimal"/>
      <w:lvlText w:val="%4."/>
      <w:lvlJc w:val="left"/>
      <w:pPr>
        <w:ind w:left="2880" w:hanging="360"/>
      </w:pPr>
    </w:lvl>
    <w:lvl w:ilvl="4" w:tplc="E97CE238">
      <w:start w:val="1"/>
      <w:numFmt w:val="lowerLetter"/>
      <w:lvlText w:val="%5."/>
      <w:lvlJc w:val="left"/>
      <w:pPr>
        <w:ind w:left="3600" w:hanging="360"/>
      </w:pPr>
    </w:lvl>
    <w:lvl w:ilvl="5" w:tplc="24A8B6E6">
      <w:start w:val="1"/>
      <w:numFmt w:val="lowerRoman"/>
      <w:lvlText w:val="%6."/>
      <w:lvlJc w:val="right"/>
      <w:pPr>
        <w:ind w:left="4320" w:hanging="180"/>
      </w:pPr>
    </w:lvl>
    <w:lvl w:ilvl="6" w:tplc="2852511E">
      <w:start w:val="1"/>
      <w:numFmt w:val="decimal"/>
      <w:lvlText w:val="%7."/>
      <w:lvlJc w:val="left"/>
      <w:pPr>
        <w:ind w:left="5040" w:hanging="360"/>
      </w:pPr>
    </w:lvl>
    <w:lvl w:ilvl="7" w:tplc="4CF82D74">
      <w:start w:val="1"/>
      <w:numFmt w:val="lowerLetter"/>
      <w:lvlText w:val="%8."/>
      <w:lvlJc w:val="left"/>
      <w:pPr>
        <w:ind w:left="5760" w:hanging="360"/>
      </w:pPr>
    </w:lvl>
    <w:lvl w:ilvl="8" w:tplc="36B425B2">
      <w:start w:val="1"/>
      <w:numFmt w:val="lowerRoman"/>
      <w:lvlText w:val="%9."/>
      <w:lvlJc w:val="right"/>
      <w:pPr>
        <w:ind w:left="6480" w:hanging="180"/>
      </w:pPr>
    </w:lvl>
  </w:abstractNum>
  <w:abstractNum w:abstractNumId="26" w15:restartNumberingAfterBreak="0">
    <w:nsid w:val="7C426ABF"/>
    <w:multiLevelType w:val="hybridMultilevel"/>
    <w:tmpl w:val="C98CB772"/>
    <w:lvl w:ilvl="0" w:tplc="277E6BE8">
      <w:start w:val="1"/>
      <w:numFmt w:val="decimal"/>
      <w:lvlText w:val="%1."/>
      <w:lvlJc w:val="left"/>
      <w:pPr>
        <w:ind w:left="720" w:hanging="360"/>
      </w:pPr>
    </w:lvl>
    <w:lvl w:ilvl="1" w:tplc="3BF48000">
      <w:start w:val="1"/>
      <w:numFmt w:val="decimal"/>
      <w:lvlText w:val="%2.19"/>
      <w:lvlJc w:val="left"/>
      <w:pPr>
        <w:ind w:left="1440" w:hanging="360"/>
      </w:pPr>
    </w:lvl>
    <w:lvl w:ilvl="2" w:tplc="10F84216">
      <w:start w:val="1"/>
      <w:numFmt w:val="lowerRoman"/>
      <w:lvlText w:val="%3."/>
      <w:lvlJc w:val="right"/>
      <w:pPr>
        <w:ind w:left="2160" w:hanging="180"/>
      </w:pPr>
    </w:lvl>
    <w:lvl w:ilvl="3" w:tplc="CB66A1D8">
      <w:start w:val="1"/>
      <w:numFmt w:val="decimal"/>
      <w:lvlText w:val="%4."/>
      <w:lvlJc w:val="left"/>
      <w:pPr>
        <w:ind w:left="2880" w:hanging="360"/>
      </w:pPr>
    </w:lvl>
    <w:lvl w:ilvl="4" w:tplc="7E423D7C">
      <w:start w:val="1"/>
      <w:numFmt w:val="lowerLetter"/>
      <w:lvlText w:val="%5."/>
      <w:lvlJc w:val="left"/>
      <w:pPr>
        <w:ind w:left="3600" w:hanging="360"/>
      </w:pPr>
    </w:lvl>
    <w:lvl w:ilvl="5" w:tplc="34922E0C">
      <w:start w:val="1"/>
      <w:numFmt w:val="lowerRoman"/>
      <w:lvlText w:val="%6."/>
      <w:lvlJc w:val="right"/>
      <w:pPr>
        <w:ind w:left="4320" w:hanging="180"/>
      </w:pPr>
    </w:lvl>
    <w:lvl w:ilvl="6" w:tplc="07E2C4D8">
      <w:start w:val="1"/>
      <w:numFmt w:val="decimal"/>
      <w:lvlText w:val="%7."/>
      <w:lvlJc w:val="left"/>
      <w:pPr>
        <w:ind w:left="5040" w:hanging="360"/>
      </w:pPr>
    </w:lvl>
    <w:lvl w:ilvl="7" w:tplc="22882A8E">
      <w:start w:val="1"/>
      <w:numFmt w:val="lowerLetter"/>
      <w:lvlText w:val="%8."/>
      <w:lvlJc w:val="left"/>
      <w:pPr>
        <w:ind w:left="5760" w:hanging="360"/>
      </w:pPr>
    </w:lvl>
    <w:lvl w:ilvl="8" w:tplc="157EC95A">
      <w:start w:val="1"/>
      <w:numFmt w:val="lowerRoman"/>
      <w:lvlText w:val="%9."/>
      <w:lvlJc w:val="right"/>
      <w:pPr>
        <w:ind w:left="6480" w:hanging="180"/>
      </w:pPr>
    </w:lvl>
  </w:abstractNum>
  <w:num w:numId="1" w16cid:durableId="1598323128">
    <w:abstractNumId w:val="6"/>
  </w:num>
  <w:num w:numId="2" w16cid:durableId="759639816">
    <w:abstractNumId w:val="17"/>
  </w:num>
  <w:num w:numId="3" w16cid:durableId="412242870">
    <w:abstractNumId w:val="0"/>
  </w:num>
  <w:num w:numId="4" w16cid:durableId="1693218107">
    <w:abstractNumId w:val="5"/>
  </w:num>
  <w:num w:numId="5" w16cid:durableId="1680959926">
    <w:abstractNumId w:val="24"/>
  </w:num>
  <w:num w:numId="6" w16cid:durableId="2021004931">
    <w:abstractNumId w:val="11"/>
  </w:num>
  <w:num w:numId="7" w16cid:durableId="1276405810">
    <w:abstractNumId w:val="1"/>
  </w:num>
  <w:num w:numId="8" w16cid:durableId="846940418">
    <w:abstractNumId w:val="26"/>
  </w:num>
  <w:num w:numId="9" w16cid:durableId="2053843949">
    <w:abstractNumId w:val="8"/>
  </w:num>
  <w:num w:numId="10" w16cid:durableId="633486626">
    <w:abstractNumId w:val="22"/>
  </w:num>
  <w:num w:numId="11" w16cid:durableId="1663270442">
    <w:abstractNumId w:val="13"/>
  </w:num>
  <w:num w:numId="12" w16cid:durableId="627590190">
    <w:abstractNumId w:val="21"/>
  </w:num>
  <w:num w:numId="13" w16cid:durableId="1471167935">
    <w:abstractNumId w:val="20"/>
  </w:num>
  <w:num w:numId="14" w16cid:durableId="556085108">
    <w:abstractNumId w:val="12"/>
  </w:num>
  <w:num w:numId="15" w16cid:durableId="1101335337">
    <w:abstractNumId w:val="10"/>
  </w:num>
  <w:num w:numId="16" w16cid:durableId="1269923654">
    <w:abstractNumId w:val="23"/>
  </w:num>
  <w:num w:numId="17" w16cid:durableId="1543706609">
    <w:abstractNumId w:val="18"/>
  </w:num>
  <w:num w:numId="18" w16cid:durableId="1306206299">
    <w:abstractNumId w:val="7"/>
  </w:num>
  <w:num w:numId="19" w16cid:durableId="1984891163">
    <w:abstractNumId w:val="9"/>
  </w:num>
  <w:num w:numId="20" w16cid:durableId="923295717">
    <w:abstractNumId w:val="2"/>
  </w:num>
  <w:num w:numId="21" w16cid:durableId="1115752597">
    <w:abstractNumId w:val="15"/>
  </w:num>
  <w:num w:numId="22" w16cid:durableId="1050307392">
    <w:abstractNumId w:val="3"/>
  </w:num>
  <w:num w:numId="23" w16cid:durableId="515509054">
    <w:abstractNumId w:val="19"/>
  </w:num>
  <w:num w:numId="24" w16cid:durableId="149174528">
    <w:abstractNumId w:val="14"/>
  </w:num>
  <w:num w:numId="25" w16cid:durableId="1810786688">
    <w:abstractNumId w:val="25"/>
  </w:num>
  <w:num w:numId="26" w16cid:durableId="1489901248">
    <w:abstractNumId w:val="16"/>
  </w:num>
  <w:num w:numId="27" w16cid:durableId="1221550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B324B6"/>
    <w:rsid w:val="001C0C29"/>
    <w:rsid w:val="00341098"/>
    <w:rsid w:val="003E2C28"/>
    <w:rsid w:val="00566B22"/>
    <w:rsid w:val="00581B3B"/>
    <w:rsid w:val="005F2BF9"/>
    <w:rsid w:val="0065131D"/>
    <w:rsid w:val="3C0BAC93"/>
    <w:rsid w:val="41028EAA"/>
    <w:rsid w:val="5CB324B6"/>
    <w:rsid w:val="71B454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24B6"/>
  <w15:chartTrackingRefBased/>
  <w15:docId w15:val="{403939DC-BEAF-4608-8973-7813DC781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C0BA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C0BA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C0BAC93"/>
    <w:pPr>
      <w:keepNext/>
      <w:keepLines/>
      <w:spacing w:before="160" w:after="80"/>
      <w:outlineLvl w:val="2"/>
    </w:pPr>
    <w:rPr>
      <w:rFonts w:eastAsiaTheme="majorEastAsia" w:cstheme="majorBidi"/>
      <w:color w:val="0F4761" w:themeColor="accent1" w:themeShade="BF"/>
      <w:sz w:val="28"/>
      <w:szCs w:val="28"/>
    </w:rPr>
  </w:style>
  <w:style w:type="paragraph" w:styleId="Heading5">
    <w:name w:val="heading 5"/>
    <w:basedOn w:val="Normal"/>
    <w:next w:val="Normal"/>
    <w:uiPriority w:val="9"/>
    <w:unhideWhenUsed/>
    <w:qFormat/>
    <w:rsid w:val="3C0BAC93"/>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3C0BAC93"/>
    <w:rPr>
      <w:color w:val="467886"/>
      <w:u w:val="single"/>
    </w:rPr>
  </w:style>
  <w:style w:type="paragraph" w:styleId="ListParagraph">
    <w:name w:val="List Paragraph"/>
    <w:basedOn w:val="Normal"/>
    <w:uiPriority w:val="34"/>
    <w:qFormat/>
    <w:rsid w:val="3C0BAC9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13"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18" Type="http://schemas.openxmlformats.org/officeDocument/2006/relationships/hyperlink" Target="mailto:whistleblowing@alahli.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12"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17" Type="http://schemas.openxmlformats.org/officeDocument/2006/relationships/hyperlink" Target="mailto:Compliance-Sanctions@alahli.com" TargetMode="External"/><Relationship Id="rId2" Type="http://schemas.openxmlformats.org/officeDocument/2006/relationships/styles" Target="styles.xml"/><Relationship Id="rId16"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20" Type="http://schemas.openxmlformats.org/officeDocument/2006/relationships/hyperlink" Target="mailto:Fraud_Prevention@alahli.com" TargetMode="External"/><Relationship Id="rId1" Type="http://schemas.openxmlformats.org/officeDocument/2006/relationships/numbering" Target="numbering.xml"/><Relationship Id="rId6"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11"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5"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15"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10"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19" Type="http://schemas.openxmlformats.org/officeDocument/2006/relationships/hyperlink" Target="https://www.alahli.com/en-us/eforms/Pages/Report-suspicious-activities.aspx" TargetMode="External"/><Relationship Id="rId4" Type="http://schemas.openxmlformats.org/officeDocument/2006/relationships/webSettings" Target="webSettings.xml"/><Relationship Id="rId9"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14" Type="http://schemas.openxmlformats.org/officeDocument/2006/relationships/hyperlink" Target="https://word-edit.officeapps.live.com/we/wordeditorframe.aspx?new=1&amp;ui=en-US&amp;rs=en-US&amp;wopisrc=https%3A%2F%2Fmy.microsoftpersonalcontent.com%2Fpersonal%2F9b874ddd1fe23115%2F_vti_bin%2Fwopi.ashx%2Ffiles%2F899e41beb422452eb8a396dbbbeffad4&amp;wdenableroaming=1&amp;mscc=1&amp;wdodb=1&amp;hid=1b9caade-312f-46ea-ac14-1393eddff25d.0&amp;uih=apphome&amp;jsapi=1&amp;jsapiver=v2&amp;corrid=629987ba-aa35-4d54-81a8-be126273027f&amp;usid=629987ba-aa35-4d54-81a8-be126273027f&amp;newsession=1&amp;sftc=1&amp;uihit=Bootstrapper&amp;muv=v1&amp;sdr=6&amp;ats=PairwiseBroker&amp;cac=1&amp;rat=1&amp;sams=1&amp;sfp=1&amp;sdp=1&amp;dchat=1&amp;sc=%7B%22pmo%22%3A%22https%3A%2F%2Fword.cloud.microsoft%22%2C%22pmshare%22%3Atrue%7D&amp;wdprevioussession=1b9caade-312f-46ea-ac14-1393eddff25d&amp;wdprevioussessionsrc=AppHomeWeb&amp;wdorigin=OFFICEFORMS.SHELL,APPHOME-WEB.BANNER.NEWBLANK-OCDI&amp;ctp=LeastProtected&amp;rct=Normal&amp;wdhostclicktime=1766726351233&amp;afdflight=85&amp;csiro=1&amp;wdredirectionreason=Unified_SingleFlush"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56</Pages>
  <Words>21434</Words>
  <Characters>122175</Characters>
  <Application>Microsoft Office Word</Application>
  <DocSecurity>0</DocSecurity>
  <Lines>1018</Lines>
  <Paragraphs>286</Paragraphs>
  <ScaleCrop>false</ScaleCrop>
  <Company/>
  <LinksUpToDate>false</LinksUpToDate>
  <CharactersWithSpaces>143323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mehmood</dc:creator>
  <cp:keywords/>
  <dc:description/>
  <cp:lastModifiedBy>shahid mehmood</cp:lastModifiedBy>
  <cp:revision>2</cp:revision>
  <dcterms:created xsi:type="dcterms:W3CDTF">2026-06-29T12:01:00Z</dcterms:created>
  <dcterms:modified xsi:type="dcterms:W3CDTF">2026-06-29T12:01:00Z</dcterms:modified>
</cp:coreProperties>
</file>