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rPr>
      </w:pPr>
      <w:r>
        <w:rPr>
          <w:rFonts w:ascii="Calibri" w:cs="Calibri" w:eastAsia="Calibri" w:hAnsi="Calibri"/>
          <w:rtl w:val="0"/>
        </w:rPr>
        <w:t xml:space="preserve">Octavia Crompton</w:t>
      </w:r>
    </w:p>
    <w:p w:rsidR="00000000" w:rsidDel="00000000" w:rsidP="00000000" w:rsidRDefault="00000000" w:rsidRPr="00000000" w14:paraId="00000002">
      <w:pPr>
        <w:rPr>
          <w:rFonts w:ascii="Calibri" w:cs="Calibri" w:eastAsia="Calibri" w:hAnsi="Calibri"/>
        </w:rPr>
      </w:pPr>
      <w:r>
        <w:rPr>
          <w:rFonts w:ascii="Calibri" w:cs="Calibri" w:eastAsia="Calibri" w:hAnsi="Calibri"/>
          <w:rtl w:val="0"/>
        </w:rPr>
        <w:t xml:space="preserve">Hydrology and Remote Sensing Lab, USDA-ARS</w:t>
      </w:r>
    </w:p>
    <w:p w:rsidR="00000000" w:rsidDel="00000000" w:rsidP="00000000" w:rsidRDefault="00000000" w:rsidRPr="00000000" w14:paraId="00000003">
      <w:pPr>
        <w:rPr>
          <w:rFonts w:ascii="Calibri" w:cs="Calibri" w:eastAsia="Calibri" w:hAnsi="Calibri"/>
        </w:rPr>
      </w:pPr>
      <w:r>
        <w:rPr>
          <w:rFonts w:ascii="Calibri" w:cs="Calibri" w:eastAsia="Calibri" w:hAnsi="Calibri"/>
          <w:rtl w:val="0"/>
        </w:rPr>
        <w:t xml:space="preserve">Beltsville, MD</w:t>
      </w:r>
    </w:p>
    <w:p w:rsidR="00000000" w:rsidDel="00000000" w:rsidP="00000000" w:rsidRDefault="00000000" w:rsidRPr="00000000" w14:paraId="00000004">
      <w:pPr>
        <w:rPr>
          <w:rFonts w:ascii="Calibri" w:cs="Calibri" w:eastAsia="Calibri" w:hAnsi="Calibri"/>
        </w:rPr>
      </w:pPr>
      <w:r>
        <w:rPr>
          <w:rFonts w:ascii="Calibri" w:cs="Calibri" w:eastAsia="Calibri" w:hAnsi="Calibri"/>
          <w:rtl w:val="0"/>
        </w:rPr>
        <w:t xml:space="preserve">octavia.crompton@usda.gov</w:t>
      </w:r>
    </w:p>
    <w:p w:rsidR="00000000" w:rsidDel="00000000" w:rsidP="00000000" w:rsidRDefault="00000000" w:rsidRPr="00000000" w14:paraId="00000005">
      <w:pPr>
        <w:rPr>
          <w:rFonts w:ascii="Calibri" w:cs="Calibri" w:eastAsia="Calibri" w:hAnsi="Calibri"/>
        </w:rPr>
      </w:pPr>
      <w:r>
        <w:rPr>
          <w:rtl w:val="0"/>
        </w:rPr>
      </w:r>
    </w:p>
    <w:p w:rsidR="00000000" w:rsidDel="00000000" w:rsidP="00000000" w:rsidRDefault="00000000" w:rsidRPr="00000000" w14:paraId="00000006">
      <w:pPr>
        <w:rPr>
          <w:rFonts w:ascii="Calibri" w:cs="Calibri" w:eastAsia="Calibri" w:hAnsi="Calibri"/>
        </w:rPr>
      </w:pPr>
      <w:r>
        <w:rPr>
          <w:rFonts w:ascii="Calibri" w:cs="Calibri" w:eastAsia="Calibri" w:hAnsi="Calibri"/>
          <w:rtl w:val="0"/>
        </w:rPr>
        <w:t xml:space="preserve">July 2, 2026</w:t>
      </w:r>
    </w:p>
    <w:p w:rsidR="00000000" w:rsidDel="00000000" w:rsidP="00000000" w:rsidRDefault="00000000" w:rsidRPr="00000000" w14:paraId="00000007">
      <w:pPr>
        <w:rPr>
          <w:rFonts w:ascii="Calibri" w:cs="Calibri" w:eastAsia="Calibri" w:hAnsi="Calibri"/>
        </w:rPr>
      </w:pPr>
      <w:r>
        <w:rPr>
          <w:rFonts w:ascii="Calibri" w:cs="Calibri" w:eastAsia="Calibri" w:hAnsi="Calibri"/>
          <w:rtl w:val="0"/>
        </w:rPr>
        <w:t xml:space="preserve"> </w:t>
      </w:r>
    </w:p>
    <w:p w:rsidR="00000000" w:rsidDel="00000000" w:rsidP="00000000" w:rsidRDefault="00000000" w:rsidRPr="00000000" w14:paraId="00000008">
      <w:pPr>
        <w:rPr>
          <w:rFonts w:ascii="Calibri" w:cs="Calibri" w:eastAsia="Calibri" w:hAnsi="Calibri"/>
        </w:rPr>
      </w:pPr>
      <w:r>
        <w:rPr>
          <w:rFonts w:ascii="Calibri" w:cs="Calibri" w:eastAsia="Calibri" w:hAnsi="Calibri"/>
          <w:rtl w:val="0"/>
        </w:rPr>
        <w:t xml:space="preserve">Dear editors:</w:t>
      </w:r>
    </w:p>
    <w:p w:rsidR="00000000" w:rsidDel="00000000" w:rsidP="00000000" w:rsidRDefault="00000000" w:rsidRPr="00000000" w14:paraId="00000009">
      <w:pPr>
        <w:rPr>
          <w:rFonts w:ascii="Calibri" w:cs="Calibri" w:eastAsia="Calibri" w:hAnsi="Calibri"/>
          <w:color w:val="222222"/>
        </w:rPr>
      </w:pPr>
      <w:r>
        <w:rPr>
          <w:rFonts w:ascii="Calibri" w:cs="Calibri" w:eastAsia="Calibri" w:hAnsi="Calibri"/>
          <w:color w:val="222222"/>
          <w:rtl w:val="0"/>
        </w:rPr>
        <w:t xml:space="preserve"> </w:t>
      </w:r>
    </w:p>
    <w:p w:rsidR="00000000" w:rsidDel="00000000" w:rsidP="00000000" w:rsidRDefault="00000000" w:rsidRPr="00000000" w14:paraId="0000000A">
      <w:pPr>
        <w:rPr>
          <w:rFonts w:ascii="Calibri" w:cs="Calibri" w:eastAsia="Calibri" w:hAnsi="Calibri"/>
          <w:color w:val="222222"/>
        </w:rPr>
      </w:pPr>
      <w:r>
        <w:rPr>
          <w:rFonts w:ascii="Calibri" w:cs="Calibri" w:eastAsia="Calibri" w:hAnsi="Calibri"/>
          <w:color w:val="222222"/>
          <w:rtl w:val="0"/>
        </w:rPr>
        <w:t xml:space="preserve">Please find enclosed a manuscript entitled "Controls on berm structural condition and vegetation response in the Altar Valley, southern Arizona" for consideration for publication in </w:t>
      </w:r>
      <w:r>
        <w:rPr>
          <w:rFonts w:ascii="Calibri" w:cs="Calibri" w:eastAsia="Calibri" w:hAnsi="Calibri"/>
          <w:i w:val="1"/>
          <w:iCs w:val="1"/>
          <w:color w:val="222222"/>
          <w:rtl w:val="0"/>
        </w:rPr>
        <w:t xml:space="preserve">Catena</w:t>
      </w:r>
      <w:r>
        <w:rPr>
          <w:rFonts w:ascii="Calibri" w:cs="Calibri" w:eastAsia="Calibri" w:hAnsi="Calibri"/>
          <w:color w:val="222222"/>
          <w:rtl w:val="0"/>
        </w:rPr>
        <w:t xml:space="preserve">. In this manuscript, we examine how the landscape setting shapes both the structural condition and the ecohydrological impact of water spreader berms, which were widely constructed in the mid-1900s across the southwestern US to manage surface runoff and restore degraded rangelands. Many of these legacy berms date to the 1930s, yet the controls on their condition, and their effects on surrounding vegetation, remain poorly understood.</w:t>
      </w:r>
    </w:p>
    <w:p w:rsidR="00000000" w:rsidDel="00000000" w:rsidP="00000000" w:rsidRDefault="00000000" w:rsidRPr="00000000" w14:paraId="0000000B">
      <w:pPr>
        <w:rPr>
          <w:rFonts w:ascii="Calibri" w:cs="Calibri" w:eastAsia="Calibri" w:hAnsi="Calibri"/>
          <w:color w:val="222222"/>
        </w:rPr>
      </w:pPr>
      <w:r>
        <w:rPr>
          <w:rtl w:val="0"/>
        </w:rPr>
      </w:r>
    </w:p>
    <w:p w:rsidR="00000000" w:rsidDel="00000000" w:rsidP="00000000" w:rsidRDefault="00000000" w:rsidRPr="00000000" w14:paraId="0000000C">
      <w:pPr>
        <w:rPr>
          <w:rFonts w:ascii="Calibri" w:cs="Calibri" w:eastAsia="Calibri" w:hAnsi="Calibri"/>
          <w:color w:val="222222"/>
        </w:rPr>
      </w:pPr>
      <w:r>
        <w:rPr>
          <w:rFonts w:ascii="Calibri" w:cs="Calibri" w:eastAsia="Calibri" w:hAnsi="Calibri"/>
          <w:color w:val="222222"/>
          <w:rtl w:val="0"/>
        </w:rPr>
        <w:t xml:space="preserve">To address this gap, we analyzed 775 water spreader berms in the Altar Valley, southern Arizona, combining remote sensing and soil survey data to determine how soil properties, flow accumulation, berm length, and slope influence structural condition (intact vs. degraded) and vegetation response, the latter quantified using the Soil Adjusted Vegetation Index (SAVI). Using controlled logistic regression and a Random Forest classifier, we found that berm length, flow accumulation, and soil texture are the strongest predictors of structural condition, while slope and soil texture are the strongest predictors of vegetation response. Notably, soil texture predicts both outcomes but in opposite directions: berms remain intact more often on finer-textured soils, whereas vegetation responses are larger on coarser-textured (sandy loam) soils. Nearly half of berms (47%) exceed the 7% SAVI-difference threshold used to identify a measurable vegetation response, and the two outcomes are statistically independent, indicating that intact berms do not necessarily produce stronger vegetation responses.</w:t>
      </w:r>
    </w:p>
    <w:p w:rsidR="00000000" w:rsidDel="00000000" w:rsidP="00000000" w:rsidRDefault="00000000" w:rsidRPr="00000000" w14:paraId="0000000D">
      <w:pPr>
        <w:rPr>
          <w:rFonts w:ascii="Calibri" w:cs="Calibri" w:eastAsia="Calibri" w:hAnsi="Calibri"/>
          <w:color w:val="222222"/>
        </w:rPr>
      </w:pPr>
      <w:r>
        <w:rPr>
          <w:rtl w:val="0"/>
        </w:rPr>
      </w:r>
    </w:p>
    <w:p w:rsidR="00000000" w:rsidDel="00000000" w:rsidP="00000000" w:rsidRDefault="00000000" w:rsidRPr="00000000" w14:paraId="0000000E">
      <w:pPr>
        <w:rPr>
          <w:rFonts w:ascii="Calibri" w:cs="Calibri" w:eastAsia="Calibri" w:hAnsi="Calibri"/>
          <w:color w:val="222222"/>
        </w:rPr>
      </w:pPr>
      <w:r>
        <w:rPr>
          <w:rFonts w:ascii="Calibri" w:cs="Calibri" w:eastAsia="Calibri" w:hAnsi="Calibri"/>
          <w:color w:val="222222"/>
          <w:rtl w:val="0"/>
        </w:rPr>
        <w:t xml:space="preserve">These results demonstrate the importance of incorporating site-specific landscape features when planning and managing berms for erosion control and vegetation restoration in semi-arid regions. Because structural condition and vegetation response are governed by different controls and are statistically independent, management strategies should evaluate physical integrity and ecological function separately. We believe this manuscript will contribute significantly to the understanding of dryland landscape management and the role of legacy conservation structures in rangeland ecosystems.</w:t>
      </w:r>
    </w:p>
    <w:p w:rsidR="00000000" w:rsidDel="00000000" w:rsidP="00000000" w:rsidRDefault="00000000" w:rsidRPr="00000000" w14:paraId="0000000F">
      <w:pPr>
        <w:shd w:fill="ffffff" w:val="clear"/>
        <w:rPr>
          <w:rFonts w:ascii="Calibri" w:cs="Calibri" w:eastAsia="Calibri" w:hAnsi="Calibri"/>
          <w:color w:val="222222"/>
        </w:rPr>
      </w:pPr>
      <w:r>
        <w:rPr>
          <w:rtl w:val="0"/>
        </w:rPr>
      </w:r>
    </w:p>
    <w:p w:rsidR="00000000" w:rsidDel="00000000" w:rsidP="00000000" w:rsidRDefault="00000000" w:rsidRPr="00000000" w14:paraId="00000010">
      <w:pPr>
        <w:shd w:fill="ffffff" w:val="clear"/>
        <w:rPr>
          <w:rFonts w:ascii="Calibri" w:cs="Calibri" w:eastAsia="Calibri" w:hAnsi="Calibri"/>
          <w:color w:val="222222"/>
        </w:rPr>
      </w:pPr>
      <w:r>
        <w:rPr>
          <w:rFonts w:ascii="Calibri" w:cs="Calibri" w:eastAsia="Calibri" w:hAnsi="Calibri"/>
          <w:color w:val="222222"/>
          <w:rtl w:val="0"/>
        </w:rPr>
        <w:t xml:space="preserve">Thank you for your consideration of our manuscript.</w:t>
      </w:r>
    </w:p>
    <w:p w:rsidR="00000000" w:rsidDel="00000000" w:rsidP="00000000" w:rsidRDefault="00000000" w:rsidRPr="00000000" w14:paraId="00000011">
      <w:pPr>
        <w:rPr>
          <w:rFonts w:ascii="Calibri" w:cs="Calibri" w:eastAsia="Calibri" w:hAnsi="Calibri"/>
        </w:rPr>
      </w:pPr>
      <w:r>
        <w:rPr>
          <w:rFonts w:ascii="Calibri" w:cs="Calibri" w:eastAsia="Calibri" w:hAnsi="Calibri"/>
          <w:rtl w:val="0"/>
        </w:rPr>
        <w:t xml:space="preserve"> </w:t>
      </w:r>
    </w:p>
    <w:p w:rsidR="00000000" w:rsidDel="00000000" w:rsidP="00000000" w:rsidRDefault="00000000" w:rsidRPr="00000000" w14:paraId="00000012">
      <w:pPr>
        <w:rPr>
          <w:rFonts w:ascii="Calibri" w:cs="Calibri" w:eastAsia="Calibri" w:hAnsi="Calibri"/>
        </w:rPr>
      </w:pPr>
      <w:r>
        <w:rPr>
          <w:rFonts w:ascii="Calibri" w:cs="Calibri" w:eastAsia="Calibri" w:hAnsi="Calibri"/>
          <w:rtl w:val="0"/>
        </w:rPr>
        <w:t xml:space="preserve">Sincerely,</w:t>
      </w:r>
    </w:p>
    <w:p w:rsidR="00000000" w:rsidDel="00000000" w:rsidP="00000000" w:rsidRDefault="00000000" w:rsidRPr="00000000" w14:paraId="00000013">
      <w:pPr>
        <w:rPr>
          <w:rFonts w:ascii="Calibri" w:cs="Calibri" w:eastAsia="Calibri" w:hAnsi="Calibri"/>
        </w:rPr>
      </w:pPr>
      <w:r>
        <w:rPr>
          <w:rFonts w:ascii="Calibri" w:cs="Calibri" w:eastAsia="Calibri" w:hAnsi="Calibri"/>
          <w:rtl w:val="0"/>
        </w:rPr>
        <w:t xml:space="preserve"> </w:t>
      </w:r>
    </w:p>
    <w:p w:rsidR="00000000" w:rsidDel="00000000" w:rsidP="00000000" w:rsidRDefault="00000000" w:rsidRPr="00000000" w14:paraId="00000014">
      <w:pPr>
        <w:rPr>
          <w:rFonts w:ascii="Calibri" w:cs="Calibri" w:eastAsia="Calibri" w:hAnsi="Calibri"/>
        </w:rPr>
      </w:pPr>
      <w:r>
        <w:rPr>
          <w:rFonts w:ascii="Calibri" w:cs="Calibri" w:eastAsia="Calibri" w:hAnsi="Calibri"/>
          <w:rtl w:val="0"/>
        </w:rPr>
        <w:t xml:space="preserve">Octavia Crompton</w:t>
      </w:r>
    </w:p>
    <w:p w:rsidR="00000000" w:rsidDel="00000000" w:rsidP="00000000" w:rsidRDefault="00000000" w:rsidRPr="00000000" w14:paraId="00000015">
      <w:pPr>
        <w:rPr>
          <w:rFonts w:ascii="Calibri" w:cs="Calibri" w:eastAsia="Calibri" w:hAnsi="Calibri"/>
        </w:rPr>
      </w:pPr>
      <w:r>
        <w:rPr>
          <w:rFonts w:ascii="Calibri" w:cs="Calibri" w:eastAsia="Calibri" w:hAnsi="Calibri"/>
          <w:rtl w:val="0"/>
        </w:rPr>
        <w:t xml:space="preserve"> </w:t>
      </w:r>
    </w:p>
    <w:p w:rsidR="00000000" w:rsidDel="00000000" w:rsidP="00000000" w:rsidRDefault="00000000" w:rsidRPr="00000000" w14:paraId="00000016">
      <w:pPr>
        <w:rPr>
          <w:rFonts w:ascii="Calibri" w:cs="Calibri" w:eastAsia="Calibri" w:hAnsi="Calibri"/>
        </w:rPr>
      </w:pPr>
      <w:r>
        <w:rPr>
          <w:rFonts w:ascii="Calibri" w:cs="Calibri" w:eastAsia="Calibri" w:hAnsi="Calibri"/>
          <w:rtl w:val="0"/>
        </w:rPr>
        <w:t xml:space="preserve">cc Aaron Koop</w:t>
      </w:r>
    </w:p>
    <w:p w:rsidR="00000000" w:rsidDel="00000000" w:rsidP="00000000" w:rsidRDefault="00000000" w:rsidRPr="00000000" w14:paraId="00000017">
      <w:pPr>
        <w:rPr>
          <w:rFonts w:ascii="Calibri" w:cs="Calibri" w:eastAsia="Calibri" w:hAnsi="Calibri"/>
        </w:rPr>
      </w:pPr>
      <w:r>
        <w:rPr>
          <w:rFonts w:ascii="Calibri" w:cs="Calibri" w:eastAsia="Calibri" w:hAnsi="Calibri"/>
          <w:rtl w:val="0"/>
        </w:rPr>
        <w:t xml:space="preserve">Samuel Anderson</w:t>
      </w:r>
    </w:p>
    <w:p w:rsidR="00000000" w:rsidDel="00000000" w:rsidP="00000000" w:rsidRDefault="00000000" w:rsidRPr="00000000" w14:paraId="00000117">
      <w:pPr>
        <w:rPr>
          <w:rFonts w:ascii="Calibri" w:cs="Calibri" w:eastAsia="Calibri" w:hAnsi="Calibri"/>
        </w:rPr>
      </w:pPr>
      <w:r>
        <w:rPr>
          <w:rFonts w:ascii="Calibri" w:cs="Calibri" w:eastAsia="Calibri" w:hAnsi="Calibri"/>
          <w:rtl w:val="0"/>
        </w:rPr>
        <w:t xml:space="preserve">Smriti Chaulagain</w:t>
      </w:r>
    </w:p>
    <w:p w:rsidR="00000000" w:rsidDel="00000000" w:rsidP="00000000" w:rsidRDefault="00000000" w:rsidRPr="00000000" w14:paraId="00000217">
      <w:pPr>
        <w:rPr>
          <w:rFonts w:ascii="Calibri" w:cs="Calibri" w:eastAsia="Calibri" w:hAnsi="Calibri"/>
        </w:rPr>
      </w:pPr>
      <w:r>
        <w:rPr>
          <w:rFonts w:ascii="Calibri" w:cs="Calibri" w:eastAsia="Calibri" w:hAnsi="Calibri"/>
          <w:rtl w:val="0"/>
        </w:rPr>
        <w:t xml:space="preserve">Dana Lapides</w:t>
      </w:r>
    </w:p>
    <w:p w:rsidR="00000000" w:rsidDel="00000000" w:rsidP="00000000" w:rsidRDefault="00000000" w:rsidRPr="00000000" w14:paraId="00000317">
      <w:pPr>
        <w:rPr>
          <w:rFonts w:ascii="Calibri" w:cs="Calibri" w:eastAsia="Calibri" w:hAnsi="Calibri"/>
        </w:rPr>
      </w:pPr>
      <w:r>
        <w:rPr>
          <w:rFonts w:ascii="Calibri" w:cs="Calibri" w:eastAsia="Calibri" w:hAnsi="Calibri"/>
          <w:rtl w:val="0"/>
        </w:rPr>
        <w:t xml:space="preserve">Mary Nichols</w:t>
      </w:r>
    </w:p>
    <w:p w:rsidR="00000000" w:rsidDel="00000000" w:rsidP="00000000" w:rsidRDefault="00000000" w:rsidRPr="00000000" w14:paraId="00000018">
      <w:pPr>
        <w:rPr>
          <w:rFonts w:ascii="Calibri" w:cs="Calibri" w:eastAsia="Calibri" w:hAnsi="Calibri"/>
        </w:rPr>
      </w:pPr>
      <w:r>
        <w:rPr>
          <w:rtl w:val="0"/>
        </w:rPr>
      </w:r>
    </w:p>
    <w:p w:rsidR="00000000" w:rsidDel="00000000" w:rsidP="00000000" w:rsidRDefault="00000000" w:rsidRPr="00000000" w14:paraId="00000019">
      <w:pPr>
        <w:rPr>
          <w:rFonts w:ascii="Calibri" w:cs="Calibri" w:eastAsia="Calibri" w:hAnsi="Calibri"/>
        </w:rPr>
      </w:pPr>
      <w:r>
        <w:rPr>
          <w:rFonts w:ascii="Calibri" w:cs="Calibri" w:eastAsia="Calibri" w:hAnsi="Calibri"/>
          <w:rtl w:val="0"/>
        </w:rPr>
        <w:t xml:space="preserve"> </w:t>
      </w:r>
    </w:p>
    <w:p w:rsidR="00000000" w:rsidDel="00000000" w:rsidP="00000000" w:rsidRDefault="00000000" w:rsidRPr="00000000" w14:paraId="0000001A">
      <w:pPr>
        <w:rPr>
          <w:rFonts w:ascii="Calibri" w:cs="Calibri" w:eastAsia="Calibri" w:hAnsi="Calibri"/>
        </w:rPr>
      </w:pPr>
      <w:r>
        <w:rPr>
          <w:rFonts w:ascii="Calibri" w:cs="Calibri" w:eastAsia="Calibri" w:hAnsi="Calibri"/>
          <w:rtl w:val="0"/>
        </w:rPr>
        <w:t xml:space="preserve">Highlights</w:t>
      </w:r>
    </w:p>
    <w:p w:rsidR="00000000" w:rsidDel="00000000" w:rsidP="00000000" w:rsidRDefault="00000000" w:rsidRPr="00000000" w14:paraId="0000001B">
      <w:pPr>
        <w:rPr>
          <w:rFonts w:ascii="Calibri" w:cs="Calibri" w:eastAsia="Calibri" w:hAnsi="Calibri"/>
        </w:rPr>
      </w:pPr>
      <w:r>
        <w:rPr>
          <w:rtl w:val="0"/>
        </w:rPr>
      </w:r>
    </w:p>
    <w:p w:rsidR="00000000" w:rsidDel="00000000" w:rsidP="00000000" w:rsidRDefault="00000000" w:rsidRPr="00000000" w14:paraId="0000001C">
      <w:pPr>
        <w:numPr>
          <w:ilvl w:val="0"/>
          <w:numId w:val="1"/>
        </w:numPr>
        <w:ind w:left="720" w:hanging="360"/>
        <w:rPr>
          <w:rFonts w:ascii="Calibri" w:cs="Calibri" w:eastAsia="Calibri" w:hAnsi="Calibri"/>
        </w:rPr>
      </w:pPr>
      <w:r>
        <w:rPr>
          <w:rFonts w:ascii="Calibri" w:cs="Calibri" w:eastAsia="Calibri" w:hAnsi="Calibri"/>
          <w:rtl w:val="0"/>
        </w:rPr>
        <w:t xml:space="preserve">Legacy water spreader berms in the Altar Valley, southern Arizona, vary widely in structural condition and vegetation impact</w:t>
      </w:r>
    </w:p>
    <w:p w:rsidR="00000000" w:rsidDel="00000000" w:rsidP="00000000" w:rsidRDefault="00000000" w:rsidRPr="00000000" w14:paraId="0000001D">
      <w:pPr>
        <w:numPr>
          <w:ilvl w:val="0"/>
          <w:numId w:val="1"/>
        </w:numPr>
        <w:ind w:left="720" w:hanging="360"/>
        <w:rPr>
          <w:rFonts w:ascii="Calibri" w:cs="Calibri" w:eastAsia="Calibri" w:hAnsi="Calibri"/>
        </w:rPr>
      </w:pPr>
      <w:r>
        <w:rPr>
          <w:rFonts w:ascii="Calibri" w:cs="Calibri" w:eastAsia="Calibri" w:hAnsi="Calibri"/>
          <w:rtl w:val="0"/>
        </w:rPr>
        <w:t xml:space="preserve">Remote sensing and soil survey data elucidate soil-geomorphic controls on berm condition and vegetation response across 775 berms in the Altar Valley, southern Arizona</w:t>
      </w:r>
    </w:p>
    <w:p w:rsidR="00000000" w:rsidDel="00000000" w:rsidP="00000000" w:rsidRDefault="00000000" w:rsidRPr="00000000" w14:paraId="0000001E">
      <w:pPr>
        <w:numPr>
          <w:ilvl w:val="0"/>
          <w:numId w:val="1"/>
        </w:numPr>
        <w:ind w:left="720" w:hanging="360"/>
        <w:rPr>
          <w:rFonts w:ascii="Calibri" w:cs="Calibri" w:eastAsia="Calibri" w:hAnsi="Calibri"/>
        </w:rPr>
      </w:pPr>
      <w:r>
        <w:rPr>
          <w:rFonts w:ascii="Calibri" w:cs="Calibri" w:eastAsia="Calibri" w:hAnsi="Calibri"/>
          <w:rtl w:val="0"/>
        </w:rPr>
        <w:t xml:space="preserve">Berm length, flow accumulation, and soil texture control structural condition, while slope and soil texture control vegetation response; the two outcomes are statistically independent</w:t>
      </w:r>
    </w:p>
    <w:p w:rsidR="00000000" w:rsidDel="00000000" w:rsidP="00000000" w:rsidRDefault="00000000" w:rsidRPr="00000000" w14:paraId="0000001F">
      <w:pPr>
        <w:rPr>
          <w:rFonts w:ascii="Calibri" w:cs="Calibri" w:eastAsia="Calibri" w:hAnsi="Calibri"/>
        </w:rPr>
      </w:pPr>
      <w:r>
        <w:br w:type="page"/>
      </w:r>
      <w:r>
        <w:rPr>
          <w:rtl w:val="0"/>
        </w:rPr>
      </w:r>
    </w:p>
    <w:p w:rsidR="00000000" w:rsidDel="00000000" w:rsidP="00000000" w:rsidRDefault="00000000" w:rsidRPr="00000000" w14:paraId="00000020">
      <w:pPr>
        <w:rPr>
          <w:rFonts w:ascii="Calibri" w:cs="Calibri" w:eastAsia="Calibri" w:hAnsi="Calibri"/>
          <w:color w:val="222222"/>
        </w:rPr>
      </w:pPr>
      <w:r>
        <w:rPr>
          <w:rFonts w:ascii="Calibri" w:cs="Calibri" w:eastAsia="Calibri" w:hAnsi="Calibri"/>
          <w:color w:val="222222"/>
          <w:rtl w:val="0"/>
        </w:rPr>
        <w:t xml:space="preserve">Earthen berms are commonly constructed on rangelands in the southwestern US to control water runoff, increase soil moisture, and reduce soil erosion. Many legacy berms date to the 1930s, and their condition and ecohydrologic impacts are poorly understood. Here we analyze 775 water spreader berms across the Altar Valley, southern Arizona, to determine how soil properties, flow accumulation, berm length, and slope influence structural condition (intact vs. degraded) and vegetation response, quantified using the Soil Adjusted Vegetation Index (SAVI). Berms are more likely to remain intact when they are shorter, located in positions of lower flow accumulation, and built on finer-textured soils, whereas vegetation responses are larger on steeper slopes and coarser-textured (sandy loam) soils. Nearly half of berms (47%) exceed the 7% SAVI-difference threshold used to identify a measurable vegetation response.</w:t>
      </w:r>
    </w:p>
    <w:p w:rsidR="00000000" w:rsidDel="00000000" w:rsidP="00000000" w:rsidRDefault="00000000" w:rsidRPr="00000000" w14:paraId="00000021">
      <w:pPr>
        <w:rPr>
          <w:rFonts w:ascii="Calibri" w:cs="Calibri" w:eastAsia="Calibri" w:hAnsi="Calibri"/>
          <w:color w:val="222222"/>
        </w:rPr>
      </w:pPr>
      <w:r>
        <w:rPr>
          <w:rFonts w:ascii="Calibri" w:cs="Calibri" w:eastAsia="Calibri" w:hAnsi="Calibri"/>
          <w:color w:val="222222"/>
          <w:rtl w:val="0"/>
        </w:rPr>
        <w:t xml:space="preserve">Structural condition and vegetation response are statistically independent, indicating that intact berms do not necessarily produce stronger vegetation responses. Landform is univariately associated with vegetation response but loses significance after controlling for slope and soil properties, indicating confounding effects of these variables. The study findings demonstrate the importance of incorporating site-specific landscape features when planning and managing berms for erosion control and vegetation restoration in semi-arid regions.</w:t>
      </w:r>
    </w:p>
    <w:p w:rsidR="00000000" w:rsidDel="00000000" w:rsidP="00000000" w:rsidRDefault="00000000" w:rsidRPr="00000000" w14:paraId="00000022">
      <w:pPr>
        <w:rPr>
          <w:rFonts w:ascii="Calibri" w:cs="Calibri" w:eastAsia="Calibri" w:hAnsi="Calibri"/>
        </w:rPr>
      </w:pPr>
      <w:r>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