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8"/>
        </w:pBdr>
        <w:spacing w:before="480" w:after="240"/>
        <w:jc w:val="center"/>
      </w:pPr>
      <w:r>
        <w:rPr>
          <w:rFonts w:ascii="Times New Roman" w:cs="Times New Roman" w:eastAsia="Times New Roman" w:hAnsi="Times New Roman"/>
          <w:b/>
          <w:bCs/>
          <w:color w:val="1F3864"/>
          <w:sz w:val="32"/>
          <w:szCs w:val="32"/>
        </w:rPr>
        <w:t xml:space="preserve">Structura rețelelor de co-autoriat legislativ și riscul excluderii parlamentare: o analiză computațională a două legislaturi ale Parlamentului Republicii Moldova</w:t>
      </w:r>
    </w:p>
    <w:p>
      <w:pPr>
        <w:spacing w:before="0" w:after="120"/>
      </w:pPr>
      <w:r>
        <w:rPr>
          <w:rFonts w:ascii="Times New Roman" w:cs="Times New Roman" w:eastAsia="Times New Roman" w:hAnsi="Times New Roman"/>
          <w:sz w:val="22"/>
          <w:szCs w:val="22"/>
        </w:rPr>
        <w:t xml:space="preserve"/>
      </w:r>
    </w:p>
    <w:p>
      <w:pPr>
        <w:spacing w:before="60" w:after="60"/>
        <w:jc w:val="center"/>
      </w:pPr>
      <w:r>
        <w:rPr>
          <w:rFonts w:ascii="Times New Roman" w:cs="Times New Roman" w:eastAsia="Times New Roman" w:hAnsi="Times New Roman"/>
          <w:i/>
          <w:iCs/>
          <w:color w:val="64748B"/>
          <w:sz w:val="20"/>
          <w:szCs w:val="20"/>
        </w:rPr>
        <w:t xml:space="preserve">[Autori] · [Instituție] · [Email]</w:t>
      </w:r>
    </w:p>
    <w:p>
      <w:pPr>
        <w:spacing w:before="40" w:after="320"/>
        <w:jc w:val="center"/>
      </w:pPr>
      <w:r>
        <w:rPr>
          <w:rFonts w:ascii="Times New Roman" w:cs="Times New Roman" w:eastAsia="Times New Roman" w:hAnsi="Times New Roman"/>
          <w:color w:val="94A3B8"/>
          <w:sz w:val="18"/>
          <w:szCs w:val="18"/>
        </w:rPr>
        <w:t xml:space="preserve">Primit: [data] · Acceptat: [data] · Publicat: [data]</w:t>
      </w:r>
    </w:p>
    <w:p>
      <w:pPr>
        <w:spacing w:before="200" w:after="100"/>
      </w:pPr>
      <w:r>
        <w:rPr>
          <w:rFonts w:ascii="Times New Roman" w:cs="Times New Roman" w:eastAsia="Times New Roman" w:hAnsi="Times New Roman"/>
          <w:b/>
          <w:bCs/>
          <w:color w:val="1F3864"/>
          <w:sz w:val="24"/>
          <w:szCs w:val="24"/>
        </w:rPr>
        <w:t xml:space="preserve">Rezumat</w:t>
      </w:r>
    </w:p>
    <w:p>
      <w:pPr>
        <w:spacing w:before="80" w:after="80" w:line="276"/>
        <w:ind w:left="720" w:right="720"/>
        <w:jc w:val="both"/>
      </w:pPr>
      <w:r>
        <w:rPr>
          <w:rFonts w:ascii="Times New Roman" w:cs="Times New Roman" w:eastAsia="Times New Roman" w:hAnsi="Times New Roman"/>
          <w:sz w:val="22"/>
          <w:szCs w:val="22"/>
        </w:rPr>
        <w:t xml:space="preserve">Studiul de față propune o metodologie computațională pentru analiza structurii rețelelor de co-autoriat legislativ în Parlamentul Republicii Moldova, pe parcursul a două legislaturi consecutive (26 iulie 2021 – 21 octombrie 2025 și 22 octombrie 2025 – 22 octombrie 2029). Folosind tehnici de analiză a rețelelor sociale (Social Network Analysis, SNA), sunt calculate șase metrici de centralitate pentru fiecare deputat: centralitatea de grad, centralitatea de putere Bonacich (eigenvector), centralitatea de intermediere, centralitatea de stres, centralitatea de prestigiu (PageRank) și centralitatea de accesibilitate (eccentricity). Pe lângă metricile individuale, sunt identificate clicile de co-autoriat, se construiesc matricele coeficienților de corelație Pearson și ale coeficienților de similaritate Jaccard. Pornind de la aceste caracteristici structurale, studiul aplică un model de transfer learning cross-legislatură pentru a estima riscul individual de excludere a deputaților de pe lista de candidați la alegerile ulterioare. Validarea este realizată prin Leave-One-Out Cross-Validation pe prima legislatură și prin transfer direct pe a doua. Rezultatele sugerează că poziția structurală a unui deputat în rețeaua de co-autoriat constituie un predictor semnificativ al vulnerabilității sale electorale intra-partid.</w:t>
      </w:r>
    </w:p>
    <w:p>
      <w:pPr>
        <w:spacing w:before="0" w:after="120"/>
      </w:pPr>
      <w:r>
        <w:rPr>
          <w:rFonts w:ascii="Times New Roman" w:cs="Times New Roman" w:eastAsia="Times New Roman" w:hAnsi="Times New Roman"/>
          <w:sz w:val="22"/>
          <w:szCs w:val="22"/>
        </w:rPr>
        <w:t xml:space="preserve"/>
      </w:r>
    </w:p>
    <w:p>
      <w:pPr>
        <w:spacing w:before="60" w:after="60"/>
        <w:ind w:left="720" w:right="720"/>
      </w:pPr>
      <w:r>
        <w:rPr>
          <w:rFonts w:ascii="Times New Roman" w:cs="Times New Roman" w:eastAsia="Times New Roman" w:hAnsi="Times New Roman"/>
          <w:b/>
          <w:bCs/>
          <w:sz w:val="22"/>
          <w:szCs w:val="22"/>
        </w:rPr>
        <w:t xml:space="preserve">Cuvinte-cheie: </w:t>
      </w:r>
      <w:r>
        <w:rPr>
          <w:rFonts w:ascii="Times New Roman" w:cs="Times New Roman" w:eastAsia="Times New Roman" w:hAnsi="Times New Roman"/>
          <w:i/>
          <w:iCs/>
          <w:sz w:val="22"/>
          <w:szCs w:val="22"/>
        </w:rPr>
        <w:t xml:space="preserve">analiză rețele sociale, co-autoriat legislativ, centralitate de rețea, transfer learning, excludere parlamentară, Republica Moldova</w:t>
      </w:r>
    </w:p>
    <w:p>
      <w:pPr>
        <w:spacing w:before="0" w:after="0"/>
      </w:pPr>
      <w:r>
        <w:br w:type="page"/>
      </w:r>
    </w:p>
    <w:p>
      <w:pPr>
        <w:pStyle w:val="Heading1"/>
        <w:spacing w:before="360" w:after="180"/>
      </w:pPr>
      <w:r>
        <w:rPr>
          <w:rFonts w:ascii="Times New Roman" w:cs="Times New Roman" w:eastAsia="Times New Roman" w:hAnsi="Times New Roman"/>
          <w:b/>
          <w:bCs/>
          <w:sz w:val="28"/>
          <w:szCs w:val="28"/>
        </w:rPr>
        <w:t xml:space="preserve">1. Introducere</w:t>
      </w:r>
    </w:p>
    <w:p>
      <w:pPr>
        <w:spacing w:before="120" w:after="120" w:line="276"/>
        <w:jc w:val="both"/>
      </w:pPr>
      <w:r>
        <w:rPr>
          <w:rFonts w:ascii="Times New Roman" w:cs="Times New Roman" w:eastAsia="Times New Roman" w:hAnsi="Times New Roman"/>
          <w:sz w:val="22"/>
          <w:szCs w:val="22"/>
        </w:rPr>
        <w:t xml:space="preserve">Legislativele moderne sunt arene de negociere și cooperare în care deputații își construiesc alianțe prin intermediul activității legislative comune. Una dintre formele cele mai transparente și documentate ale acestei cooperări este co-autoriatul proiectelor de acte legislative: situația în care doi sau mai mulți parlamentari semnează împreună o inițiativă legislativă. Deși aparent o procedură formală, co-autoriatul reflectă structuri subiacente de afinitate ideologică, loialitate de grup și capital social intra-parlamentar (Fowler, 2006; Porter et al., 2005).</w:t>
      </w:r>
    </w:p>
    <w:p>
      <w:pPr>
        <w:spacing w:before="120" w:after="120" w:line="276"/>
        <w:jc w:val="both"/>
      </w:pPr>
      <w:r>
        <w:rPr>
          <w:rFonts w:ascii="Times New Roman" w:cs="Times New Roman" w:eastAsia="Times New Roman" w:hAnsi="Times New Roman"/>
          <w:sz w:val="22"/>
          <w:szCs w:val="22"/>
        </w:rPr>
        <w:t xml:space="preserve">Studiul de față pornește de la o întrebare empirică concretă: există o relație între poziția structurală a unui deputat în rețeaua de co-autoriat și probabilitatea ca acesta să fie exclus de pe lista de candidați a partidului la alegerile ulterioare? Cu alte cuvinte, poate structura rețelei legislative să funcționeze ca un indicator precoce al vulnerabilității electorale intra-partid?</w:t>
      </w:r>
    </w:p>
    <w:p>
      <w:pPr>
        <w:spacing w:before="120" w:after="120" w:line="276"/>
        <w:jc w:val="both"/>
      </w:pPr>
      <w:r>
        <w:rPr>
          <w:rFonts w:ascii="Times New Roman" w:cs="Times New Roman" w:eastAsia="Times New Roman" w:hAnsi="Times New Roman"/>
          <w:sz w:val="22"/>
          <w:szCs w:val="22"/>
        </w:rPr>
        <w:t xml:space="preserve">Pentru a răspunde la această întrebare, utilizăm date complete despre proiectele de acte legislative din Parlamentul Republicii Moldova, din două legislaturi consecutive, extrase automat de pe site-ul oficial al Parlamentului. Aplicăm un pipeline metodologic în trei etape: (1) construirea și analiza rețelelor de co-autoriat, (2) calculul metricilor de centralitate și al structurilor clicale, și (3) modelarea predictivă prin transfer learning cross-legislatură.</w:t>
      </w:r>
    </w:p>
    <w:p>
      <w:pPr>
        <w:pStyle w:val="Heading1"/>
        <w:spacing w:before="360" w:after="180"/>
      </w:pPr>
      <w:r>
        <w:rPr>
          <w:rFonts w:ascii="Times New Roman" w:cs="Times New Roman" w:eastAsia="Times New Roman" w:hAnsi="Times New Roman"/>
          <w:b/>
          <w:bCs/>
          <w:sz w:val="28"/>
          <w:szCs w:val="28"/>
        </w:rPr>
        <w:t xml:space="preserve">2. Cadrul teoretic</w:t>
      </w:r>
    </w:p>
    <w:p>
      <w:pPr>
        <w:pStyle w:val="Heading2"/>
        <w:spacing w:before="280" w:after="140"/>
      </w:pPr>
      <w:r>
        <w:rPr>
          <w:rFonts w:ascii="Times New Roman" w:cs="Times New Roman" w:eastAsia="Times New Roman" w:hAnsi="Times New Roman"/>
          <w:b/>
          <w:bCs/>
          <w:sz w:val="24"/>
          <w:szCs w:val="24"/>
        </w:rPr>
        <w:t xml:space="preserve">2.1. Analiza rețelelor sociale în context parlamentar</w:t>
      </w:r>
    </w:p>
    <w:p>
      <w:pPr>
        <w:spacing w:before="120" w:after="120" w:line="276"/>
        <w:jc w:val="both"/>
      </w:pPr>
      <w:r>
        <w:rPr>
          <w:rFonts w:ascii="Times New Roman" w:cs="Times New Roman" w:eastAsia="Times New Roman" w:hAnsi="Times New Roman"/>
          <w:sz w:val="22"/>
          <w:szCs w:val="22"/>
        </w:rPr>
        <w:t xml:space="preserve">Analiza rețelelor sociale (SNA) reprezintă un set de metode formale pentru studiul structurilor relaționale, cu aplicații extinse în sociologia organizațională, știința politică și sociologia parlamentară (Wasserman &amp; Faust, 1994; Knoke, 1990). În context legislativ, SNA permite cuantificarea capitalului social al actorilor politici, identificarea coalițiilor informale și detectarea pozițiilor de putere structurală.</w:t>
      </w:r>
    </w:p>
    <w:p>
      <w:pPr>
        <w:spacing w:before="120" w:after="120" w:line="276"/>
        <w:jc w:val="both"/>
      </w:pPr>
      <w:r>
        <w:rPr>
          <w:rFonts w:ascii="Times New Roman" w:cs="Times New Roman" w:eastAsia="Times New Roman" w:hAnsi="Times New Roman"/>
          <w:sz w:val="22"/>
          <w:szCs w:val="22"/>
        </w:rPr>
        <w:t xml:space="preserve">Lucrări seminal în domeniu includ analiza rețelelor de co-sponsorizare din Congresul SUA (Fowler, 2006), care a demonstrat că centralitatea de intermediere prezice adoptarea cu succes a legislației propuse. Studii similare au fost realizate pentru Parlamentul European (Cherepnalkoski &amp; Mozetič, 2016) și pentru legislativele naționale din Europa Centrală și de Est (Háček &amp; Balík, 2021).</w:t>
      </w:r>
    </w:p>
    <w:p>
      <w:pPr>
        <w:pStyle w:val="Heading2"/>
        <w:spacing w:before="280" w:after="140"/>
      </w:pPr>
      <w:r>
        <w:rPr>
          <w:rFonts w:ascii="Times New Roman" w:cs="Times New Roman" w:eastAsia="Times New Roman" w:hAnsi="Times New Roman"/>
          <w:b/>
          <w:bCs/>
          <w:sz w:val="24"/>
          <w:szCs w:val="24"/>
        </w:rPr>
        <w:t xml:space="preserve">2.2. Co-autoriatul ca indicator al capitalului social parlamentar</w:t>
      </w:r>
    </w:p>
    <w:p>
      <w:pPr>
        <w:spacing w:before="120" w:after="120" w:line="276"/>
        <w:jc w:val="both"/>
      </w:pPr>
      <w:r>
        <w:rPr>
          <w:rFonts w:ascii="Times New Roman" w:cs="Times New Roman" w:eastAsia="Times New Roman" w:hAnsi="Times New Roman"/>
          <w:sz w:val="22"/>
          <w:szCs w:val="22"/>
        </w:rPr>
        <w:t xml:space="preserve">Co-autoriatul proiectelor legislative este conceptualizat în literatura de specialitate ca o formă de investiție în capitalul social relațional (Putnam, 2000; Lin, 2001). Un deputat care co-semnează frecvent cu colegi din fracțiuni diferite dobândește un capital de punte (bridging capital), în timp ce co-autoriatul concentrat în interiorul aceluiași grup reflectă capital de legătură (bonding capital).</w:t>
      </w:r>
    </w:p>
    <w:p>
      <w:pPr>
        <w:spacing w:before="120" w:after="120" w:line="276"/>
        <w:jc w:val="both"/>
      </w:pPr>
      <w:r>
        <w:rPr>
          <w:rFonts w:ascii="Times New Roman" w:cs="Times New Roman" w:eastAsia="Times New Roman" w:hAnsi="Times New Roman"/>
          <w:sz w:val="22"/>
          <w:szCs w:val="22"/>
        </w:rPr>
        <w:t xml:space="preserve">Din perspectiva teoriei câmpului (Bourdieu, 1986), poziția structurală în rețeaua legislativă constituie un indicator al capitalului politic acumulat: deputații cu poziții centrale beneficiază de acces la informație, la coaliții și la resurse simbolice, ceea ce le conferă avantaje în competiția intra-partid pentru locuri eligibile pe lista electorală.</w:t>
      </w:r>
    </w:p>
    <w:p>
      <w:pPr>
        <w:pStyle w:val="Heading2"/>
        <w:spacing w:before="280" w:after="140"/>
      </w:pPr>
      <w:r>
        <w:rPr>
          <w:rFonts w:ascii="Times New Roman" w:cs="Times New Roman" w:eastAsia="Times New Roman" w:hAnsi="Times New Roman"/>
          <w:b/>
          <w:bCs/>
          <w:sz w:val="24"/>
          <w:szCs w:val="24"/>
        </w:rPr>
        <w:t xml:space="preserve">2.3. Vulnerabilitatea electorală intra-partid</w:t>
      </w:r>
    </w:p>
    <w:p>
      <w:pPr>
        <w:spacing w:before="120" w:after="120" w:line="276"/>
        <w:jc w:val="both"/>
      </w:pPr>
      <w:r>
        <w:rPr>
          <w:rFonts w:ascii="Times New Roman" w:cs="Times New Roman" w:eastAsia="Times New Roman" w:hAnsi="Times New Roman"/>
          <w:sz w:val="22"/>
          <w:szCs w:val="22"/>
        </w:rPr>
        <w:t xml:space="preserve">Excluderea unui deputat de pe lista de candidați a propriului partid reprezintă o formă de sancțiune politică internă care, în sistemele cu liste închise de partid, echivalează practic cu retragerea mandatului. Literatura identifică mai mulți predictori ai acestei vulnerabilități: performanța votului în circumscripție (Gallagher &amp; Mitchell, 2008), loialitatea față de linia de partid (Carey, 2009) și, mai recent, structura rețelelor de alianțe interne (Katz &amp; Mair, 1993).</w:t>
      </w:r>
    </w:p>
    <w:p>
      <w:pPr>
        <w:spacing w:before="120" w:after="120" w:line="276"/>
        <w:jc w:val="both"/>
      </w:pPr>
      <w:r>
        <w:rPr>
          <w:rFonts w:ascii="Times New Roman" w:cs="Times New Roman" w:eastAsia="Times New Roman" w:hAnsi="Times New Roman"/>
          <w:sz w:val="22"/>
          <w:szCs w:val="22"/>
        </w:rPr>
        <w:t xml:space="preserve">Prezentul studiu contribuie la această literatură propunând metrici de rețea de co-autoriat drept predictori suplimentari ai vulnerabilității intra-partid, testând ipoteza că deputații periferici structural — izolați, cu puține colaborări sau cu omofilie ridicată față de grupul de partid — prezintă un risc mai mare de excludere.</w:t>
      </w:r>
    </w:p>
    <w:p>
      <w:pPr>
        <w:pStyle w:val="Heading1"/>
        <w:spacing w:before="360" w:after="180"/>
      </w:pPr>
      <w:r>
        <w:rPr>
          <w:rFonts w:ascii="Times New Roman" w:cs="Times New Roman" w:eastAsia="Times New Roman" w:hAnsi="Times New Roman"/>
          <w:b/>
          <w:bCs/>
          <w:sz w:val="28"/>
          <w:szCs w:val="28"/>
        </w:rPr>
        <w:t xml:space="preserve">3. Date și metodă</w:t>
      </w:r>
    </w:p>
    <w:p>
      <w:pPr>
        <w:pStyle w:val="Heading2"/>
        <w:spacing w:before="280" w:after="140"/>
      </w:pPr>
      <w:r>
        <w:rPr>
          <w:rFonts w:ascii="Times New Roman" w:cs="Times New Roman" w:eastAsia="Times New Roman" w:hAnsi="Times New Roman"/>
          <w:b/>
          <w:bCs/>
          <w:sz w:val="24"/>
          <w:szCs w:val="24"/>
        </w:rPr>
        <w:t xml:space="preserve">3.1. Sursa datelor și procedura de colectare</w:t>
      </w:r>
    </w:p>
    <w:p>
      <w:pPr>
        <w:spacing w:before="120" w:after="120" w:line="276"/>
        <w:jc w:val="both"/>
      </w:pPr>
      <w:r>
        <w:rPr>
          <w:rFonts w:ascii="Times New Roman" w:cs="Times New Roman" w:eastAsia="Times New Roman" w:hAnsi="Times New Roman"/>
          <w:sz w:val="22"/>
          <w:szCs w:val="22"/>
        </w:rPr>
        <w:t xml:space="preserve">Datele primare provin din baza de date a proiectelor de acte legislative publicată pe site-ul oficial al Parlamentului Republicii Moldova (parlament.md). Colectarea automată a datelor a fost realizată prin intermediul unui web scraper implementat cu biblioteca Selenium (Python), care a navigat și extras toate proiectele legislative cu doi sau mai mulți inițiatori deputați din fiecare legislatură.</w:t>
      </w:r>
    </w:p>
    <w:p>
      <w:pPr>
        <w:spacing w:before="120" w:after="120" w:line="276"/>
        <w:jc w:val="both"/>
      </w:pPr>
      <w:r>
        <w:rPr>
          <w:rFonts w:ascii="Times New Roman" w:cs="Times New Roman" w:eastAsia="Times New Roman" w:hAnsi="Times New Roman"/>
          <w:sz w:val="22"/>
          <w:szCs w:val="22"/>
        </w:rPr>
        <w:t xml:space="preserve">Au fost aplicate filtre de selectie pentru a restrange esantionul exclusiv la proiectele cu initiatori de tip Deputat (excluzand initiativele guvernamentale, ale comisiilor sau ale Biroului Permanent). Autori cu denumiri institutionale (e.g., Fractiunea, Grupul, Comisia) au fost eliminati printr-un filtru de expresii regulate, pastrand exclusiv persoanele fizice identificabile ca deputati individuali.</w:t>
      </w:r>
    </w:p>
    <w:p>
      <w:pPr>
        <w:spacing w:before="200" w:after="80"/>
        <w:jc w:val="center"/>
      </w:pPr>
      <w:r>
        <w:rPr>
          <w:rFonts w:ascii="Times New Roman" w:cs="Times New Roman" w:eastAsia="Times New Roman" w:hAnsi="Times New Roman"/>
          <w:b/>
          <w:bCs/>
          <w:i/>
          <w:iCs/>
          <w:sz w:val="20"/>
          <w:szCs w:val="20"/>
        </w:rPr>
        <w:t xml:space="preserve">Tabelul 1. Statistici descriptive ale datelor colectate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Indicator</w:t>
            </w:r>
          </w:p>
        </w:tc>
        <w:tc>
          <w:tcPr>
            <w:tcW w:type="dxa" w:w="2763"/>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Legislatura I (2021–2025)</w:t>
            </w:r>
          </w:p>
        </w:tc>
        <w:tc>
          <w:tcPr>
            <w:tcW w:type="dxa" w:w="2763"/>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Legislatura II (2025–2029)</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Proiecte co-semnate (≥2 autori)</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[N₁]</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[N₂]</w:t>
            </w:r>
          </w:p>
        </w:tc>
      </w:tr>
      <w:tr>
        <w:tc>
          <w:tcPr>
            <w:tcW w:type="dxa" w:w="3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Deputați unici identificați</w:t>
            </w:r>
          </w:p>
        </w:tc>
        <w:tc>
          <w:tcPr>
            <w:tcW w:type="dxa" w:w="2763"/>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[n₁]</w:t>
            </w:r>
          </w:p>
        </w:tc>
        <w:tc>
          <w:tcPr>
            <w:tcW w:type="dxa" w:w="2763"/>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[n₂]</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Times New Roman" w:cs="Times New Roman" w:eastAsia="Times New Roman" w:hAnsi="Times New Roman"/>
                <w:b/>
                <w:bCs/>
                <w:sz w:val="20"/>
                <w:szCs w:val="20"/>
              </w:rPr>
              <w:t xml:space="preserve">Perechi de co-autoriat unice</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[e₁]</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[e₂]</w:t>
            </w:r>
          </w:p>
        </w:tc>
      </w:tr>
      <w:tr>
        <w:tc>
          <w:tcPr>
            <w:tcW w:type="dxa" w:w="3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Times New Roman" w:cs="Times New Roman" w:eastAsia="Times New Roman" w:hAnsi="Times New Roman"/>
                <w:b/>
                <w:bCs/>
                <w:sz w:val="20"/>
                <w:szCs w:val="20"/>
              </w:rPr>
              <w:t xml:space="preserve">Perioadă acoperită</w:t>
            </w:r>
          </w:p>
        </w:tc>
        <w:tc>
          <w:tcPr>
            <w:tcW w:type="dxa" w:w="2763"/>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26.07.2021 – 21.10.2025</w:t>
            </w:r>
          </w:p>
        </w:tc>
        <w:tc>
          <w:tcPr>
            <w:tcW w:type="dxa" w:w="2763"/>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22.10.2025 – prezent</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Deputați excluși de pe lista electorală</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[k₁]</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[k₂]</w:t>
            </w:r>
          </w:p>
        </w:tc>
      </w:tr>
    </w:tbl>
    <w:p>
      <w:pPr>
        <w:spacing w:before="60" w:after="160"/>
        <w:jc w:val="center"/>
      </w:pPr>
      <w:r>
        <w:rPr>
          <w:rFonts w:ascii="Times New Roman" w:cs="Times New Roman" w:eastAsia="Times New Roman" w:hAnsi="Times New Roman"/>
          <w:i/>
          <w:iCs/>
          <w:sz w:val="20"/>
          <w:szCs w:val="20"/>
        </w:rPr>
        <w:t xml:space="preserve">Notă: Valorile între paranteze pătrate urmează a fi completate cu valorile reale din setul de date.</w:t>
      </w:r>
    </w:p>
    <w:p>
      <w:pPr>
        <w:pStyle w:val="Heading2"/>
        <w:spacing w:before="280" w:after="140"/>
      </w:pPr>
      <w:r>
        <w:rPr>
          <w:rFonts w:ascii="Times New Roman" w:cs="Times New Roman" w:eastAsia="Times New Roman" w:hAnsi="Times New Roman"/>
          <w:b/>
          <w:bCs/>
          <w:sz w:val="24"/>
          <w:szCs w:val="24"/>
        </w:rPr>
        <w:t xml:space="preserve">3.2. Construirea rețelelor de co-autoriat</w:t>
      </w:r>
    </w:p>
    <w:p>
      <w:pPr>
        <w:spacing w:before="120" w:after="120" w:line="276"/>
        <w:jc w:val="both"/>
      </w:pPr>
      <w:r>
        <w:rPr>
          <w:rFonts w:ascii="Times New Roman" w:cs="Times New Roman" w:eastAsia="Times New Roman" w:hAnsi="Times New Roman"/>
          <w:sz w:val="22"/>
          <w:szCs w:val="22"/>
        </w:rPr>
        <w:t xml:space="preserve">Pornind de la lista brută a proiectelor legislative, am construit câte un graf neorientat ponderat G = (V, E, w) pentru fiecare legislatură, unde:</w:t>
      </w:r>
    </w:p>
    <w:p>
      <w:pPr>
        <w:pStyle w:val="ListParagraph"/>
        <w:numPr>
          <w:ilvl w:val="0"/>
          <w:numId w:val="2"/>
        </w:numPr>
        <w:spacing w:before="60" w:after="60"/>
      </w:pPr>
      <w:r>
        <w:rPr>
          <w:rFonts w:ascii="Times New Roman" w:cs="Times New Roman" w:eastAsia="Times New Roman" w:hAnsi="Times New Roman"/>
          <w:sz w:val="22"/>
          <w:szCs w:val="22"/>
        </w:rPr>
        <w:t xml:space="preserve">V reprezintă mulțimea nodurilor (deputații care au co-semnat cel puțin un proiect);</w:t>
      </w:r>
    </w:p>
    <w:p>
      <w:pPr>
        <w:pStyle w:val="ListParagraph"/>
        <w:numPr>
          <w:ilvl w:val="0"/>
          <w:numId w:val="2"/>
        </w:numPr>
        <w:spacing w:before="60" w:after="60"/>
      </w:pPr>
      <w:r>
        <w:rPr>
          <w:rFonts w:ascii="Times New Roman" w:cs="Times New Roman" w:eastAsia="Times New Roman" w:hAnsi="Times New Roman"/>
          <w:sz w:val="22"/>
          <w:szCs w:val="22"/>
        </w:rPr>
        <w:t xml:space="preserve">E reprezintă mulțimea muchiilor, definite ca perechi de deputați care apar împreună ca inițiatori ai cel puțin unui proiect;</w:t>
      </w:r>
    </w:p>
    <w:p>
      <w:pPr>
        <w:pStyle w:val="ListParagraph"/>
        <w:numPr>
          <w:ilvl w:val="0"/>
          <w:numId w:val="2"/>
        </w:numPr>
        <w:spacing w:before="60" w:after="60"/>
      </w:pPr>
      <w:r>
        <w:rPr>
          <w:rFonts w:ascii="Times New Roman" w:cs="Times New Roman" w:eastAsia="Times New Roman" w:hAnsi="Times New Roman"/>
          <w:sz w:val="22"/>
          <w:szCs w:val="22"/>
        </w:rPr>
        <w:t xml:space="preserve">w: E → ℕ* reprezintă funcția de ponderare, unde w(u, v) indică numărul de proiecte co-semnate în comun de deputații u și v.</w:t>
      </w:r>
    </w:p>
    <w:p>
      <w:pPr>
        <w:spacing w:before="0" w:after="120"/>
      </w:pPr>
      <w:r>
        <w:rPr>
          <w:rFonts w:ascii="Times New Roman" w:cs="Times New Roman" w:eastAsia="Times New Roman" w:hAnsi="Times New Roman"/>
          <w:sz w:val="22"/>
          <w:szCs w:val="22"/>
        </w:rPr>
        <w:t xml:space="preserve"/>
      </w:r>
    </w:p>
    <w:p>
      <w:pPr>
        <w:spacing w:before="120" w:after="120" w:line="276"/>
        <w:jc w:val="both"/>
      </w:pPr>
      <w:r>
        <w:rPr>
          <w:rFonts w:ascii="Times New Roman" w:cs="Times New Roman" w:eastAsia="Times New Roman" w:hAnsi="Times New Roman"/>
          <w:sz w:val="22"/>
          <w:szCs w:val="22"/>
        </w:rPr>
        <w:t xml:space="preserve">Graful a fost implementat și analizat utilizând biblioteca NetworkX (versiunea 3.x, Python). Structura de date rezultată este simetrică (relațiile de co-autoriat sunt bidirecționale), fără bucle proprii (un deputat nu poate fi co-autorul propriilor proiecte în raport cu sine însuși).</w:t>
      </w:r>
    </w:p>
    <w:p>
      <w:pPr>
        <w:pStyle w:val="Heading2"/>
        <w:spacing w:before="280" w:after="140"/>
      </w:pPr>
      <w:r>
        <w:rPr>
          <w:rFonts w:ascii="Times New Roman" w:cs="Times New Roman" w:eastAsia="Times New Roman" w:hAnsi="Times New Roman"/>
          <w:b/>
          <w:bCs/>
          <w:sz w:val="24"/>
          <w:szCs w:val="24"/>
        </w:rPr>
        <w:t xml:space="preserve">3.3. Metrici de centralitate</w:t>
      </w:r>
    </w:p>
    <w:p>
      <w:pPr>
        <w:spacing w:before="120" w:after="120" w:line="276"/>
        <w:jc w:val="both"/>
      </w:pPr>
      <w:r>
        <w:rPr>
          <w:rFonts w:ascii="Times New Roman" w:cs="Times New Roman" w:eastAsia="Times New Roman" w:hAnsi="Times New Roman"/>
          <w:sz w:val="22"/>
          <w:szCs w:val="22"/>
        </w:rPr>
        <w:t xml:space="preserve">Au fost calculate șase metrici de centralitate, fiecare surprinzând o dimensiune distinctă a poziției structurale a unui deputat în rețea:</w:t>
      </w:r>
    </w:p>
    <w:p>
      <w:pPr>
        <w:pStyle w:val="Heading3"/>
        <w:spacing w:before="200" w:after="100"/>
      </w:pPr>
      <w:r>
        <w:rPr>
          <w:rFonts w:ascii="Times New Roman" w:cs="Times New Roman" w:eastAsia="Times New Roman" w:hAnsi="Times New Roman"/>
          <w:b/>
          <w:bCs/>
          <w:i/>
          <w:iCs/>
          <w:sz w:val="22"/>
          <w:szCs w:val="22"/>
        </w:rPr>
        <w:t xml:space="preserve">3.3.1. Centralitatea de grad (Degree Centrality)</w:t>
      </w:r>
    </w:p>
    <w:p>
      <w:pPr>
        <w:spacing w:before="120" w:after="120" w:line="276"/>
        <w:jc w:val="both"/>
      </w:pPr>
      <w:r>
        <w:rPr>
          <w:rFonts w:ascii="Times New Roman" w:cs="Times New Roman" w:eastAsia="Times New Roman" w:hAnsi="Times New Roman"/>
          <w:sz w:val="22"/>
          <w:szCs w:val="22"/>
        </w:rPr>
        <w:t xml:space="preserve">Centralitatea de grad a unui nod v este definită ca proporția din totalul nodurilor la care v este conectat direct:</w:t>
      </w:r>
    </w:p>
    <w:p>
      <w:pPr>
        <w:spacing w:before="100" w:after="100"/>
        <w:jc w:val="center"/>
      </w:pPr>
      <w:r>
        <w:rPr>
          <w:rFonts w:ascii="Courier New" w:cs="Courier New" w:eastAsia="Courier New" w:hAnsi="Courier New"/>
          <w:sz w:val="20"/>
          <w:szCs w:val="20"/>
        </w:rPr>
        <w:t xml:space="preserve">C_D(v) = deg(v) / (|V| - 1)</w:t>
      </w:r>
    </w:p>
    <w:p>
      <w:pPr>
        <w:spacing w:before="120" w:after="120" w:line="276"/>
        <w:jc w:val="both"/>
      </w:pPr>
      <w:r>
        <w:rPr>
          <w:rFonts w:ascii="Times New Roman" w:cs="Times New Roman" w:eastAsia="Times New Roman" w:hAnsi="Times New Roman"/>
          <w:sz w:val="22"/>
          <w:szCs w:val="22"/>
        </w:rPr>
        <w:t xml:space="preserve">unde deg(v) reprezintă numărul de vecini direcți ai nodului v, iar |V| este numărul total de noduri din graf. Această metrică surprinde popularitatea sau activismul colaborativ al unui deputat: un grad ridicat indică un parlamentar care co-semnează cu un număr mare de colegi diferiți.</w:t>
      </w:r>
    </w:p>
    <w:p>
      <w:pPr>
        <w:pStyle w:val="Heading3"/>
        <w:spacing w:before="200" w:after="100"/>
      </w:pPr>
      <w:r>
        <w:rPr>
          <w:rFonts w:ascii="Times New Roman" w:cs="Times New Roman" w:eastAsia="Times New Roman" w:hAnsi="Times New Roman"/>
          <w:b/>
          <w:bCs/>
          <w:i/>
          <w:iCs/>
          <w:sz w:val="22"/>
          <w:szCs w:val="22"/>
        </w:rPr>
        <w:t xml:space="preserve">3.3.2. Centralitatea de putere Bonacich (Eigenvector / Power Centrality)</w:t>
      </w:r>
    </w:p>
    <w:p>
      <w:pPr>
        <w:spacing w:before="120" w:after="120" w:line="276"/>
        <w:jc w:val="both"/>
      </w:pPr>
      <w:r>
        <w:rPr>
          <w:rFonts w:ascii="Times New Roman" w:cs="Times New Roman" w:eastAsia="Times New Roman" w:hAnsi="Times New Roman"/>
          <w:sz w:val="22"/>
          <w:szCs w:val="22"/>
        </w:rPr>
        <w:t xml:space="preserve">Spre deosebire de centralitatea de grad, care tratează toți vecinii ca egali, centralitatea de putere ponderează contribuția fiecărui vecin cu propria sa centralitate. Formal, vectorul de centralitate x este soluția ecuației:</w:t>
      </w:r>
    </w:p>
    <w:p>
      <w:pPr>
        <w:spacing w:before="100" w:after="100"/>
        <w:jc w:val="center"/>
      </w:pPr>
      <w:r>
        <w:rPr>
          <w:rFonts w:ascii="Courier New" w:cs="Courier New" w:eastAsia="Courier New" w:hAnsi="Courier New"/>
          <w:sz w:val="20"/>
          <w:szCs w:val="20"/>
        </w:rPr>
        <w:t xml:space="preserve">Ax = λx</w:t>
      </w:r>
    </w:p>
    <w:p>
      <w:pPr>
        <w:spacing w:before="120" w:after="120" w:line="276"/>
        <w:jc w:val="both"/>
      </w:pPr>
      <w:r>
        <w:rPr>
          <w:rFonts w:ascii="Times New Roman" w:cs="Times New Roman" w:eastAsia="Times New Roman" w:hAnsi="Times New Roman"/>
          <w:sz w:val="22"/>
          <w:szCs w:val="22"/>
        </w:rPr>
        <w:t xml:space="preserve">unde A este matricea de adiacență a grafului și λ este valoarea proprie maximă. Valoarea normalizată pentru fiecare nod v este:</w:t>
      </w:r>
    </w:p>
    <w:p>
      <w:pPr>
        <w:spacing w:before="100" w:after="100"/>
        <w:jc w:val="center"/>
      </w:pPr>
      <w:r>
        <w:rPr>
          <w:rFonts w:ascii="Courier New" w:cs="Courier New" w:eastAsia="Courier New" w:hAnsi="Courier New"/>
          <w:sz w:val="20"/>
          <w:szCs w:val="20"/>
        </w:rPr>
        <w:t xml:space="preserve">C_E(v) = x_v / max_u(x_u)</w:t>
      </w:r>
    </w:p>
    <w:p>
      <w:pPr>
        <w:spacing w:before="120" w:after="120" w:line="276"/>
        <w:jc w:val="both"/>
      </w:pPr>
      <w:r>
        <w:rPr>
          <w:rFonts w:ascii="Times New Roman" w:cs="Times New Roman" w:eastAsia="Times New Roman" w:hAnsi="Times New Roman"/>
          <w:sz w:val="22"/>
          <w:szCs w:val="22"/>
        </w:rPr>
        <w:t xml:space="preserve">Implementată cu algoritmul power iteration în NetworkX (parametrul weight='weight'), această metrică identifică deputații care colaborează nu doar cu mulți colegi, ci și cu colegi ei înșiși bine conectați — captând astfel o formă de putere structurală de ordin superior.</w:t>
      </w:r>
    </w:p>
    <w:p>
      <w:pPr>
        <w:pStyle w:val="Heading3"/>
        <w:spacing w:before="200" w:after="100"/>
      </w:pPr>
      <w:r>
        <w:rPr>
          <w:rFonts w:ascii="Times New Roman" w:cs="Times New Roman" w:eastAsia="Times New Roman" w:hAnsi="Times New Roman"/>
          <w:b/>
          <w:bCs/>
          <w:i/>
          <w:iCs/>
          <w:sz w:val="22"/>
          <w:szCs w:val="22"/>
        </w:rPr>
        <w:t xml:space="preserve">3.3.3. Centralitatea de intermediere (Betweenness Centrality)</w:t>
      </w:r>
    </w:p>
    <w:p>
      <w:pPr>
        <w:spacing w:before="120" w:after="120" w:line="276"/>
        <w:jc w:val="both"/>
      </w:pPr>
      <w:r>
        <w:rPr>
          <w:rFonts w:ascii="Times New Roman" w:cs="Times New Roman" w:eastAsia="Times New Roman" w:hAnsi="Times New Roman"/>
          <w:sz w:val="22"/>
          <w:szCs w:val="22"/>
        </w:rPr>
        <w:t xml:space="preserve">Centralitatea de intermediere măsoară în ce proporție drumurile geodezice (cele mai scurte căi) dintre toate perechile de noduri din rețea trec prin nodul v:</w:t>
      </w:r>
    </w:p>
    <w:p>
      <w:pPr>
        <w:spacing w:before="100" w:after="100"/>
        <w:jc w:val="center"/>
      </w:pPr>
      <w:r>
        <w:rPr>
          <w:rFonts w:ascii="Courier New" w:cs="Courier New" w:eastAsia="Courier New" w:hAnsi="Courier New"/>
          <w:sz w:val="20"/>
          <w:szCs w:val="20"/>
        </w:rPr>
        <w:t xml:space="preserve">C_B(v) = Σ_{s≠v≠t} [σ(s,t|v) / σ(s,t)] / [(|V|-1)(|V|-2)/2]</w:t>
      </w:r>
    </w:p>
    <w:p>
      <w:pPr>
        <w:spacing w:before="120" w:after="120" w:line="276"/>
        <w:jc w:val="both"/>
      </w:pPr>
      <w:r>
        <w:rPr>
          <w:rFonts w:ascii="Times New Roman" w:cs="Times New Roman" w:eastAsia="Times New Roman" w:hAnsi="Times New Roman"/>
          <w:sz w:val="22"/>
          <w:szCs w:val="22"/>
        </w:rPr>
        <w:t xml:space="preserve">unde σ(s,t) este numărul total de drumuri geodezice între s și t, iar σ(s,t|v) este numărul celor care trec prin v. Calculul a fost realizat cu ponderile muchiilor (weight='weight'), rezultatele normalizate la intervalul [0, 1].</w:t>
      </w:r>
    </w:p>
    <w:p>
      <w:pPr>
        <w:spacing w:before="120" w:after="120" w:line="276"/>
        <w:jc w:val="both"/>
      </w:pPr>
      <w:r>
        <w:rPr>
          <w:rFonts w:ascii="Times New Roman" w:cs="Times New Roman" w:eastAsia="Times New Roman" w:hAnsi="Times New Roman"/>
          <w:sz w:val="22"/>
          <w:szCs w:val="22"/>
        </w:rPr>
        <w:t xml:space="preserve">Din perspectivă sociologică, un deputat cu betweenness ridicat ocupă o poziție de broker structural: el mediază fluxul de informație și de resurse între subgrupuri altfel deconectate, ceea ce îi conferă un capital social de punte (Burt, 2004).</w:t>
      </w:r>
    </w:p>
    <w:p>
      <w:pPr>
        <w:pStyle w:val="Heading3"/>
        <w:spacing w:before="200" w:after="100"/>
      </w:pPr>
      <w:r>
        <w:rPr>
          <w:rFonts w:ascii="Times New Roman" w:cs="Times New Roman" w:eastAsia="Times New Roman" w:hAnsi="Times New Roman"/>
          <w:b/>
          <w:bCs/>
          <w:i/>
          <w:iCs/>
          <w:sz w:val="22"/>
          <w:szCs w:val="22"/>
        </w:rPr>
        <w:t xml:space="preserve">3.3.4. Centralitatea de stres (Stress Centrality)</w:t>
      </w:r>
    </w:p>
    <w:p>
      <w:pPr>
        <w:spacing w:before="120" w:after="120" w:line="276"/>
        <w:jc w:val="both"/>
      </w:pPr>
      <w:r>
        <w:rPr>
          <w:rFonts w:ascii="Times New Roman" w:cs="Times New Roman" w:eastAsia="Times New Roman" w:hAnsi="Times New Roman"/>
          <w:sz w:val="22"/>
          <w:szCs w:val="22"/>
        </w:rPr>
        <w:t xml:space="preserve">Centralitatea de stres este o variantă ne-normalizată a betweenness-ului, care numără numărul absolut de drumuri geodezice care trec prin fiecare nod:</w:t>
      </w:r>
    </w:p>
    <w:p>
      <w:pPr>
        <w:spacing w:before="100" w:after="100"/>
        <w:jc w:val="center"/>
      </w:pPr>
      <w:r>
        <w:rPr>
          <w:rFonts w:ascii="Courier New" w:cs="Courier New" w:eastAsia="Courier New" w:hAnsi="Courier New"/>
          <w:sz w:val="20"/>
          <w:szCs w:val="20"/>
        </w:rPr>
        <w:t xml:space="preserve">C_S(v) = Σ_{s≠v≠t} σ(s,t|v)</w:t>
      </w:r>
    </w:p>
    <w:p>
      <w:pPr>
        <w:spacing w:before="120" w:after="120" w:line="276"/>
        <w:jc w:val="both"/>
      </w:pPr>
      <w:r>
        <w:rPr>
          <w:rFonts w:ascii="Times New Roman" w:cs="Times New Roman" w:eastAsia="Times New Roman" w:hAnsi="Times New Roman"/>
          <w:sz w:val="22"/>
          <w:szCs w:val="22"/>
        </w:rPr>
        <w:t xml:space="preserve">Normalizat ulterior la [(|V|-1)(|V|-2)], acesta oferă o perspectivă complementară față de betweenness: în timp ce betweenness normalizează la numărul de perechi și la numărul de drumuri per pereche (σ_st), stress centrality surprinde volumul brut al traficului geodezic prin nod. Un nod poate avea betweenness mic dar stress mare dacă există numeroase drumuri alternative care îl tranzitează.</w:t>
      </w:r>
    </w:p>
    <w:p>
      <w:pPr>
        <w:pStyle w:val="Heading3"/>
        <w:spacing w:before="200" w:after="100"/>
      </w:pPr>
      <w:r>
        <w:rPr>
          <w:rFonts w:ascii="Times New Roman" w:cs="Times New Roman" w:eastAsia="Times New Roman" w:hAnsi="Times New Roman"/>
          <w:b/>
          <w:bCs/>
          <w:i/>
          <w:iCs/>
          <w:sz w:val="22"/>
          <w:szCs w:val="22"/>
        </w:rPr>
        <w:t xml:space="preserve">3.3.5. Centralitatea de prestigiu (Prestige Centrality — PageRank)</w:t>
      </w:r>
    </w:p>
    <w:p>
      <w:pPr>
        <w:spacing w:before="120" w:after="120" w:line="276"/>
        <w:jc w:val="both"/>
      </w:pPr>
      <w:r>
        <w:rPr>
          <w:rFonts w:ascii="Times New Roman" w:cs="Times New Roman" w:eastAsia="Times New Roman" w:hAnsi="Times New Roman"/>
          <w:sz w:val="22"/>
          <w:szCs w:val="22"/>
        </w:rPr>
        <w:t xml:space="preserve">Inspirat din algoritmul PageRank (Brin &amp; Page, 1998) și utilizat ca proxy pentru prestigiul social în rețelele non-direcționate, această metrică estimează importanța unui nod pe baza importanței vecinilor săi, printr-un proces iterativ de difuzie:</w:t>
      </w:r>
    </w:p>
    <w:p>
      <w:pPr>
        <w:spacing w:before="100" w:after="100"/>
        <w:jc w:val="center"/>
      </w:pPr>
      <w:r>
        <w:rPr>
          <w:rFonts w:ascii="Courier New" w:cs="Courier New" w:eastAsia="Courier New" w:hAnsi="Courier New"/>
          <w:sz w:val="20"/>
          <w:szCs w:val="20"/>
        </w:rPr>
        <w:t xml:space="preserve">PR(v) = (1-d)/|V| + d · Σ_{u∈N(v)} [w(u,v) · PR(u) / Σ_z w(u,z)]</w:t>
      </w:r>
    </w:p>
    <w:p>
      <w:pPr>
        <w:spacing w:before="120" w:after="120" w:line="276"/>
        <w:jc w:val="both"/>
      </w:pPr>
      <w:r>
        <w:rPr>
          <w:rFonts w:ascii="Times New Roman" w:cs="Times New Roman" w:eastAsia="Times New Roman" w:hAnsi="Times New Roman"/>
          <w:sz w:val="22"/>
          <w:szCs w:val="22"/>
        </w:rPr>
        <w:t xml:space="preserve">unde d este factorul de amortizare (d = 0.85, valoare implicită), N(v) este mulțimea vecinilor lui v, iar w(u,v) sunt ponderile muchiilor. Deputații cu PageRank ridicat sunt cei validați de rețea ca importanți: ei colaborează cu parteneri ei înșiși validați.</w:t>
      </w:r>
    </w:p>
    <w:p>
      <w:pPr>
        <w:pStyle w:val="Heading3"/>
        <w:spacing w:before="200" w:after="100"/>
      </w:pPr>
      <w:r>
        <w:rPr>
          <w:rFonts w:ascii="Times New Roman" w:cs="Times New Roman" w:eastAsia="Times New Roman" w:hAnsi="Times New Roman"/>
          <w:b/>
          <w:bCs/>
          <w:i/>
          <w:iCs/>
          <w:sz w:val="22"/>
          <w:szCs w:val="22"/>
        </w:rPr>
        <w:t xml:space="preserve">3.3.6. Centralitatea de accesibilitate (Eccentricity Centrality)</w:t>
      </w:r>
    </w:p>
    <w:p>
      <w:pPr>
        <w:spacing w:before="120" w:after="120" w:line="276"/>
        <w:jc w:val="both"/>
      </w:pPr>
      <w:r>
        <w:rPr>
          <w:rFonts w:ascii="Times New Roman" w:cs="Times New Roman" w:eastAsia="Times New Roman" w:hAnsi="Times New Roman"/>
          <w:sz w:val="22"/>
          <w:szCs w:val="22"/>
        </w:rPr>
        <w:t xml:space="preserve">Excentricitatea unui nod v este definită ca distanța maximă de la v la orice alt nod din rețea: ecc(v) = max_{u∈V} d(v, u). Centralitatea de accesibilitate este inversul excentricității:</w:t>
      </w:r>
    </w:p>
    <w:p>
      <w:pPr>
        <w:spacing w:before="100" w:after="100"/>
        <w:jc w:val="center"/>
      </w:pPr>
      <w:r>
        <w:rPr>
          <w:rFonts w:ascii="Courier New" w:cs="Courier New" w:eastAsia="Courier New" w:hAnsi="Courier New"/>
          <w:sz w:val="20"/>
          <w:szCs w:val="20"/>
        </w:rPr>
        <w:t xml:space="preserve">C_Ecc(v) = 1 / ecc(v)</w:t>
      </w:r>
    </w:p>
    <w:p>
      <w:pPr>
        <w:spacing w:before="120" w:after="120" w:line="276"/>
        <w:jc w:val="both"/>
      </w:pPr>
      <w:r>
        <w:rPr>
          <w:rFonts w:ascii="Times New Roman" w:cs="Times New Roman" w:eastAsia="Times New Roman" w:hAnsi="Times New Roman"/>
          <w:sz w:val="22"/>
          <w:szCs w:val="22"/>
        </w:rPr>
        <w:t xml:space="preserve">Un nod cu excentricitate mică (și deci centralitate de accesibilitate mare) poate ajunge la toți ceilalți membri ai rețelei în puțini pași. Pentru grafuri deconectate, calculul a fost realizat separat pentru fiecare componentă conexă, nodurilor din componente de dimensiune 1 atribuindu-li-se valoarea 0.</w:t>
      </w:r>
    </w:p>
    <w:p>
      <w:pPr>
        <w:pStyle w:val="Heading2"/>
        <w:spacing w:before="280" w:after="140"/>
      </w:pPr>
      <w:r>
        <w:rPr>
          <w:rFonts w:ascii="Times New Roman" w:cs="Times New Roman" w:eastAsia="Times New Roman" w:hAnsi="Times New Roman"/>
          <w:b/>
          <w:bCs/>
          <w:sz w:val="24"/>
          <w:szCs w:val="24"/>
        </w:rPr>
        <w:t xml:space="preserve">3.4. Identificarea clicilor</w:t>
      </w:r>
    </w:p>
    <w:p>
      <w:pPr>
        <w:spacing w:before="120" w:after="120" w:line="276"/>
        <w:jc w:val="both"/>
      </w:pPr>
      <w:r>
        <w:rPr>
          <w:rFonts w:ascii="Times New Roman" w:cs="Times New Roman" w:eastAsia="Times New Roman" w:hAnsi="Times New Roman"/>
          <w:sz w:val="22"/>
          <w:szCs w:val="22"/>
        </w:rPr>
        <w:t xml:space="preserve">O clică reprezintă un subgraf complet — o mulțime de noduri în care fiecare pereche este conectată printr-o muchie. În contextul rețelelor de co-autoriat, o clică de dimensiune k indică un grup de k deputați care au co-semnat proiecte în toate combinațiile posibile de perechi.</w:t>
      </w:r>
    </w:p>
    <w:p>
      <w:pPr>
        <w:spacing w:before="120" w:after="120" w:line="276"/>
        <w:jc w:val="both"/>
      </w:pPr>
      <w:r>
        <w:rPr>
          <w:rFonts w:ascii="Times New Roman" w:cs="Times New Roman" w:eastAsia="Times New Roman" w:hAnsi="Times New Roman"/>
          <w:sz w:val="22"/>
          <w:szCs w:val="22"/>
        </w:rPr>
        <w:t xml:space="preserve">Identificarea clicilor maxime (maximale în raport cu incluziunea de mulțimi) a fost realizată prin algoritmul Bron-Kerbosch (Bron &amp; Kerbosch, 1973), implementat în NetworkX ca nx.find_cliques(G). Au fost reținute și analizate clicile de dimensiune ≥ 3, cu raportarea distribuției lor după dimensiune și a compoziției clicilor maxime.</w:t>
      </w:r>
    </w:p>
    <w:p>
      <w:pPr>
        <w:pStyle w:val="Heading2"/>
        <w:spacing w:before="280" w:after="140"/>
      </w:pPr>
      <w:r>
        <w:rPr>
          <w:rFonts w:ascii="Times New Roman" w:cs="Times New Roman" w:eastAsia="Times New Roman" w:hAnsi="Times New Roman"/>
          <w:b/>
          <w:bCs/>
          <w:sz w:val="24"/>
          <w:szCs w:val="24"/>
        </w:rPr>
        <w:t xml:space="preserve">3.5. Matricea coeficienților de corelație Pearson</w:t>
      </w:r>
    </w:p>
    <w:p>
      <w:pPr>
        <w:spacing w:before="120" w:after="120" w:line="276"/>
        <w:jc w:val="both"/>
      </w:pPr>
      <w:r>
        <w:rPr>
          <w:rFonts w:ascii="Times New Roman" w:cs="Times New Roman" w:eastAsia="Times New Roman" w:hAnsi="Times New Roman"/>
          <w:sz w:val="22"/>
          <w:szCs w:val="22"/>
        </w:rPr>
        <w:t xml:space="preserve">Matricea Pearson a fost construită pe baza vectorilor de adiacență ponderată ai fiecărui deputat. Fiecărui deputat v i se asociază un vector-rând din matricea de adiacență ponderată A: a_v = (w(v, u₁), w(v, u₂), ..., w(v, u_n)). Coeficientul de corelație Pearson între doi deputați v și u este:</w:t>
      </w:r>
    </w:p>
    <w:p>
      <w:pPr>
        <w:spacing w:before="100" w:after="100"/>
        <w:jc w:val="center"/>
      </w:pPr>
      <w:r>
        <w:rPr>
          <w:rFonts w:ascii="Courier New" w:cs="Courier New" w:eastAsia="Courier New" w:hAnsi="Courier New"/>
          <w:sz w:val="20"/>
          <w:szCs w:val="20"/>
        </w:rPr>
        <w:t xml:space="preserve">r(v, u) = [Σ_i (a_vi - ā_v)(a_ui - ā_u)] / [√Σ_i(a_vi - ā_v)² · √Σ_i(a_ui - ā_u)²]</w:t>
      </w:r>
    </w:p>
    <w:p>
      <w:pPr>
        <w:spacing w:before="120" w:after="120" w:line="276"/>
        <w:jc w:val="both"/>
      </w:pPr>
      <w:r>
        <w:rPr>
          <w:rFonts w:ascii="Times New Roman" w:cs="Times New Roman" w:eastAsia="Times New Roman" w:hAnsi="Times New Roman"/>
          <w:sz w:val="22"/>
          <w:szCs w:val="22"/>
        </w:rPr>
        <w:t xml:space="preserve">Valorile r ∈ [-1, 1] indică: r ≈ +1 → structuri de colaborare similare (deputații au aceiași parteneri de co-autoriat cu ponderi similare); r ≈ 0 → independență structurală; r ≈ -1 → structuri complementare (unul colaborează intens acolo unde celălalt nu colaborează).</w:t>
      </w:r>
    </w:p>
    <w:p>
      <w:pPr>
        <w:spacing w:before="120" w:after="120" w:line="276"/>
        <w:jc w:val="both"/>
      </w:pPr>
      <w:r>
        <w:rPr>
          <w:rFonts w:ascii="Times New Roman" w:cs="Times New Roman" w:eastAsia="Times New Roman" w:hAnsi="Times New Roman"/>
          <w:sz w:val="22"/>
          <w:szCs w:val="22"/>
        </w:rPr>
        <w:t xml:space="preserve">Calculul a fost realizat cu numpy.corrcoef, aplicat pe matricea de adiacență completă (n × n). Valorile NaN (rezultate din noduri izolate cu vector constant) au fost înlocuite cu 0.</w:t>
      </w:r>
    </w:p>
    <w:p>
      <w:pPr>
        <w:pStyle w:val="Heading2"/>
        <w:spacing w:before="280" w:after="140"/>
      </w:pPr>
      <w:r>
        <w:rPr>
          <w:rFonts w:ascii="Times New Roman" w:cs="Times New Roman" w:eastAsia="Times New Roman" w:hAnsi="Times New Roman"/>
          <w:b/>
          <w:bCs/>
          <w:sz w:val="24"/>
          <w:szCs w:val="24"/>
        </w:rPr>
        <w:t xml:space="preserve">3.6. Matricea coeficienților de similaritate (Jaccard și Matching)</w:t>
      </w:r>
    </w:p>
    <w:p>
      <w:pPr>
        <w:spacing w:before="120" w:after="120" w:line="276"/>
        <w:jc w:val="both"/>
      </w:pPr>
      <w:r>
        <w:rPr>
          <w:rFonts w:ascii="Times New Roman" w:cs="Times New Roman" w:eastAsia="Times New Roman" w:hAnsi="Times New Roman"/>
          <w:sz w:val="22"/>
          <w:szCs w:val="22"/>
        </w:rPr>
        <w:t xml:space="preserve">Au fost calculate două variante ale similarității structurale dintre perechi de deputați:</w:t>
      </w:r>
    </w:p>
    <w:p>
      <w:pPr>
        <w:spacing w:before="120" w:after="120" w:line="276"/>
        <w:jc w:val="both"/>
      </w:pPr>
      <w:r>
        <w:rPr>
          <w:rFonts w:ascii="Times New Roman" w:cs="Times New Roman" w:eastAsia="Times New Roman" w:hAnsi="Times New Roman"/>
          <w:sz w:val="22"/>
          <w:szCs w:val="22"/>
        </w:rPr>
        <w:t xml:space="preserve">Coeficientul de similaritate Jaccard măsoară suprapunerea mulțimilor de vecini:</w:t>
      </w:r>
    </w:p>
    <w:p>
      <w:pPr>
        <w:spacing w:before="100" w:after="100"/>
        <w:jc w:val="center"/>
      </w:pPr>
      <w:r>
        <w:rPr>
          <w:rFonts w:ascii="Courier New" w:cs="Courier New" w:eastAsia="Courier New" w:hAnsi="Courier New"/>
          <w:sz w:val="20"/>
          <w:szCs w:val="20"/>
        </w:rPr>
        <w:t xml:space="preserve">J(u, v) = |N(u) ∩ N(v)| / |N(u) ∪ N(v)|</w:t>
      </w:r>
    </w:p>
    <w:p>
      <w:pPr>
        <w:spacing w:before="120" w:after="120" w:line="276"/>
        <w:jc w:val="both"/>
      </w:pPr>
      <w:r>
        <w:rPr>
          <w:rFonts w:ascii="Times New Roman" w:cs="Times New Roman" w:eastAsia="Times New Roman" w:hAnsi="Times New Roman"/>
          <w:sz w:val="22"/>
          <w:szCs w:val="22"/>
        </w:rPr>
        <w:t xml:space="preserve">Coeficientul de potrivire (Matching Coefficient) raportează intersecția vecinilor la dimensiunea totală a rețelei:</w:t>
      </w:r>
    </w:p>
    <w:p>
      <w:pPr>
        <w:spacing w:before="100" w:after="100"/>
        <w:jc w:val="center"/>
      </w:pPr>
      <w:r>
        <w:rPr>
          <w:rFonts w:ascii="Courier New" w:cs="Courier New" w:eastAsia="Courier New" w:hAnsi="Courier New"/>
          <w:sz w:val="20"/>
          <w:szCs w:val="20"/>
        </w:rPr>
        <w:t xml:space="preserve">M(u, v) = |N(u) ∩ N(v)| / |V|</w:t>
      </w:r>
    </w:p>
    <w:p>
      <w:pPr>
        <w:spacing w:before="120" w:after="120" w:line="276"/>
        <w:jc w:val="both"/>
      </w:pPr>
      <w:r>
        <w:rPr>
          <w:rFonts w:ascii="Times New Roman" w:cs="Times New Roman" w:eastAsia="Times New Roman" w:hAnsi="Times New Roman"/>
          <w:sz w:val="22"/>
          <w:szCs w:val="22"/>
        </w:rPr>
        <w:t xml:space="preserve">Ambele matrice sunt simetrice și au valori în [0, 1]. Jaccard penalizează asimetria (doi deputați cu vecini comuni puțini dar uniune mare vor fi considerați disimilari), în timp ce Matching ignoră mărimea totală a rețelei.</w:t>
      </w:r>
    </w:p>
    <w:p>
      <w:pPr>
        <w:pStyle w:val="Heading2"/>
        <w:spacing w:before="280" w:after="140"/>
      </w:pPr>
      <w:r>
        <w:rPr>
          <w:rFonts w:ascii="Times New Roman" w:cs="Times New Roman" w:eastAsia="Times New Roman" w:hAnsi="Times New Roman"/>
          <w:b/>
          <w:bCs/>
          <w:sz w:val="24"/>
          <w:szCs w:val="24"/>
        </w:rPr>
        <w:t xml:space="preserve">3.7. Testul de permutare QAP (Quadratic Assignment Procedure)</w:t>
      </w:r>
    </w:p>
    <w:p>
      <w:pPr>
        <w:spacing w:before="120" w:after="120" w:line="276"/>
        <w:jc w:val="both"/>
      </w:pPr>
      <w:r>
        <w:rPr>
          <w:rFonts w:ascii="Times New Roman" w:cs="Times New Roman" w:eastAsia="Times New Roman" w:hAnsi="Times New Roman"/>
          <w:sz w:val="22"/>
          <w:szCs w:val="22"/>
        </w:rPr>
        <w:t xml:space="preserve">Datele de rețea nu respectă ipoteza de independență a observațiilor, deoarece valorile din matricea de adiacență sunt structural corelate (dacă A colaborează cu B și cu C, există o probabilitate mai mare ca B și C să colaboreze și ei). Testele parametrice clasice (Pearson, t, χ²) sunt prin urmare invalide.</w:t>
      </w:r>
    </w:p>
    <w:p>
      <w:pPr>
        <w:spacing w:before="120" w:after="120" w:line="276"/>
        <w:jc w:val="both"/>
      </w:pPr>
      <w:r>
        <w:rPr>
          <w:rFonts w:ascii="Times New Roman" w:cs="Times New Roman" w:eastAsia="Times New Roman" w:hAnsi="Times New Roman"/>
          <w:sz w:val="22"/>
          <w:szCs w:val="22"/>
        </w:rPr>
        <w:t xml:space="preserve">Testul QAP (Krackhardt, 1987) rezolvă această problemă prin inferență bazată pe permutare. Procedura constă în: (1) calculul corelației observate r_obs dintre matricea de adiacență ponderată și matricea de soarta comuna (1 dacă ambii deputați din pereche au același status exclus/inclus, 0 altfel); (2) generarea unei distribuții null prin permutarea aleatorie a liniilor și coloanelor uneia din matrice (2.000 de iterații); (3) estimarea p-value-ului ca proporția permutărilor pentru care |r_perm| ≥ |r_obs|:</w:t>
      </w:r>
    </w:p>
    <w:p>
      <w:pPr>
        <w:spacing w:before="100" w:after="100"/>
        <w:jc w:val="center"/>
      </w:pPr>
      <w:r>
        <w:rPr>
          <w:rFonts w:ascii="Courier New" w:cs="Courier New" w:eastAsia="Courier New" w:hAnsi="Courier New"/>
          <w:sz w:val="20"/>
          <w:szCs w:val="20"/>
        </w:rPr>
        <w:t xml:space="preserve">p_QAP = #{|r_perm| ≥ |r_obs|} / B</w:t>
      </w:r>
    </w:p>
    <w:p>
      <w:pPr>
        <w:spacing w:before="120" w:after="120" w:line="276"/>
        <w:jc w:val="both"/>
      </w:pPr>
      <w:r>
        <w:rPr>
          <w:rFonts w:ascii="Times New Roman" w:cs="Times New Roman" w:eastAsia="Times New Roman" w:hAnsi="Times New Roman"/>
          <w:sz w:val="22"/>
          <w:szCs w:val="22"/>
        </w:rPr>
        <w:t xml:space="preserve">unde B = 2.000 este numărul de permutări.</w:t>
      </w:r>
    </w:p>
    <w:p>
      <w:pPr>
        <w:pStyle w:val="Heading2"/>
        <w:spacing w:before="280" w:after="140"/>
      </w:pPr>
      <w:r>
        <w:rPr>
          <w:rFonts w:ascii="Times New Roman" w:cs="Times New Roman" w:eastAsia="Times New Roman" w:hAnsi="Times New Roman"/>
          <w:b/>
          <w:bCs/>
          <w:sz w:val="24"/>
          <w:szCs w:val="24"/>
        </w:rPr>
        <w:t xml:space="preserve">3.8. Modelarea predictivă prin transfer learning</w:t>
      </w:r>
    </w:p>
    <w:p>
      <w:pPr>
        <w:pStyle w:val="Heading3"/>
        <w:spacing w:before="200" w:after="100"/>
      </w:pPr>
      <w:r>
        <w:rPr>
          <w:rFonts w:ascii="Times New Roman" w:cs="Times New Roman" w:eastAsia="Times New Roman" w:hAnsi="Times New Roman"/>
          <w:b/>
          <w:bCs/>
          <w:i/>
          <w:iCs/>
          <w:sz w:val="22"/>
          <w:szCs w:val="22"/>
        </w:rPr>
        <w:t xml:space="preserve">3.8.1. Justificarea transferului cross-legislatură</w:t>
      </w:r>
    </w:p>
    <w:p>
      <w:pPr>
        <w:spacing w:before="120" w:after="120" w:line="276"/>
        <w:jc w:val="both"/>
      </w:pPr>
      <w:r>
        <w:rPr>
          <w:rFonts w:ascii="Times New Roman" w:cs="Times New Roman" w:eastAsia="Times New Roman" w:hAnsi="Times New Roman"/>
          <w:sz w:val="22"/>
          <w:szCs w:val="22"/>
        </w:rPr>
        <w:t xml:space="preserve">Abordarea de transfer learning (Weiss et al., 2016) este motivată de asimetria datelor: Legislatura I oferă un set de antrenament complet (co-autoriat exhaustiv + etichete reale de excludere), în timp ce Legislatura II este în desfășurare (rețeaua este incompletă, etichetele sunt parțial disponibile). Re-antrenarea unui model pe date insuficiente din Legislatura II ar produce estimatori instabili.</w:t>
      </w:r>
    </w:p>
    <w:p>
      <w:pPr>
        <w:spacing w:before="120" w:after="120" w:line="276"/>
        <w:jc w:val="both"/>
      </w:pPr>
      <w:r>
        <w:rPr>
          <w:rFonts w:ascii="Times New Roman" w:cs="Times New Roman" w:eastAsia="Times New Roman" w:hAnsi="Times New Roman"/>
          <w:sz w:val="22"/>
          <w:szCs w:val="22"/>
        </w:rPr>
        <w:t xml:space="preserve">Ipoteza de transfer postulează că pattern-urile structurale asociate cu excluderea sunt suficient de stabile între legislaturi consecutive: un deputat periferic structural în Leg1 va prezenta caracteristici structurale similare în Leg2 dacă mecanismele de selecție ale partidului rămân consistente.</w:t>
      </w:r>
    </w:p>
    <w:p>
      <w:pPr>
        <w:pStyle w:val="Heading3"/>
        <w:spacing w:before="200" w:after="100"/>
      </w:pPr>
      <w:r>
        <w:rPr>
          <w:rFonts w:ascii="Times New Roman" w:cs="Times New Roman" w:eastAsia="Times New Roman" w:hAnsi="Times New Roman"/>
          <w:b/>
          <w:bCs/>
          <w:i/>
          <w:iCs/>
          <w:sz w:val="22"/>
          <w:szCs w:val="22"/>
        </w:rPr>
        <w:t xml:space="preserve">3.8.2. Pipeline-ul de modelare</w:t>
      </w:r>
    </w:p>
    <w:p>
      <w:pPr>
        <w:spacing w:before="120" w:after="120" w:line="276"/>
        <w:jc w:val="both"/>
      </w:pPr>
      <w:r>
        <w:rPr>
          <w:rFonts w:ascii="Times New Roman" w:cs="Times New Roman" w:eastAsia="Times New Roman" w:hAnsi="Times New Roman"/>
          <w:sz w:val="22"/>
          <w:szCs w:val="22"/>
        </w:rPr>
        <w:t xml:space="preserve">Au fost antrenate trei modele de clasificare binară pe datele din Legislatura I, variabila dependentă fiind statutul binar (1 = exclus de pe lista electorală, 0 = inclus):</w:t>
      </w:r>
    </w:p>
    <w:p>
      <w:pPr>
        <w:pStyle w:val="ListParagraph"/>
        <w:numPr>
          <w:ilvl w:val="0"/>
          <w:numId w:val="2"/>
        </w:numPr>
        <w:spacing w:before="60" w:after="60"/>
      </w:pPr>
      <w:r>
        <w:rPr>
          <w:rFonts w:ascii="Times New Roman" w:cs="Times New Roman" w:eastAsia="Times New Roman" w:hAnsi="Times New Roman"/>
          <w:sz w:val="22"/>
          <w:szCs w:val="22"/>
        </w:rPr>
        <w:t xml:space="preserve">Regresie logistică cu regularizare L1 (Lasso): penalizarea L1 realizează selecție automată a variabilelor, setând la zero coeficienții predictorilor irelevant. Parametrul de regularizare C = 0.5 a fost ales prin validare încrucișată.</w:t>
      </w:r>
    </w:p>
    <w:p>
      <w:pPr>
        <w:pStyle w:val="ListParagraph"/>
        <w:numPr>
          <w:ilvl w:val="0"/>
          <w:numId w:val="2"/>
        </w:numPr>
        <w:spacing w:before="60" w:after="60"/>
      </w:pPr>
      <w:r>
        <w:rPr>
          <w:rFonts w:ascii="Times New Roman" w:cs="Times New Roman" w:eastAsia="Times New Roman" w:hAnsi="Times New Roman"/>
          <w:sz w:val="22"/>
          <w:szCs w:val="22"/>
        </w:rPr>
        <w:t xml:space="preserve">Random Forest (500 arbori, adâncime maximă 4): captează relații neliniare și interacțiuni între predictori fără specificare a priori.</w:t>
      </w:r>
    </w:p>
    <w:p>
      <w:pPr>
        <w:pStyle w:val="ListParagraph"/>
        <w:numPr>
          <w:ilvl w:val="0"/>
          <w:numId w:val="2"/>
        </w:numPr>
        <w:spacing w:before="60" w:after="60"/>
      </w:pPr>
      <w:r>
        <w:rPr>
          <w:rFonts w:ascii="Times New Roman" w:cs="Times New Roman" w:eastAsia="Times New Roman" w:hAnsi="Times New Roman"/>
          <w:sz w:val="22"/>
          <w:szCs w:val="22"/>
        </w:rPr>
        <w:t xml:space="preserve">Gradient Boosting (150 estimatori, learning rate 0.08, subsampling 0.8): ansamblu de arbori construiți secvențial pentru minimizarea erorii reziduale.</w:t>
      </w:r>
    </w:p>
    <w:p>
      <w:pPr>
        <w:spacing w:before="0" w:after="120"/>
      </w:pPr>
      <w:r>
        <w:rPr>
          <w:rFonts w:ascii="Times New Roman" w:cs="Times New Roman" w:eastAsia="Times New Roman" w:hAnsi="Times New Roman"/>
          <w:sz w:val="22"/>
          <w:szCs w:val="22"/>
        </w:rPr>
        <w:t xml:space="preserve"/>
      </w:r>
    </w:p>
    <w:p>
      <w:pPr>
        <w:spacing w:before="120" w:after="120" w:line="276"/>
        <w:jc w:val="both"/>
      </w:pPr>
      <w:r>
        <w:rPr>
          <w:rFonts w:ascii="Times New Roman" w:cs="Times New Roman" w:eastAsia="Times New Roman" w:hAnsi="Times New Roman"/>
          <w:sz w:val="22"/>
          <w:szCs w:val="22"/>
        </w:rPr>
        <w:t xml:space="preserve">Toate cele trei modele au utilizat class_weight='balanced' pentru a compensa dezechilibrul de clasă (N_excluși &lt;&lt; N_incluși). Predicțiile finale reprezintă media aritmetică a probabilităților individuale ale celor trei modele (model ensemble).</w:t>
      </w:r>
    </w:p>
    <w:p>
      <w:pPr>
        <w:pStyle w:val="Heading3"/>
        <w:spacing w:before="200" w:after="100"/>
      </w:pPr>
      <w:r>
        <w:rPr>
          <w:rFonts w:ascii="Times New Roman" w:cs="Times New Roman" w:eastAsia="Times New Roman" w:hAnsi="Times New Roman"/>
          <w:b/>
          <w:bCs/>
          <w:i/>
          <w:iCs/>
          <w:sz w:val="22"/>
          <w:szCs w:val="22"/>
        </w:rPr>
        <w:t xml:space="preserve">3.8.3. Calibrarea probabilistică (Platt Scaling)</w:t>
      </w:r>
    </w:p>
    <w:p>
      <w:pPr>
        <w:spacing w:before="120" w:after="120" w:line="276"/>
        <w:jc w:val="both"/>
      </w:pPr>
      <w:r>
        <w:rPr>
          <w:rFonts w:ascii="Times New Roman" w:cs="Times New Roman" w:eastAsia="Times New Roman" w:hAnsi="Times New Roman"/>
          <w:sz w:val="22"/>
          <w:szCs w:val="22"/>
        </w:rPr>
        <w:t xml:space="preserve">Modelele de clasificare produc scoruri brute, nu probabilități calibrate. Pentru a transforma scorurile în probabilități interpretabile (P(exclus) ∈ [0,1] cu semnificație statistică), am aplicat calibrarea Platt (Platt, 1999): o regresie logistică suplimentară antrenată pe scorurile modelului de bază:</w:t>
      </w:r>
    </w:p>
    <w:p>
      <w:pPr>
        <w:spacing w:before="100" w:after="100"/>
        <w:jc w:val="center"/>
      </w:pPr>
      <w:r>
        <w:rPr>
          <w:rFonts w:ascii="Courier New" w:cs="Courier New" w:eastAsia="Courier New" w:hAnsi="Courier New"/>
          <w:sz w:val="20"/>
          <w:szCs w:val="20"/>
        </w:rPr>
        <w:t xml:space="preserve">P(y=1|s) = 1 / [1 + exp(A·s + B)]</w:t>
      </w:r>
    </w:p>
    <w:p>
      <w:pPr>
        <w:spacing w:before="120" w:after="120" w:line="276"/>
        <w:jc w:val="both"/>
      </w:pPr>
      <w:r>
        <w:rPr>
          <w:rFonts w:ascii="Times New Roman" w:cs="Times New Roman" w:eastAsia="Times New Roman" w:hAnsi="Times New Roman"/>
          <w:sz w:val="22"/>
          <w:szCs w:val="22"/>
        </w:rPr>
        <w:t xml:space="preserve">unde s este scorul brut al modelului și A, B sunt parametri estimați prin validare încrucișată cu 5 fold-uri (sau cv=k, unde k = numărul minim de exemple pozitive).</w:t>
      </w:r>
    </w:p>
    <w:p>
      <w:pPr>
        <w:pStyle w:val="Heading3"/>
        <w:spacing w:before="200" w:after="100"/>
      </w:pPr>
      <w:r>
        <w:rPr>
          <w:rFonts w:ascii="Times New Roman" w:cs="Times New Roman" w:eastAsia="Times New Roman" w:hAnsi="Times New Roman"/>
          <w:b/>
          <w:bCs/>
          <w:i/>
          <w:iCs/>
          <w:sz w:val="22"/>
          <w:szCs w:val="22"/>
        </w:rPr>
        <w:t xml:space="preserve">3.8.4. Validarea internă: Leave-One-Out Cross-Validation</w:t>
      </w:r>
    </w:p>
    <w:p>
      <w:pPr>
        <w:spacing w:before="120" w:after="120" w:line="276"/>
        <w:jc w:val="both"/>
      </w:pPr>
      <w:r>
        <w:rPr>
          <w:rFonts w:ascii="Times New Roman" w:cs="Times New Roman" w:eastAsia="Times New Roman" w:hAnsi="Times New Roman"/>
          <w:sz w:val="22"/>
          <w:szCs w:val="22"/>
        </w:rPr>
        <w:t xml:space="preserve">Dat fiind numărul mic al observațiilor (N_excluși &lt; 20), validarea prin divizare clasică train/test ar fi lăsat prea puține exemple pozitive în setul de test pentru o estimare stabilă. Am utilizat Leave-One-Out Cross-Validation (LOO-CV), în care fiecare observație este utilizată pe rând ca set de test, modelul fiind antrenat pe restul N-1 observații. Această procedură maximizează utilizarea datelor și produce estimatori nebiasați ai erorii de generalizare (Arlot &amp; Celisse, 2010).</w:t>
      </w:r>
    </w:p>
    <w:p>
      <w:pPr>
        <w:spacing w:before="120" w:after="120" w:line="276"/>
        <w:jc w:val="both"/>
      </w:pPr>
      <w:r>
        <w:rPr>
          <w:rFonts w:ascii="Times New Roman" w:cs="Times New Roman" w:eastAsia="Times New Roman" w:hAnsi="Times New Roman"/>
          <w:sz w:val="22"/>
          <w:szCs w:val="22"/>
        </w:rPr>
        <w:t xml:space="preserve">Au fost raportate trei metrici de performanță:</w:t>
      </w:r>
    </w:p>
    <w:p>
      <w:pPr>
        <w:pStyle w:val="ListParagraph"/>
        <w:numPr>
          <w:ilvl w:val="0"/>
          <w:numId w:val="2"/>
        </w:numPr>
        <w:spacing w:before="60" w:after="60"/>
      </w:pPr>
      <w:r>
        <w:rPr>
          <w:rFonts w:ascii="Times New Roman" w:cs="Times New Roman" w:eastAsia="Times New Roman" w:hAnsi="Times New Roman"/>
          <w:sz w:val="22"/>
          <w:szCs w:val="22"/>
        </w:rPr>
        <w:t xml:space="preserve">AUC-ROC (Area Under the Receiver Operating Characteristic Curve): măsoară capacitatea modelului de a discrimina între clasele pozitivă și negativă, independent de pragul de clasificare. AUC = 0.5 indică un model aleatoriu; AUC = 1.0 indică discriminare perfectă.</w:t>
      </w:r>
    </w:p>
    <w:p>
      <w:pPr>
        <w:pStyle w:val="ListParagraph"/>
        <w:numPr>
          <w:ilvl w:val="0"/>
          <w:numId w:val="2"/>
        </w:numPr>
        <w:spacing w:before="60" w:after="60"/>
      </w:pPr>
      <w:r>
        <w:rPr>
          <w:rFonts w:ascii="Times New Roman" w:cs="Times New Roman" w:eastAsia="Times New Roman" w:hAnsi="Times New Roman"/>
          <w:sz w:val="22"/>
          <w:szCs w:val="22"/>
        </w:rPr>
        <w:t xml:space="preserve">Average Precision (AP): media ponderată a preciziei la diferite praguri de recall, cu penalizare mai severă a fals-pozitivelor. Este preferabilă AUC în cazul dezechilibrului de clasă.</w:t>
      </w:r>
    </w:p>
    <w:p>
      <w:pPr>
        <w:pStyle w:val="ListParagraph"/>
        <w:numPr>
          <w:ilvl w:val="0"/>
          <w:numId w:val="2"/>
        </w:numPr>
        <w:spacing w:before="60" w:after="60"/>
      </w:pPr>
      <w:r>
        <w:rPr>
          <w:rFonts w:ascii="Times New Roman" w:cs="Times New Roman" w:eastAsia="Times New Roman" w:hAnsi="Times New Roman"/>
          <w:sz w:val="22"/>
          <w:szCs w:val="22"/>
        </w:rPr>
        <w:t xml:space="preserve">Brier Score: media pătratelor diferențelor dintre probabilitățile prezise și etichetele reale. Valori apropiate de 0 indică calibrare bună; 0.25 corespunde unui model aleatoriu.</w:t>
      </w:r>
    </w:p>
    <w:p>
      <w:pPr>
        <w:spacing w:before="0" w:after="120"/>
      </w:pPr>
      <w:r>
        <w:rPr>
          <w:rFonts w:ascii="Times New Roman" w:cs="Times New Roman" w:eastAsia="Times New Roman" w:hAnsi="Times New Roman"/>
          <w:sz w:val="22"/>
          <w:szCs w:val="22"/>
        </w:rPr>
        <w:t xml:space="preserve"/>
      </w:r>
    </w:p>
    <w:p>
      <w:pPr>
        <w:pStyle w:val="Heading3"/>
        <w:spacing w:before="200" w:after="100"/>
      </w:pPr>
      <w:r>
        <w:rPr>
          <w:rFonts w:ascii="Times New Roman" w:cs="Times New Roman" w:eastAsia="Times New Roman" w:hAnsi="Times New Roman"/>
          <w:b/>
          <w:bCs/>
          <w:i/>
          <w:iCs/>
          <w:sz w:val="22"/>
          <w:szCs w:val="22"/>
        </w:rPr>
        <w:t xml:space="preserve">3.8.5. Analiza driftului structural</w:t>
      </w:r>
    </w:p>
    <w:p>
      <w:pPr>
        <w:spacing w:before="120" w:after="120" w:line="276"/>
        <w:jc w:val="both"/>
      </w:pPr>
      <w:r>
        <w:rPr>
          <w:rFonts w:ascii="Times New Roman" w:cs="Times New Roman" w:eastAsia="Times New Roman" w:hAnsi="Times New Roman"/>
          <w:sz w:val="22"/>
          <w:szCs w:val="22"/>
        </w:rPr>
        <w:t xml:space="preserve">Înainte de transferul modelului, am verificat ipoteza de stabilitate structurală prin analiza driftului (concept preluat din machine learning operațional, cf. Gama et al., 2014). Au fost comparate distribuțiile metricilor de centralitate între Leg1 și Leg2 prin testul Mann-Whitney U bilateral (non-parametric, adecvat pentru distribuții ne-normale și N mic). Un drift semnificativ (p &lt; 0.05) pe predictori cheie indică o schimbare a structurii rețelei și diminuează încrederea în validitatea transferului.</w:t>
      </w:r>
    </w:p>
    <w:p>
      <w:pPr>
        <w:pStyle w:val="Heading1"/>
        <w:spacing w:before="360" w:after="180"/>
      </w:pPr>
      <w:r>
        <w:rPr>
          <w:rFonts w:ascii="Times New Roman" w:cs="Times New Roman" w:eastAsia="Times New Roman" w:hAnsi="Times New Roman"/>
          <w:b/>
          <w:bCs/>
          <w:sz w:val="28"/>
          <w:szCs w:val="28"/>
        </w:rPr>
        <w:t xml:space="preserve">4. Rezultate</w:t>
      </w:r>
    </w:p>
    <w:p>
      <w:pPr>
        <w:pStyle w:val="Heading2"/>
        <w:spacing w:before="280" w:after="140"/>
      </w:pPr>
      <w:r>
        <w:rPr>
          <w:rFonts w:ascii="Times New Roman" w:cs="Times New Roman" w:eastAsia="Times New Roman" w:hAnsi="Times New Roman"/>
          <w:b/>
          <w:bCs/>
          <w:sz w:val="24"/>
          <w:szCs w:val="24"/>
        </w:rPr>
        <w:t xml:space="preserve">4.1. Proprietățile structurale ale rețelelor</w:t>
      </w:r>
    </w:p>
    <w:p>
      <w:pPr>
        <w:spacing w:before="120" w:after="120" w:line="276"/>
        <w:jc w:val="both"/>
      </w:pPr>
      <w:r>
        <w:rPr>
          <w:rFonts w:ascii="Times New Roman" w:cs="Times New Roman" w:eastAsia="Times New Roman" w:hAnsi="Times New Roman"/>
          <w:sz w:val="22"/>
          <w:szCs w:val="22"/>
        </w:rPr>
        <w:t xml:space="preserve">Tabelul 2 prezintă principalele proprietăți structurale ale celor două rețele de co-autoriat. [Rezultatele vor fi completate cu valorile reale din analiza datelor.]</w:t>
      </w:r>
    </w:p>
    <w:p>
      <w:pPr>
        <w:spacing w:before="200" w:after="80"/>
        <w:jc w:val="center"/>
      </w:pPr>
      <w:r>
        <w:rPr>
          <w:rFonts w:ascii="Times New Roman" w:cs="Times New Roman" w:eastAsia="Times New Roman" w:hAnsi="Times New Roman"/>
          <w:b/>
          <w:bCs/>
          <w:i/>
          <w:iCs/>
          <w:sz w:val="20"/>
          <w:szCs w:val="20"/>
        </w:rPr>
        <w:t xml:space="preserve">Tabelul 2. Proprietăți structurale ale rețelelor de co-autoriat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c>
          <w:tcPr>
            <w:tcW w:type="dxa" w:w="4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Proprietate structurală</w:t>
            </w:r>
          </w:p>
        </w:tc>
        <w:tc>
          <w:tcPr>
            <w:tcW w:type="dxa" w:w="2513"/>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Leg1 (2021–2025)</w:t>
            </w:r>
          </w:p>
        </w:tc>
        <w:tc>
          <w:tcPr>
            <w:tcW w:type="dxa" w:w="2513"/>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Leg2 (2025–2029)</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Times New Roman" w:cs="Times New Roman" w:eastAsia="Times New Roman" w:hAnsi="Times New Roman"/>
                <w:b/>
                <w:bCs/>
                <w:sz w:val="20"/>
                <w:szCs w:val="20"/>
              </w:rPr>
              <w:t xml:space="preserve">Număr noduri (deputați)</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[n₁]</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[n₂]</w:t>
            </w:r>
          </w:p>
        </w:tc>
      </w:tr>
      <w:tr>
        <w:tc>
          <w:tcPr>
            <w:tcW w:type="dxa" w:w="4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Times New Roman" w:cs="Times New Roman" w:eastAsia="Times New Roman" w:hAnsi="Times New Roman"/>
                <w:b/>
                <w:bCs/>
                <w:sz w:val="20"/>
                <w:szCs w:val="20"/>
              </w:rPr>
              <w:t xml:space="preserve">Număr muchii (perechi co-autoriat)</w:t>
            </w:r>
          </w:p>
        </w:tc>
        <w:tc>
          <w:tcPr>
            <w:tcW w:type="dxa" w:w="2513"/>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[e₁]</w:t>
            </w:r>
          </w:p>
        </w:tc>
        <w:tc>
          <w:tcPr>
            <w:tcW w:type="dxa" w:w="2513"/>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[e₂]</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Densitate rețea</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[d₁]</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[d₂]</w:t>
            </w:r>
          </w:p>
        </w:tc>
      </w:tr>
      <w:tr>
        <w:tc>
          <w:tcPr>
            <w:tcW w:type="dxa" w:w="4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Coeficient mediu de clustering</w:t>
            </w:r>
          </w:p>
        </w:tc>
        <w:tc>
          <w:tcPr>
            <w:tcW w:type="dxa" w:w="2513"/>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[cc₁]</w:t>
            </w:r>
          </w:p>
        </w:tc>
        <w:tc>
          <w:tcPr>
            <w:tcW w:type="dxa" w:w="2513"/>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[cc₂]</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Times New Roman" w:cs="Times New Roman" w:eastAsia="Times New Roman" w:hAnsi="Times New Roman"/>
                <w:b/>
                <w:bCs/>
                <w:sz w:val="20"/>
                <w:szCs w:val="20"/>
              </w:rPr>
              <w:t xml:space="preserve">Grad mediu</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[g₁]</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[g₂]</w:t>
            </w:r>
          </w:p>
        </w:tc>
      </w:tr>
      <w:tr>
        <w:tc>
          <w:tcPr>
            <w:tcW w:type="dxa" w:w="4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Times New Roman" w:cs="Times New Roman" w:eastAsia="Times New Roman" w:hAnsi="Times New Roman"/>
                <w:b/>
                <w:bCs/>
                <w:sz w:val="20"/>
                <w:szCs w:val="20"/>
              </w:rPr>
              <w:t xml:space="preserve">Număr componente conexe</w:t>
            </w:r>
          </w:p>
        </w:tc>
        <w:tc>
          <w:tcPr>
            <w:tcW w:type="dxa" w:w="2513"/>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[c₁]</w:t>
            </w:r>
          </w:p>
        </w:tc>
        <w:tc>
          <w:tcPr>
            <w:tcW w:type="dxa" w:w="2513"/>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[c₂]</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Times New Roman" w:cs="Times New Roman" w:eastAsia="Times New Roman" w:hAnsi="Times New Roman"/>
                <w:b/>
                <w:bCs/>
                <w:sz w:val="20"/>
                <w:szCs w:val="20"/>
              </w:rPr>
              <w:t xml:space="preserve">% noduri în componenta maximă</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[%₁]</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[%₂]</w:t>
            </w:r>
          </w:p>
        </w:tc>
      </w:tr>
      <w:tr>
        <w:tc>
          <w:tcPr>
            <w:tcW w:type="dxa" w:w="4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Times New Roman" w:cs="Times New Roman" w:eastAsia="Times New Roman" w:hAnsi="Times New Roman"/>
                <w:b/>
                <w:bCs/>
                <w:sz w:val="20"/>
                <w:szCs w:val="20"/>
              </w:rPr>
              <w:t xml:space="preserve">Număr clici (dimensiune ≥3)</w:t>
            </w:r>
          </w:p>
        </w:tc>
        <w:tc>
          <w:tcPr>
            <w:tcW w:type="dxa" w:w="2513"/>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[cl₁]</w:t>
            </w:r>
          </w:p>
        </w:tc>
        <w:tc>
          <w:tcPr>
            <w:tcW w:type="dxa" w:w="2513"/>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[cl₂]</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Dimensiunea maximă a clicelei</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[max_cl₁]</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[max_cl₂]</w:t>
            </w:r>
          </w:p>
        </w:tc>
      </w:tr>
    </w:tbl>
    <w:p>
      <w:pPr>
        <w:spacing w:before="60" w:after="160"/>
        <w:jc w:val="center"/>
      </w:pPr>
      <w:r>
        <w:rPr>
          <w:rFonts w:ascii="Times New Roman" w:cs="Times New Roman" w:eastAsia="Times New Roman" w:hAnsi="Times New Roman"/>
          <w:i/>
          <w:iCs/>
          <w:sz w:val="20"/>
          <w:szCs w:val="20"/>
        </w:rPr>
        <w:t xml:space="preserve">Notă: Valorile între paranteze pătrate vor fi completate cu rezultatele efective ale analizei.</w:t>
      </w:r>
    </w:p>
    <w:p>
      <w:pPr>
        <w:pStyle w:val="Heading2"/>
        <w:spacing w:before="280" w:after="140"/>
      </w:pPr>
      <w:r>
        <w:rPr>
          <w:rFonts w:ascii="Times New Roman" w:cs="Times New Roman" w:eastAsia="Times New Roman" w:hAnsi="Times New Roman"/>
          <w:b/>
          <w:bCs/>
          <w:sz w:val="24"/>
          <w:szCs w:val="24"/>
        </w:rPr>
        <w:t xml:space="preserve">4.2. Metrici de centralitate: comparație excluși vs. incluși</w:t>
      </w:r>
    </w:p>
    <w:p>
      <w:pPr>
        <w:spacing w:before="120" w:after="120" w:line="276"/>
        <w:jc w:val="both"/>
      </w:pPr>
      <w:r>
        <w:rPr>
          <w:rFonts w:ascii="Times New Roman" w:cs="Times New Roman" w:eastAsia="Times New Roman" w:hAnsi="Times New Roman"/>
          <w:sz w:val="22"/>
          <w:szCs w:val="22"/>
        </w:rPr>
        <w:t xml:space="preserve">Tabelul 3 prezintă statisticile descriptive și rezultatele testelor Mann-Whitney U pentru compararea metricilor de centralitate între grupul deputaților excluși și al celor incluși pe lista electorală a Legislaturii I.</w:t>
      </w:r>
    </w:p>
    <w:p>
      <w:pPr>
        <w:spacing w:before="200" w:after="80"/>
        <w:jc w:val="center"/>
      </w:pPr>
      <w:r>
        <w:rPr>
          <w:rFonts w:ascii="Times New Roman" w:cs="Times New Roman" w:eastAsia="Times New Roman" w:hAnsi="Times New Roman"/>
          <w:b/>
          <w:bCs/>
          <w:i/>
          <w:iCs/>
          <w:sz w:val="20"/>
          <w:szCs w:val="20"/>
        </w:rPr>
        <w:t xml:space="preserve">Tabelul 3. Compararea metricilor de centralitate: excluși vs. incluși (Leg1)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126"/>
        <w:gridCol w:w="1100"/>
        <w:gridCol w:w="1200"/>
      </w:tblGrid>
      <w:tr>
        <w:tc>
          <w:tcPr>
            <w:tcW w:type="dxa" w:w="2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Metrică</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Excluși M (SD)</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Incluși M (SD)</w:t>
            </w:r>
          </w:p>
        </w:tc>
        <w:tc>
          <w:tcPr>
            <w:tcW w:type="dxa" w:w="11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U</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r_RB</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Degree Centrality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[U]</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w:t>
            </w:r>
          </w:p>
        </w:tc>
      </w:tr>
      <w:tr>
        <w:tc>
          <w:tcPr>
            <w:tcW w:type="dxa" w:w="2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Times New Roman" w:cs="Times New Roman" w:eastAsia="Times New Roman" w:hAnsi="Times New Roman"/>
                <w:b/>
                <w:bCs/>
                <w:sz w:val="20"/>
                <w:szCs w:val="20"/>
              </w:rPr>
              <w:t xml:space="preserve">Power Centrality (Bonacich)</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1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[U]</w:t>
            </w:r>
          </w:p>
        </w:tc>
        <w:tc>
          <w:tcPr>
            <w:tcW w:type="dxa" w:w="11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Times New Roman" w:cs="Times New Roman" w:eastAsia="Times New Roman" w:hAnsi="Times New Roman"/>
                <w:b/>
                <w:bCs/>
                <w:sz w:val="20"/>
                <w:szCs w:val="20"/>
              </w:rPr>
              <w:t xml:space="preserve">Betweenness Centrality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[U]</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w:t>
            </w:r>
          </w:p>
        </w:tc>
      </w:tr>
      <w:tr>
        <w:tc>
          <w:tcPr>
            <w:tcW w:type="dxa" w:w="2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Stress Centrality</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1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[U]</w:t>
            </w:r>
          </w:p>
        </w:tc>
        <w:tc>
          <w:tcPr>
            <w:tcW w:type="dxa" w:w="11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Prestige (PageRank)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[U]</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w:t>
            </w:r>
          </w:p>
        </w:tc>
      </w:tr>
      <w:tr>
        <w:tc>
          <w:tcPr>
            <w:tcW w:type="dxa" w:w="2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Times New Roman" w:cs="Times New Roman" w:eastAsia="Times New Roman" w:hAnsi="Times New Roman"/>
                <w:b/>
                <w:bCs/>
                <w:sz w:val="20"/>
                <w:szCs w:val="20"/>
              </w:rPr>
              <w:t xml:space="preserve">Eccentricity Centrality</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1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[U]</w:t>
            </w:r>
          </w:p>
        </w:tc>
        <w:tc>
          <w:tcPr>
            <w:tcW w:type="dxa" w:w="11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Times New Roman" w:cs="Times New Roman" w:eastAsia="Times New Roman" w:hAnsi="Times New Roman"/>
                <w:b/>
                <w:bCs/>
                <w:sz w:val="20"/>
                <w:szCs w:val="20"/>
              </w:rPr>
              <w:t xml:space="preserve">Clustering Coefficient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[U]</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w:t>
            </w:r>
          </w:p>
        </w:tc>
      </w:tr>
      <w:tr>
        <w:tc>
          <w:tcPr>
            <w:tcW w:type="dxa" w:w="2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Times New Roman" w:cs="Times New Roman" w:eastAsia="Times New Roman" w:hAnsi="Times New Roman"/>
                <w:b/>
                <w:bCs/>
                <w:sz w:val="20"/>
                <w:szCs w:val="20"/>
              </w:rPr>
              <w:t xml:space="preserve">Grad Ponderat</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1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[U]</w:t>
            </w:r>
          </w:p>
        </w:tc>
        <w:tc>
          <w:tcPr>
            <w:tcW w:type="dxa" w:w="11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Times New Roman" w:cs="Times New Roman" w:eastAsia="Times New Roman" w:hAnsi="Times New Roman"/>
                <w:b/>
                <w:bCs/>
                <w:sz w:val="20"/>
                <w:szCs w:val="20"/>
              </w:rPr>
              <w:t xml:space="preserve">Omofilie Partid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[U]</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w:t>
            </w:r>
          </w:p>
        </w:tc>
      </w:tr>
      <w:tr>
        <w:tc>
          <w:tcPr>
            <w:tcW w:type="dxa" w:w="2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Times New Roman" w:cs="Times New Roman" w:eastAsia="Times New Roman" w:hAnsi="Times New Roman"/>
                <w:b/>
                <w:bCs/>
                <w:sz w:val="20"/>
                <w:szCs w:val="20"/>
              </w:rPr>
              <w:t xml:space="preserve">Nr. Clici (≥3)</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1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[U]</w:t>
            </w:r>
          </w:p>
        </w:tc>
        <w:tc>
          <w:tcPr>
            <w:tcW w:type="dxa" w:w="11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Dimensiune Max. Clică</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 (SD)]</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[U]</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w:t>
            </w:r>
          </w:p>
        </w:tc>
      </w:tr>
    </w:tbl>
    <w:p>
      <w:pPr>
        <w:spacing w:before="60" w:after="160"/>
        <w:jc w:val="center"/>
      </w:pPr>
      <w:r>
        <w:rPr>
          <w:rFonts w:ascii="Times New Roman" w:cs="Times New Roman" w:eastAsia="Times New Roman" w:hAnsi="Times New Roman"/>
          <w:i/>
          <w:iCs/>
          <w:sz w:val="20"/>
          <w:szCs w:val="20"/>
        </w:rPr>
        <w:t xml:space="preserve">Notă: M = medie; SD = abatere standard; U = statistica Mann-Whitney; p = p-value bilateral;
r_RB = corelația rang-biserială (effect size). * p &lt; 0.05; ** p &lt; 0.01.</w:t>
      </w:r>
    </w:p>
    <w:p>
      <w:pPr>
        <w:pStyle w:val="Heading2"/>
        <w:spacing w:before="280" w:after="140"/>
      </w:pPr>
      <w:r>
        <w:rPr>
          <w:rFonts w:ascii="Times New Roman" w:cs="Times New Roman" w:eastAsia="Times New Roman" w:hAnsi="Times New Roman"/>
          <w:b/>
          <w:bCs/>
          <w:sz w:val="24"/>
          <w:szCs w:val="24"/>
        </w:rPr>
        <w:t xml:space="preserve">4.3. Rezultatele testului QAP</w:t>
      </w:r>
    </w:p>
    <w:p>
      <w:pPr>
        <w:spacing w:before="120" w:after="120" w:line="276"/>
        <w:jc w:val="both"/>
      </w:pPr>
      <w:r>
        <w:rPr>
          <w:rFonts w:ascii="Times New Roman" w:cs="Times New Roman" w:eastAsia="Times New Roman" w:hAnsi="Times New Roman"/>
          <w:sz w:val="22"/>
          <w:szCs w:val="22"/>
        </w:rPr>
        <w:t xml:space="preserve">Testul QAP (2.000 de permutări) a examinat dacă intensitatea colaborării dintre perechi de deputați este asociată cu apartenența lor la același grup de soartă electorală (ambii excluși sau ambii incluși). Corelația observată a fost r_obs = [valoare], cu p_QAP = [valoare]. [Interpretarea va fi completată în funcție de rezultatele efective.]</w:t>
      </w:r>
    </w:p>
    <w:p>
      <w:pPr>
        <w:pStyle w:val="Heading2"/>
        <w:spacing w:before="280" w:after="140"/>
      </w:pPr>
      <w:r>
        <w:rPr>
          <w:rFonts w:ascii="Times New Roman" w:cs="Times New Roman" w:eastAsia="Times New Roman" w:hAnsi="Times New Roman"/>
          <w:b/>
          <w:bCs/>
          <w:sz w:val="24"/>
          <w:szCs w:val="24"/>
        </w:rPr>
        <w:t xml:space="preserve">4.4. Performanța modelelor predictive</w:t>
      </w:r>
    </w:p>
    <w:p>
      <w:pPr>
        <w:spacing w:before="120" w:after="120" w:line="276"/>
        <w:jc w:val="both"/>
      </w:pPr>
      <w:r>
        <w:rPr>
          <w:rFonts w:ascii="Times New Roman" w:cs="Times New Roman" w:eastAsia="Times New Roman" w:hAnsi="Times New Roman"/>
          <w:sz w:val="22"/>
          <w:szCs w:val="22"/>
        </w:rPr>
        <w:t xml:space="preserve">Tabelul 4 sintetizează performanța celor trei modele în validarea LOO-CV pe Leg1 și în transferul pe Leg2.</w:t>
      </w:r>
    </w:p>
    <w:p>
      <w:pPr>
        <w:spacing w:before="200" w:after="80"/>
        <w:jc w:val="center"/>
      </w:pPr>
      <w:r>
        <w:rPr>
          <w:rFonts w:ascii="Times New Roman" w:cs="Times New Roman" w:eastAsia="Times New Roman" w:hAnsi="Times New Roman"/>
          <w:b/>
          <w:bCs/>
          <w:i/>
          <w:iCs/>
          <w:sz w:val="20"/>
          <w:szCs w:val="20"/>
        </w:rPr>
        <w:t xml:space="preserve">Tabelul 4. Performanța modelelor: LOO-CV (Leg1) vs. Transfer (Leg2)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26"/>
        <w:gridCol w:w="1100"/>
        <w:gridCol w:w="1100"/>
        <w:gridCol w:w="110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Model</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AUC Leg1</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AP Leg1</w:t>
            </w:r>
          </w:p>
        </w:tc>
        <w:tc>
          <w:tcPr>
            <w:tcW w:type="dxa" w:w="11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Brier Leg1</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AUC Leg2</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AP Leg2</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ΔAUC</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Times New Roman" w:cs="Times New Roman" w:eastAsia="Times New Roman" w:hAnsi="Times New Roman"/>
                <w:b/>
                <w:bCs/>
                <w:sz w:val="20"/>
                <w:szCs w:val="20"/>
              </w:rPr>
              <w:t xml:space="preserve">Logistic L1 (Lasso)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Random Forest</w:t>
            </w:r>
          </w:p>
        </w:tc>
        <w:tc>
          <w:tcPr>
            <w:tcW w:type="dxa" w:w="11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1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1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1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1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1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Times New Roman" w:cs="Times New Roman" w:eastAsia="Times New Roman" w:hAnsi="Times New Roman"/>
                <w:b/>
                <w:bCs/>
                <w:sz w:val="20"/>
                <w:szCs w:val="20"/>
              </w:rPr>
              <w:t xml:space="preserve">Gradient Boosting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Times New Roman" w:cs="Times New Roman" w:eastAsia="Times New Roman" w:hAnsi="Times New Roman"/>
                <w:b/>
                <w:bCs/>
                <w:sz w:val="20"/>
                <w:szCs w:val="20"/>
              </w:rPr>
              <w:t xml:space="preserve">Ensemble (medie)</w:t>
            </w:r>
          </w:p>
        </w:tc>
        <w:tc>
          <w:tcPr>
            <w:tcW w:type="dxa" w:w="11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1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1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1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1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1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r>
    </w:tbl>
    <w:p>
      <w:pPr>
        <w:spacing w:before="60" w:after="160"/>
        <w:jc w:val="center"/>
      </w:pPr>
      <w:r>
        <w:rPr>
          <w:rFonts w:ascii="Times New Roman" w:cs="Times New Roman" w:eastAsia="Times New Roman" w:hAnsi="Times New Roman"/>
          <w:i/>
          <w:iCs/>
          <w:sz w:val="20"/>
          <w:szCs w:val="20"/>
        </w:rPr>
        <w:t xml:space="preserve">Notă: AUC = Area Under ROC Curve; AP = Average Precision; Brier = Brier Score (↓ mai bun);
ΔAUC = AUC_Leg2 − AUC_Leg1 (valori negative indică degradarea la transfer).</w:t>
      </w:r>
    </w:p>
    <w:p>
      <w:pPr>
        <w:pStyle w:val="Heading1"/>
        <w:spacing w:before="360" w:after="180"/>
      </w:pPr>
      <w:r>
        <w:rPr>
          <w:rFonts w:ascii="Times New Roman" w:cs="Times New Roman" w:eastAsia="Times New Roman" w:hAnsi="Times New Roman"/>
          <w:b/>
          <w:bCs/>
          <w:sz w:val="28"/>
          <w:szCs w:val="28"/>
        </w:rPr>
        <w:t xml:space="preserve">5. Discuție</w:t>
      </w:r>
    </w:p>
    <w:p>
      <w:pPr>
        <w:pStyle w:val="Heading2"/>
        <w:spacing w:before="280" w:after="140"/>
      </w:pPr>
      <w:r>
        <w:rPr>
          <w:rFonts w:ascii="Times New Roman" w:cs="Times New Roman" w:eastAsia="Times New Roman" w:hAnsi="Times New Roman"/>
          <w:b/>
          <w:bCs/>
          <w:sz w:val="24"/>
          <w:szCs w:val="24"/>
        </w:rPr>
        <w:t xml:space="preserve">5.1. Semnificația sociologică a metricilor de rețea</w:t>
      </w:r>
    </w:p>
    <w:p>
      <w:pPr>
        <w:spacing w:before="120" w:after="120" w:line="276"/>
        <w:jc w:val="both"/>
      </w:pPr>
      <w:r>
        <w:rPr>
          <w:rFonts w:ascii="Times New Roman" w:cs="Times New Roman" w:eastAsia="Times New Roman" w:hAnsi="Times New Roman"/>
          <w:sz w:val="22"/>
          <w:szCs w:val="22"/>
        </w:rPr>
        <w:t xml:space="preserve">Rezultatele analizei de centralitate permit o lectură sociologică a arhitecturii puterii legislative. Un grad ridicat al centralității de intermediere (betweenness) semnalează un rol de broker structural în sensul lui Burt (2004): deputatul ocupă o poziție de punte între subgrupuri altfel deconectate, acumulând un capital social de punte considerat, în general, un avantaj strategic.</w:t>
      </w:r>
    </w:p>
    <w:p>
      <w:pPr>
        <w:spacing w:before="120" w:after="120" w:line="276"/>
        <w:jc w:val="both"/>
      </w:pPr>
      <w:r>
        <w:rPr>
          <w:rFonts w:ascii="Times New Roman" w:cs="Times New Roman" w:eastAsia="Times New Roman" w:hAnsi="Times New Roman"/>
          <w:sz w:val="22"/>
          <w:szCs w:val="22"/>
        </w:rPr>
        <w:t xml:space="preserve">Paradoxal, tocmai această poziție poate constitui un factor de risc în contextul listelor de partid: un broker structural este mai puțin integrat în grupurile coezive din jurul liderilor de partid, ceea ce îl poate face mai vulnerabil la deciziile centralizate de selecție a candidaților. Această ipoteză este consistentă cu teoria lui Coleman (1988) privind capitalul social al închiderii (closure): apartenența la clici dense, nu brokeriatul structural, conferă protecție în rețelele cu norme de solidaritate puternică, cum sunt fracțiunile parlamentare.</w:t>
      </w:r>
    </w:p>
    <w:p>
      <w:pPr>
        <w:pStyle w:val="Heading2"/>
        <w:spacing w:before="280" w:after="140"/>
      </w:pPr>
      <w:r>
        <w:rPr>
          <w:rFonts w:ascii="Times New Roman" w:cs="Times New Roman" w:eastAsia="Times New Roman" w:hAnsi="Times New Roman"/>
          <w:b/>
          <w:bCs/>
          <w:sz w:val="24"/>
          <w:szCs w:val="24"/>
        </w:rPr>
        <w:t xml:space="preserve">5.2. Limitările analizei</w:t>
      </w:r>
    </w:p>
    <w:p>
      <w:pPr>
        <w:spacing w:before="120" w:after="120" w:line="276"/>
        <w:jc w:val="both"/>
      </w:pPr>
      <w:r>
        <w:rPr>
          <w:rFonts w:ascii="Times New Roman" w:cs="Times New Roman" w:eastAsia="Times New Roman" w:hAnsi="Times New Roman"/>
          <w:sz w:val="22"/>
          <w:szCs w:val="22"/>
        </w:rPr>
        <w:t xml:space="preserve">Studiul prezintă mai multe limitări care trebuie luate în considerare la interpretarea rezultatelor. Prima și cea mai importantă este dimensiunea redusă a eșantionului de deputați excluși (N &lt; 20 pentru Legislatura I), ceea ce limitează puterea statistică a testelor și crește riscul de fals negativ.</w:t>
      </w:r>
    </w:p>
    <w:p>
      <w:pPr>
        <w:spacing w:before="120" w:after="120" w:line="276"/>
        <w:jc w:val="both"/>
      </w:pPr>
      <w:r>
        <w:rPr>
          <w:rFonts w:ascii="Times New Roman" w:cs="Times New Roman" w:eastAsia="Times New Roman" w:hAnsi="Times New Roman"/>
          <w:sz w:val="22"/>
          <w:szCs w:val="22"/>
        </w:rPr>
        <w:t xml:space="preserve">O a doua limitare ține de natura datelor: co-autoriatul legislativ capturează exclusiv dimensiunea formală a cooperării parlamentare. Negocierile informale, loialitățile personale, relațiile de tip patron-client și conflictele ideologice intra-partid rămân invizibile în această formă de date.</w:t>
      </w:r>
    </w:p>
    <w:p>
      <w:pPr>
        <w:spacing w:before="120" w:after="120" w:line="276"/>
        <w:jc w:val="both"/>
      </w:pPr>
      <w:r>
        <w:rPr>
          <w:rFonts w:ascii="Times New Roman" w:cs="Times New Roman" w:eastAsia="Times New Roman" w:hAnsi="Times New Roman"/>
          <w:sz w:val="22"/>
          <w:szCs w:val="22"/>
        </w:rPr>
        <w:t xml:space="preserve">În al treilea rând, variabila dependentă (excluderea de pe lista electorală) este tratată ca binară, pierzând informații despre poziția pe listă (locuri eligibile vs. neeligibile), care ar constitui o variabilă dependentă mai nuanțată.</w:t>
      </w:r>
    </w:p>
    <w:p>
      <w:pPr>
        <w:spacing w:before="120" w:after="120" w:line="276"/>
        <w:jc w:val="both"/>
      </w:pPr>
      <w:r>
        <w:rPr>
          <w:rFonts w:ascii="Times New Roman" w:cs="Times New Roman" w:eastAsia="Times New Roman" w:hAnsi="Times New Roman"/>
          <w:sz w:val="22"/>
          <w:szCs w:val="22"/>
        </w:rPr>
        <w:t xml:space="preserve">În fine, ipoteza de transfer — stabilitatea pattern-urilor structurale asociate cu excluderea între legislaturi — rămâne o ipoteză empirică supusă testării. Analiza driftului structural oferă un test parțial al acestei ipoteze, dar nu poate exclude schimbări în criteriile de selecție neobservabile din date.</w:t>
      </w:r>
    </w:p>
    <w:p>
      <w:pPr>
        <w:pStyle w:val="Heading2"/>
        <w:spacing w:before="280" w:after="140"/>
      </w:pPr>
      <w:r>
        <w:rPr>
          <w:rFonts w:ascii="Times New Roman" w:cs="Times New Roman" w:eastAsia="Times New Roman" w:hAnsi="Times New Roman"/>
          <w:b/>
          <w:bCs/>
          <w:sz w:val="24"/>
          <w:szCs w:val="24"/>
        </w:rPr>
        <w:t xml:space="preserve">5.3. Contribuții și direcții viitoare</w:t>
      </w:r>
    </w:p>
    <w:p>
      <w:pPr>
        <w:spacing w:before="120" w:after="120" w:line="276"/>
        <w:jc w:val="both"/>
      </w:pPr>
      <w:r>
        <w:rPr>
          <w:rFonts w:ascii="Times New Roman" w:cs="Times New Roman" w:eastAsia="Times New Roman" w:hAnsi="Times New Roman"/>
          <w:sz w:val="22"/>
          <w:szCs w:val="22"/>
        </w:rPr>
        <w:t xml:space="preserve">Studiul contribuie la literatura de sociologie parlamentară prin propunerea unui pipeline metodologic replicabil pentru analiza structurii rețelelor legislative și a corelației acesteia cu dinamicile de selecție electorală. Codul sursă complet este disponibil public, facilitând replicarea și extinderea analizei la alte parlamente sau perioade.</w:t>
      </w:r>
    </w:p>
    <w:p>
      <w:pPr>
        <w:spacing w:before="120" w:after="120" w:line="276"/>
        <w:jc w:val="both"/>
      </w:pPr>
      <w:r>
        <w:rPr>
          <w:rFonts w:ascii="Times New Roman" w:cs="Times New Roman" w:eastAsia="Times New Roman" w:hAnsi="Times New Roman"/>
          <w:sz w:val="22"/>
          <w:szCs w:val="22"/>
        </w:rPr>
        <w:t xml:space="preserve">Direcțiile viitoare includ: (1) extinderea analizei longitudinale la sesiuni parlamentare individuale, pentru a surprinde evoluția în timp a centralității deputaților; (2) integrarea datelor despre votul final (roll call) ca sursă alternativă sau complementară de co-autoriat; (3) aplicarea modelelor de comunitate (community detection) pentru identificarea blocurilor de alianță și analiza omogeniei lor politice; și (4) extinderea comparativă la alte legislaturi din fostul spațiu sovietic, pentru testarea generalității modelului de transfer.</w:t>
      </w:r>
    </w:p>
    <w:p>
      <w:pPr>
        <w:pStyle w:val="Heading1"/>
        <w:spacing w:before="360" w:after="180"/>
      </w:pPr>
      <w:r>
        <w:rPr>
          <w:rFonts w:ascii="Times New Roman" w:cs="Times New Roman" w:eastAsia="Times New Roman" w:hAnsi="Times New Roman"/>
          <w:b/>
          <w:bCs/>
          <w:sz w:val="28"/>
          <w:szCs w:val="28"/>
        </w:rPr>
        <w:t xml:space="preserve">6. Concluzii</w:t>
      </w:r>
    </w:p>
    <w:p>
      <w:pPr>
        <w:spacing w:before="120" w:after="120" w:line="276"/>
        <w:jc w:val="both"/>
      </w:pPr>
      <w:r>
        <w:rPr>
          <w:rFonts w:ascii="Times New Roman" w:cs="Times New Roman" w:eastAsia="Times New Roman" w:hAnsi="Times New Roman"/>
          <w:sz w:val="22"/>
          <w:szCs w:val="22"/>
        </w:rPr>
        <w:t xml:space="preserve">Studiul de față a demonstrat fezabilitatea unei abordări computaționale pentru analiza structurii rețelelor de co-autoriat legislativ și pentru predicția riscului de excludere electorală intra-partid. Prin combinarea tehnicilor de analiză a rețelelor sociale cu modelele de machine learning și cu validarea prin transfer cross-legislatură, am construit un pipeline metodologic care poate fi aplicat sistematic oricărui legislativ care publică date despre inițiativele legislative.</w:t>
      </w:r>
    </w:p>
    <w:p>
      <w:pPr>
        <w:spacing w:before="120" w:after="120" w:line="276"/>
        <w:jc w:val="both"/>
      </w:pPr>
      <w:r>
        <w:rPr>
          <w:rFonts w:ascii="Times New Roman" w:cs="Times New Roman" w:eastAsia="Times New Roman" w:hAnsi="Times New Roman"/>
          <w:sz w:val="22"/>
          <w:szCs w:val="22"/>
        </w:rPr>
        <w:t xml:space="preserve">Principalele concluzii empirice — sub rezerva confirmării prin completarea valorilor reale din analiza datelor — sugerează că poziția structurală a unui deputat în rețeaua de co-autoriat constituie un indicator relevant, deși nu suficient, al vulnerabilității sale electorale intra-partid. Integrarea acestor metrici structurale cu date privind comportamentul de vot și caracteristicile individuale ale deputaților reprezintă o agendă de cercetare promițătoare pentru sociologia parlamentară computațională.</w:t>
      </w:r>
    </w:p>
    <w:p>
      <w:pPr>
        <w:pStyle w:val="Heading1"/>
        <w:spacing w:before="360" w:after="180"/>
      </w:pPr>
      <w:r>
        <w:rPr>
          <w:rFonts w:ascii="Times New Roman" w:cs="Times New Roman" w:eastAsia="Times New Roman" w:hAnsi="Times New Roman"/>
          <w:b/>
          <w:bCs/>
          <w:sz w:val="28"/>
          <w:szCs w:val="28"/>
        </w:rPr>
        <w:t xml:space="preserve">Referințe</w:t>
      </w:r>
    </w:p>
    <w:p>
      <w:pPr>
        <w:spacing w:before="80" w:after="80" w:line="260"/>
        <w:ind w:left="720" w:hanging="720"/>
        <w:jc w:val="both"/>
      </w:pPr>
      <w:r>
        <w:rPr>
          <w:rFonts w:ascii="Times New Roman" w:cs="Times New Roman" w:eastAsia="Times New Roman" w:hAnsi="Times New Roman"/>
          <w:sz w:val="20"/>
          <w:szCs w:val="20"/>
        </w:rPr>
        <w:t xml:space="preserve">Arlot, S., &amp; Celisse, A. (2010). A survey of cross-validation procedures for model selection. Statistics Surveys, 4, 40–79.</w:t>
      </w:r>
    </w:p>
    <w:p>
      <w:pPr>
        <w:spacing w:before="80" w:after="80" w:line="260"/>
        <w:ind w:left="720" w:hanging="720"/>
        <w:jc w:val="both"/>
      </w:pPr>
      <w:r>
        <w:rPr>
          <w:rFonts w:ascii="Times New Roman" w:cs="Times New Roman" w:eastAsia="Times New Roman" w:hAnsi="Times New Roman"/>
          <w:sz w:val="20"/>
          <w:szCs w:val="20"/>
        </w:rPr>
        <w:t xml:space="preserve">Borgatti, S. P., Everett, M. G., &amp; Johnson, J. C. (2018). Analyzing Social Networks (2nd ed.). SAGE Publications.</w:t>
      </w:r>
    </w:p>
    <w:p>
      <w:pPr>
        <w:spacing w:before="80" w:after="80" w:line="260"/>
        <w:ind w:left="720" w:hanging="720"/>
        <w:jc w:val="both"/>
      </w:pPr>
      <w:r>
        <w:rPr>
          <w:rFonts w:ascii="Times New Roman" w:cs="Times New Roman" w:eastAsia="Times New Roman" w:hAnsi="Times New Roman"/>
          <w:sz w:val="20"/>
          <w:szCs w:val="20"/>
        </w:rPr>
        <w:t xml:space="preserve">Bourdieu, P. (1986). The Forms of Capital. In J. G. Richardson (Ed.), Handbook of Theory and Research for the Sociology of Education (pp. 241–258). Greenwood.</w:t>
      </w:r>
    </w:p>
    <w:p>
      <w:pPr>
        <w:spacing w:before="80" w:after="80" w:line="260"/>
        <w:ind w:left="720" w:hanging="720"/>
        <w:jc w:val="both"/>
      </w:pPr>
      <w:r>
        <w:rPr>
          <w:rFonts w:ascii="Times New Roman" w:cs="Times New Roman" w:eastAsia="Times New Roman" w:hAnsi="Times New Roman"/>
          <w:sz w:val="20"/>
          <w:szCs w:val="20"/>
        </w:rPr>
        <w:t xml:space="preserve">Brin, S., &amp; Page, L. (1998). The anatomy of a large-scale hypertextual Web search engine. Computer Networks and ISDN Systems, 30(1–7), 107–117.</w:t>
      </w:r>
    </w:p>
    <w:p>
      <w:pPr>
        <w:spacing w:before="80" w:after="80" w:line="260"/>
        <w:ind w:left="720" w:hanging="720"/>
        <w:jc w:val="both"/>
      </w:pPr>
      <w:r>
        <w:rPr>
          <w:rFonts w:ascii="Times New Roman" w:cs="Times New Roman" w:eastAsia="Times New Roman" w:hAnsi="Times New Roman"/>
          <w:sz w:val="20"/>
          <w:szCs w:val="20"/>
        </w:rPr>
        <w:t xml:space="preserve">Bron, C., &amp; Kerbosch, J. (1973). Algorithm 457: finding all cliques of an undirected graph. Communications of the ACM, 16(9), 575–577.</w:t>
      </w:r>
    </w:p>
    <w:p>
      <w:pPr>
        <w:spacing w:before="80" w:after="80" w:line="260"/>
        <w:ind w:left="720" w:hanging="720"/>
        <w:jc w:val="both"/>
      </w:pPr>
      <w:r>
        <w:rPr>
          <w:rFonts w:ascii="Times New Roman" w:cs="Times New Roman" w:eastAsia="Times New Roman" w:hAnsi="Times New Roman"/>
          <w:sz w:val="20"/>
          <w:szCs w:val="20"/>
        </w:rPr>
        <w:t xml:space="preserve">Burt, R. S. (2004). Structural holes and good ideas. American Journal of Sociology, 110(2), 349–399.</w:t>
      </w:r>
    </w:p>
    <w:p>
      <w:pPr>
        <w:spacing w:before="80" w:after="80" w:line="260"/>
        <w:ind w:left="720" w:hanging="720"/>
        <w:jc w:val="both"/>
      </w:pPr>
      <w:r>
        <w:rPr>
          <w:rFonts w:ascii="Times New Roman" w:cs="Times New Roman" w:eastAsia="Times New Roman" w:hAnsi="Times New Roman"/>
          <w:sz w:val="20"/>
          <w:szCs w:val="20"/>
        </w:rPr>
        <w:t xml:space="preserve">Carey, J. M. (2009). Legislative Voting and Accountability. Cambridge University Press.</w:t>
      </w:r>
    </w:p>
    <w:p>
      <w:pPr>
        <w:spacing w:before="80" w:after="80" w:line="260"/>
        <w:ind w:left="720" w:hanging="720"/>
        <w:jc w:val="both"/>
      </w:pPr>
      <w:r>
        <w:rPr>
          <w:rFonts w:ascii="Times New Roman" w:cs="Times New Roman" w:eastAsia="Times New Roman" w:hAnsi="Times New Roman"/>
          <w:sz w:val="20"/>
          <w:szCs w:val="20"/>
        </w:rPr>
        <w:t xml:space="preserve">Cherepnalkoski, D., &amp; Mozetič, I. (2016). Retweet networks of the European Parliament: Evaluation of the 2014 elections. PLOS ONE, 11(8), e0158660.</w:t>
      </w:r>
    </w:p>
    <w:p>
      <w:pPr>
        <w:spacing w:before="80" w:after="80" w:line="260"/>
        <w:ind w:left="720" w:hanging="720"/>
        <w:jc w:val="both"/>
      </w:pPr>
      <w:r>
        <w:rPr>
          <w:rFonts w:ascii="Times New Roman" w:cs="Times New Roman" w:eastAsia="Times New Roman" w:hAnsi="Times New Roman"/>
          <w:sz w:val="20"/>
          <w:szCs w:val="20"/>
        </w:rPr>
        <w:t xml:space="preserve">Coleman, J. S. (1988). Social capital in the creation of human capital. American Journal of Sociology, 94(Suppl.), S95–S120.</w:t>
      </w:r>
    </w:p>
    <w:p>
      <w:pPr>
        <w:spacing w:before="80" w:after="80" w:line="260"/>
        <w:ind w:left="720" w:hanging="720"/>
        <w:jc w:val="both"/>
      </w:pPr>
      <w:r>
        <w:rPr>
          <w:rFonts w:ascii="Times New Roman" w:cs="Times New Roman" w:eastAsia="Times New Roman" w:hAnsi="Times New Roman"/>
          <w:sz w:val="20"/>
          <w:szCs w:val="20"/>
        </w:rPr>
        <w:t xml:space="preserve">Fowler, J. H. (2006). Connecting the Congress: A study of cosponsorship networks. Political Analysis, 14(4), 456–487.</w:t>
      </w:r>
    </w:p>
    <w:p>
      <w:pPr>
        <w:spacing w:before="80" w:after="80" w:line="260"/>
        <w:ind w:left="720" w:hanging="720"/>
        <w:jc w:val="both"/>
      </w:pPr>
      <w:r>
        <w:rPr>
          <w:rFonts w:ascii="Times New Roman" w:cs="Times New Roman" w:eastAsia="Times New Roman" w:hAnsi="Times New Roman"/>
          <w:sz w:val="20"/>
          <w:szCs w:val="20"/>
        </w:rPr>
        <w:t xml:space="preserve">Gallagher, M., &amp; Mitchell, P. (Eds.). (2008). The Politics of Electoral Systems. Oxford University Press.</w:t>
      </w:r>
    </w:p>
    <w:p>
      <w:pPr>
        <w:spacing w:before="80" w:after="80" w:line="260"/>
        <w:ind w:left="720" w:hanging="720"/>
        <w:jc w:val="both"/>
      </w:pPr>
      <w:r>
        <w:rPr>
          <w:rFonts w:ascii="Times New Roman" w:cs="Times New Roman" w:eastAsia="Times New Roman" w:hAnsi="Times New Roman"/>
          <w:sz w:val="20"/>
          <w:szCs w:val="20"/>
        </w:rPr>
        <w:t xml:space="preserve">Gama, J., Žliobaitė, I., Bifet, A., Pechenizkiy, M., &amp; Bouchachia, A. (2014). A survey on concept drift adaptation. ACM Computing Surveys, 46(4), 1–37.</w:t>
      </w:r>
    </w:p>
    <w:p>
      <w:pPr>
        <w:spacing w:before="80" w:after="80" w:line="260"/>
        <w:ind w:left="720" w:hanging="720"/>
        <w:jc w:val="both"/>
      </w:pPr>
      <w:r>
        <w:rPr>
          <w:rFonts w:ascii="Times New Roman" w:cs="Times New Roman" w:eastAsia="Times New Roman" w:hAnsi="Times New Roman"/>
          <w:sz w:val="20"/>
          <w:szCs w:val="20"/>
        </w:rPr>
        <w:t xml:space="preserve">Háček, M., &amp; Balík, S. (2021). Legislative networks in post-communist Europe. East European Politics, 37(2), 215–234.</w:t>
      </w:r>
    </w:p>
    <w:p>
      <w:pPr>
        <w:spacing w:before="80" w:after="80" w:line="260"/>
        <w:ind w:left="720" w:hanging="720"/>
        <w:jc w:val="both"/>
      </w:pPr>
      <w:r>
        <w:rPr>
          <w:rFonts w:ascii="Times New Roman" w:cs="Times New Roman" w:eastAsia="Times New Roman" w:hAnsi="Times New Roman"/>
          <w:sz w:val="20"/>
          <w:szCs w:val="20"/>
        </w:rPr>
        <w:t xml:space="preserve">Katz, R. S., &amp; Mair, P. (1993). The evolution of party organizations in Europe: The three faces of party organization. American Review of Politics, 14, 593–617.</w:t>
      </w:r>
    </w:p>
    <w:p>
      <w:pPr>
        <w:spacing w:before="80" w:after="80" w:line="260"/>
        <w:ind w:left="720" w:hanging="720"/>
        <w:jc w:val="both"/>
      </w:pPr>
      <w:r>
        <w:rPr>
          <w:rFonts w:ascii="Times New Roman" w:cs="Times New Roman" w:eastAsia="Times New Roman" w:hAnsi="Times New Roman"/>
          <w:sz w:val="20"/>
          <w:szCs w:val="20"/>
        </w:rPr>
        <w:t xml:space="preserve">Knoke, D. (1990). Political Networks: The Structural Perspective. Cambridge University Press.</w:t>
      </w:r>
    </w:p>
    <w:p>
      <w:pPr>
        <w:spacing w:before="80" w:after="80" w:line="260"/>
        <w:ind w:left="720" w:hanging="720"/>
        <w:jc w:val="both"/>
      </w:pPr>
      <w:r>
        <w:rPr>
          <w:rFonts w:ascii="Times New Roman" w:cs="Times New Roman" w:eastAsia="Times New Roman" w:hAnsi="Times New Roman"/>
          <w:sz w:val="20"/>
          <w:szCs w:val="20"/>
        </w:rPr>
        <w:t xml:space="preserve">Krackhardt, D. (1987). QAP partialling as a test of spuriousness. Social Networks, 9(2), 171–186.</w:t>
      </w:r>
    </w:p>
    <w:p>
      <w:pPr>
        <w:spacing w:before="80" w:after="80" w:line="260"/>
        <w:ind w:left="720" w:hanging="720"/>
        <w:jc w:val="both"/>
      </w:pPr>
      <w:r>
        <w:rPr>
          <w:rFonts w:ascii="Times New Roman" w:cs="Times New Roman" w:eastAsia="Times New Roman" w:hAnsi="Times New Roman"/>
          <w:sz w:val="20"/>
          <w:szCs w:val="20"/>
        </w:rPr>
        <w:t xml:space="preserve">Lin, N. (2001). Social Capital: A Theory of Social Structure and Action. Cambridge University Press.</w:t>
      </w:r>
    </w:p>
    <w:p>
      <w:pPr>
        <w:spacing w:before="80" w:after="80" w:line="260"/>
        <w:ind w:left="720" w:hanging="720"/>
        <w:jc w:val="both"/>
      </w:pPr>
      <w:r>
        <w:rPr>
          <w:rFonts w:ascii="Times New Roman" w:cs="Times New Roman" w:eastAsia="Times New Roman" w:hAnsi="Times New Roman"/>
          <w:sz w:val="20"/>
          <w:szCs w:val="20"/>
        </w:rPr>
        <w:t xml:space="preserve">Manski, C. F. (1993). Identification of endogenous social effects: The reflection problem. Review of Economic Studies, 60(3), 531–542.</w:t>
      </w:r>
    </w:p>
    <w:p>
      <w:pPr>
        <w:spacing w:before="80" w:after="80" w:line="260"/>
        <w:ind w:left="720" w:hanging="720"/>
        <w:jc w:val="both"/>
      </w:pPr>
      <w:r>
        <w:rPr>
          <w:rFonts w:ascii="Times New Roman" w:cs="Times New Roman" w:eastAsia="Times New Roman" w:hAnsi="Times New Roman"/>
          <w:sz w:val="20"/>
          <w:szCs w:val="20"/>
        </w:rPr>
        <w:t xml:space="preserve">Platt, J. (1999). Probabilistic outputs for support vector machines. In A. Smola, P. Bartlett, B. Schölkopf, &amp; D. Schuurmans (Eds.), Advances in Large Margin Classifiers (pp. 61–74). MIT Press.</w:t>
      </w:r>
    </w:p>
    <w:p>
      <w:pPr>
        <w:spacing w:before="80" w:after="80" w:line="260"/>
        <w:ind w:left="720" w:hanging="720"/>
        <w:jc w:val="both"/>
      </w:pPr>
      <w:r>
        <w:rPr>
          <w:rFonts w:ascii="Times New Roman" w:cs="Times New Roman" w:eastAsia="Times New Roman" w:hAnsi="Times New Roman"/>
          <w:sz w:val="20"/>
          <w:szCs w:val="20"/>
        </w:rPr>
        <w:t xml:space="preserve">Porter, M. A., Mucha, P. J., Newman, M. E. J., &amp; Warmbrand, C. M. (2005). A network analysis of committees in the US House of Representatives. Proceedings of the National Academy of Sciences, 102(20), 7057–7062.</w:t>
      </w:r>
    </w:p>
    <w:p>
      <w:pPr>
        <w:spacing w:before="80" w:after="80" w:line="260"/>
        <w:ind w:left="720" w:hanging="720"/>
        <w:jc w:val="both"/>
      </w:pPr>
      <w:r>
        <w:rPr>
          <w:rFonts w:ascii="Times New Roman" w:cs="Times New Roman" w:eastAsia="Times New Roman" w:hAnsi="Times New Roman"/>
          <w:sz w:val="20"/>
          <w:szCs w:val="20"/>
        </w:rPr>
        <w:t xml:space="preserve">Putnam, R. D. (2000). Bowling Alone: The Collapse and Revival of American Community. Simon &amp; Schuster.</w:t>
      </w:r>
    </w:p>
    <w:p>
      <w:pPr>
        <w:spacing w:before="80" w:after="80" w:line="260"/>
        <w:ind w:left="720" w:hanging="720"/>
        <w:jc w:val="both"/>
      </w:pPr>
      <w:r>
        <w:rPr>
          <w:rFonts w:ascii="Times New Roman" w:cs="Times New Roman" w:eastAsia="Times New Roman" w:hAnsi="Times New Roman"/>
          <w:sz w:val="20"/>
          <w:szCs w:val="20"/>
        </w:rPr>
        <w:t xml:space="preserve">Wasserman, S., &amp; Faust, K. (1994). Social Network Analysis: Methods and Applications. Cambridge University Press.</w:t>
      </w:r>
    </w:p>
    <w:p>
      <w:pPr>
        <w:spacing w:before="80" w:after="80" w:line="260"/>
        <w:ind w:left="720" w:hanging="720"/>
        <w:jc w:val="both"/>
      </w:pPr>
      <w:r>
        <w:rPr>
          <w:rFonts w:ascii="Times New Roman" w:cs="Times New Roman" w:eastAsia="Times New Roman" w:hAnsi="Times New Roman"/>
          <w:sz w:val="20"/>
          <w:szCs w:val="20"/>
        </w:rPr>
        <w:t xml:space="preserve">Weiss, K., Khoshgoftaar, T. M., &amp; Wang, D. (2016). A survey of transfer learning. Journal of Big Data, 3(1), 9.</w:t>
      </w:r>
    </w:p>
    <w:sectPr>
      <w:headerReference w:type="default" r:id="rId6"/>
      <w:footerReference w:type="default" r:id="rId7"/>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Times New Roman" w:cs="Times New Roman" w:eastAsia="Times New Roman" w:hAnsi="Times New Roman"/>
        <w:color w:val="64748B"/>
        <w:sz w:val="18"/>
        <w:szCs w:val="18"/>
      </w:rPr>
      <w:t xml:space="preserve">Parlamentul Republicii Moldova, Legislaturile 2021–2025 și 2025–2029</w:t>
    </w:r>
    <w:r>
      <w:rPr>
        <w:rFonts w:ascii="Times New Roman" w:cs="Times New Roman" w:eastAsia="Times New Roman" w:hAnsi="Times New Roman"/>
        <w:color w:val="CCCCCC"/>
        <w:sz w:val="18"/>
        <w:szCs w:val="18"/>
      </w:rPr>
      <w:t xml:space="preserve">   |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Times New Roman" w:cs="Times New Roman" w:eastAsia="Times New Roman" w:hAnsi="Times New Roman"/>
        <w:i/>
        <w:iCs/>
        <w:color w:val="64748B"/>
        <w:sz w:val="18"/>
        <w:szCs w:val="18"/>
      </w:rPr>
      <w:t xml:space="preserve">Analiza rețelelor de co-autoriat legislativ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4" w:space="4"/>
      </w:pBdr>
      <w:spacing w:before="360" w:after="18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1F3864"/>
      <w:sz w:val="24"/>
      <w:szCs w:val="24"/>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i/>
      <w:i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2026-02-20T11:42:16.678Z</dcterms:created>
  <dcterms:modified xsi:type="dcterms:W3CDTF">2026-02-20T11:42:16.678Z</dcterms:modified>
</cp:coreProperties>
</file>

<file path=docProps/custom.xml><?xml version="1.0" encoding="utf-8"?>
<Properties xmlns="http://schemas.openxmlformats.org/officeDocument/2006/custom-properties" xmlns:vt="http://schemas.openxmlformats.org/officeDocument/2006/docPropsVTypes"/>
</file>