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Octavio Luis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720" w:right="-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octavio.morales.luis@gmail.com | Bloomfield, NJ | (973) 262 - 4100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https://octavio-morales.netlify.app/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Hoboken, NJ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May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3.282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W. Mitro Scholarship, Edwin A. Stevens Scholarship, NACME Scholarship, Dean’s 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Structures, Algorithms, Web Programming, Concurrent Programming, Machine Learning, Agile Methods for Software Development, Computer Architecture and Organization, Systems Programming, Principles of Computer Programming, Discrete Structures, 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C, C#, C++, Groovy, JavaScript, HTML, CSS, SQL, React,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 Code, Visual Studio, Unity (2D), Eclipse, IntelliJ, AWS, Oracle Virtualbox, Flutter, Docker, macOS, Windows, Linux, Canva, Jira, Trello,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16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CreAIture: AI-Powered Video Chat Filter Application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Stevens Institute of Technology Senior Design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September 2024 - Present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an AI-powered application using TensorFlow to enhance user engagement by enabling real-time video chat filters that adapt to speech context, thereby streamlining conversations through automated filter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Directing a team of five in constructing system architecture and middleware with Flask and WebSockets, facilitating integration with streaming applications while leveraging open-source filters.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Bankruptcy Prediction Model |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Machine Learning Project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2024 - May 2024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a team of four in creating a machine learning model that achieved 82% accuracy in predicting company bankruptcy, utilizing task coordination, feature selection, securing 2nd place among 14 groups.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Streamlined 95 bankruptcy indicators down to 31, significantly improving model efficiency and accuracy by identifying the most pertinent data attributes and integrating various predictive models.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TinyChat: Concurrent Programming Chat Application |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Concurrent Programming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2023 - November 2023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actor-based concurrency with Erlang pipelines to enhance message passing and communication, facilitating seamless interactions among clients, servers, and chatrooms.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scalable functionalities for chatroom participation, messaging, and nickname management, ensuring responsiveness and minimal latency in a concurrent multi-process environment.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 System Developer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Bloomfield, NJ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Entrepreneur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2024 - August 2024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transaction efficiency and user experience by designing a user-friendly point of sale system with Visual Studio, leveraging C# for robust backend functionality, and employing SQL for effective data management to streamline student organization events.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Elevated system performance by incorporating employer insights and user feedback, driving alignment with project goals and maximizing operational effectiveness throughout the development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  <w:tab/>
        <w:t xml:space="preserve"> EXPERIENCE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Government Association, 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February 2023 - Present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Oversaw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club’s budget allocations using Google Sheets and DuckLink, supporting the needs of all campus organizations while only using 60% of the previous year’s funding.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Expanded support for LatinX organizations by creating and implementing targeted social media campaigns, leading to increased visibility, engagement, and participation in various campus events and initiatives.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ACTIVITIES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LatinX Council- President, Vice President of Operations; La Unidad Latina, Lambda Upsilon Lambda Fraternity, Incorporated- Secretary, Treasurer, Academic Chair; Stevens Bowling Team- Vice President; Society of Hispanic Professional Engineers; Latin American Association; Order of Omega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tavio-morales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