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酒店标准：ACME 酒店或同级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第1天 甲城-乙城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用餐：早：含 中：自理 晚：含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住宿：ACME 酒店或同级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参观【ACME 宫（外观）】（不少于1小时），门票不含。</w:t>
            </w:r>
          </w:p>
        </w:tc>
        <w:tc>
          <w:tcPr>
            <w:tcW w:type="dxa" w:w="4320"/>
          </w:tcPr>
          <w:p>
            <w:r/>
          </w:p>
          <w:p>
            <w:r>
              <w:br w:type="page"/>
            </w:r>
          </w:p>
        </w:tc>
      </w:tr>
      <w:tr>
        <w:tc>
          <w:tcPr>
            <w:tcW w:type="dxa" w:w="4320"/>
          </w:tcPr>
          <w:p>
            <w:r>
              <w:t>第2天 乙城-甲城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用餐：早：含 中：自理 晚：自理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住宿：无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乘坐巴士返回甲城，结束行程。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费用包含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巴士接送；ACME 酒店住宿。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费用不含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个人消费。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旅游注意事项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退团政策：出发前7天取消，收取20%。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