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4–6月版</w:t>
      </w:r>
    </w:p>
    <w:p>
      <w:r>
        <w:t>酒店标准：ACME 酒店或同级</w:t>
      </w:r>
    </w:p>
    <w:p>
      <w:r>
        <w:t>第1天 甲城-乙城</w:t>
      </w:r>
    </w:p>
    <w:p>
      <w:r>
        <w:t>用餐：早：含 中：自理 晚：含</w:t>
      </w:r>
    </w:p>
    <w:p>
      <w:r>
        <w:t>住宿：ACME 酒店或同级</w:t>
      </w:r>
    </w:p>
    <w:p>
      <w:r>
        <w:t>参观【ACME 宫（外观）】（不少于1小时），门票不含。</w:t>
      </w:r>
    </w:p>
    <w:p>
      <w:r>
        <w:t>第2天 乙城-甲城</w:t>
      </w:r>
    </w:p>
    <w:p>
      <w:r>
        <w:t>用餐：早：含 中：自理 晚：自理</w:t>
      </w:r>
    </w:p>
    <w:p>
      <w:r>
        <w:t>住宿：无</w:t>
      </w:r>
    </w:p>
    <w:p>
      <w:r>
        <w:t>乘坐巴士返回甲城，结束行程。</w:t>
      </w:r>
    </w:p>
    <w:p>
      <w:r>
        <w:t>7–8月版</w:t>
      </w:r>
    </w:p>
    <w:p>
      <w:r>
        <w:t>酒店标准：ACME 酒店或同级</w:t>
      </w:r>
    </w:p>
    <w:p>
      <w:r>
        <w:t>第1天 甲城-乙城</w:t>
      </w:r>
    </w:p>
    <w:p>
      <w:r>
        <w:t>用餐：早：含 中：自理 晚：含</w:t>
      </w:r>
    </w:p>
    <w:p>
      <w:r>
        <w:t>住宿：ACME 酒店或同级</w:t>
      </w:r>
    </w:p>
    <w:p>
      <w:r>
        <w:t>参观【ACME 宫（外观）】（不少于1小时），门票不含。</w:t>
      </w:r>
    </w:p>
    <w:p>
      <w:r>
        <w:t>第2天 乙城-甲城</w:t>
      </w:r>
    </w:p>
    <w:p>
      <w:r>
        <w:t>用餐：早：含 中：自理 晚：自理</w:t>
      </w:r>
    </w:p>
    <w:p>
      <w:r>
        <w:t>住宿：无</w:t>
      </w:r>
    </w:p>
    <w:p>
      <w:r>
        <w:t>乘坐巴士返回甲城，结束行程。</w:t>
      </w:r>
    </w:p>
    <w:p>
      <w:r>
        <w:t>费用包含</w:t>
      </w:r>
    </w:p>
    <w:p>
      <w:r>
        <w:t>巴士接送；ACME 酒店住宿。</w:t>
      </w:r>
    </w:p>
    <w:p>
      <w:r>
        <w:t>费用不含</w:t>
      </w:r>
    </w:p>
    <w:p>
      <w:r>
        <w:t>个人消费。</w:t>
      </w:r>
    </w:p>
    <w:p>
      <w:r>
        <w:t>旅游注意事项</w:t>
      </w:r>
    </w:p>
    <w:p>
      <w:r>
        <w:t>退团政策：出发前7天取消，收取20%。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