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费用包含</w:t>
            </w:r>
          </w:p>
        </w:tc>
        <w:tc>
          <w:tcPr>
            <w:tcW w:type="dxa" w:w="4320"/>
          </w:tcPr>
          <w:p>
            <w:r>
              <w:t>费用不含</w:t>
            </w:r>
          </w:p>
        </w:tc>
      </w:tr>
      <w:tr>
        <w:tc>
          <w:tcPr>
            <w:tcW w:type="dxa" w:w="4320"/>
          </w:tcPr>
          <w:p>
            <w:r>
              <w:t>巴士接送；ACME 酒店住宿。</w:t>
            </w:r>
          </w:p>
        </w:tc>
        <w:tc>
          <w:tcPr>
            <w:tcW w:type="dxa" w:w="4320"/>
          </w:tcPr>
          <w:p>
            <w:r>
              <w:t>个人消费。</w:t>
            </w:r>
          </w:p>
        </w:tc>
      </w:tr>
    </w:tbl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