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40" w:lineRule="auto"/>
        <w:jc w:val="center"/>
      </w:pPr>
      <w:r>
        <w:rPr>
          <w:rFonts w:ascii="Times New Roman" w:hAnsi="Times New Roman"/>
          <w:sz w:val="24"/>
        </w:rPr>
        <w:t>Cover Letter</w:t>
      </w:r>
    </w:p>
    <w:p>
      <w:pPr>
        <w:spacing w:after="80" w:line="240" w:lineRule="auto"/>
      </w:pPr>
      <w:r>
        <w:rPr>
          <w:rFonts w:ascii="Times New Roman" w:hAnsi="Times New Roman"/>
          <w:sz w:val="19"/>
        </w:rPr>
        <w:t>Dear Editor-in-Chief,</w:t>
      </w:r>
    </w:p>
    <w:p>
      <w:pPr>
        <w:spacing w:after="80" w:line="240" w:lineRule="auto"/>
      </w:pPr>
      <w:r>
        <w:rPr>
          <w:rFonts w:ascii="Times New Roman" w:hAnsi="Times New Roman"/>
          <w:sz w:val="19"/>
        </w:rPr>
        <w:t>Please consider the manuscript entitled “FedCORE: Finite-Sample Selective-Risk Certification under Credal Client-Mixture Uncertainty” for publication as a Research Paper in the International Journal of Approximate Reasoning.</w:t>
      </w:r>
    </w:p>
    <w:p>
      <w:pPr>
        <w:spacing w:after="80" w:line="240" w:lineRule="auto"/>
      </w:pPr>
      <w:r>
        <w:rPr>
          <w:rFonts w:ascii="Times New Roman" w:hAnsi="Times New Roman"/>
          <w:sz w:val="19"/>
        </w:rPr>
        <w:t>Federated classifiers face a deployment decision that average predictive accuracy does not answer. When acceptance rates differ across clients, the client mixture among automated predictions differs from the original traffic mixture. The manuscript studies finite-sample control of the resulting accepted-error ratio when future client traffic is described by a credal set.</w:t>
      </w:r>
    </w:p>
    <w:p>
      <w:pPr>
        <w:spacing w:after="80" w:line="240" w:lineRule="auto"/>
      </w:pPr>
      <w:r>
        <w:rPr>
          <w:rFonts w:ascii="Times New Roman" w:hAnsi="Times New Roman"/>
          <w:sz w:val="19"/>
        </w:rPr>
        <w:t>FedCORE is a post-training certification framework. It converts client-level audit sizes, accepted counts, and accepted-error counts into a deploy-or-refuse decision without modifying the classifier. Proposition 1 identifies when a fixed pooled mixture represents the deployment target. Theorems 1 and 2 provide exact full-simplex and strict-polytope decisions, and Theorem 6 permits familywise-valid selection among proposal-frozen rules.</w:t>
      </w:r>
    </w:p>
    <w:p>
      <w:pPr>
        <w:spacing w:after="80" w:line="240" w:lineRule="auto"/>
      </w:pPr>
      <w:r>
        <w:rPr>
          <w:rFonts w:ascii="Times New Roman" w:hAnsi="Times New Roman"/>
          <w:sz w:val="19"/>
        </w:rPr>
        <w:t>The manuscript fits the journal because the credal set is part of the decision object. It represents epistemic uncertainty about future client traffic, whereas the finite-sample audit bounds quantify sampling uncertainty within client strata. Robust fractional optimization propagates those distinct uncertainties to the accepted-error ratio whose effective client weights depend on the acceptance rule.</w:t>
      </w:r>
    </w:p>
    <w:p>
      <w:pPr>
        <w:spacing w:after="80" w:line="240" w:lineRule="auto"/>
      </w:pPr>
      <w:r>
        <w:rPr>
          <w:rFonts w:ascii="Times New Roman" w:hAnsi="Times New Roman"/>
          <w:sz w:val="19"/>
        </w:rPr>
        <w:t>The empirical study separates validity from utility. Across 443 target-matched conditions, observed FedCORE coverage never fell below the nominal 0.95 level. Under the identical full-simplex target, predictors, 12-member selector families, confidence budgets, and realized audit counts, the Holm intersection-union procedure certified 177 of 450 conditions with mean effective certified acceptance of 8.34%, whereas valid fixed-prior betting certified 81 with 3.97%. In the Office-Home sensitivity analysis, changing the protected target from the full simplex to an independently formed traffic-informed credal set increased certifications from 74 to 92 of 100 and mean effective certified acceptance from 9.6% to 19.3%. This is a change in the protected deployment set, not a same-target method-superiority result. The complete 30-model PACS rerun and the external VLCS and DomainNet fixed-frame evaluations retained their adverse primary outcomes.</w:t>
      </w:r>
    </w:p>
    <w:p>
      <w:pPr>
        <w:spacing w:after="80" w:line="240" w:lineRule="auto"/>
      </w:pPr>
      <w:r>
        <w:rPr>
          <w:rFonts w:ascii="Times New Roman" w:hAnsi="Times New Roman"/>
          <w:sz w:val="19"/>
        </w:rPr>
        <w:t>The manuscript is original, has one author, is not under consideration elsewhere, and is bound to public release v0.8.0 at https://github.com/october25kim/fedcore/releases/tag/v0.8.0. The release binds manuscript SHA-256 5f7762730782a44664a331d24fce76e6efd5a8f13d5fc63dd7124bf4b5d6b2de and rendered-PDF SHA-256 10f0509b984586226506b5238feeb81a6bc00c6781e64fdcca991c11bf5b6312. Its 27-entry ledger governs seven Figures, six Tables, four Abstract evidence statements, and ten quantitative prose claims. Separate release assets provide the exact PACS source, immutable scientific image, and all 30 checkpoints under the hashes listed in RELEASE_ASSETS.sha256. The PACS study is a prospectively sealed post-incident fresh-seed rerun on the same hashed empirical frame, not an untouched-dataset or independent-population replication.</w:t>
      </w:r>
    </w:p>
    <w:p>
      <w:pPr>
        <w:spacing w:after="80" w:line="240" w:lineRule="auto"/>
      </w:pPr>
      <w:r>
        <w:rPr>
          <w:rFonts w:ascii="Times New Roman" w:hAnsi="Times New Roman"/>
          <w:sz w:val="19"/>
        </w:rPr>
        <w:t>Thank you for your consideration.</w:t>
      </w:r>
    </w:p>
    <w:p>
      <w:pPr>
        <w:spacing w:after="80" w:line="240" w:lineRule="auto"/>
      </w:pPr>
      <w:r>
        <w:rPr>
          <w:rFonts w:ascii="Times New Roman" w:hAnsi="Times New Roman"/>
          <w:sz w:val="19"/>
        </w:rPr>
        <w:t>Sincerely,</w:t>
      </w:r>
    </w:p>
    <w:p>
      <w:pPr>
        <w:spacing w:after="80" w:line="240" w:lineRule="auto"/>
      </w:pPr>
      <w:r>
        <w:rPr>
          <w:rFonts w:ascii="Times New Roman" w:hAnsi="Times New Roman"/>
          <w:sz w:val="19"/>
        </w:rPr>
        <w:t>Sanghoon Kim</w:t>
        <w:br/>
        <w:t>Department of Industrial and Management Engineering</w:t>
        <w:br/>
        <w:t>Korea University</w:t>
        <w:br/>
        <w:t>dawonksh@korea.ac.kr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FedCORE Cover Letter</dc:title>
  <dc:subject>FedCORE IJAR submission material</dc:subject>
  <dc:creator>Sanghoon Kim</dc:creator>
  <cp:keywords/>
  <dc:description>generated by python-docx</dc:description>
  <cp:lastModifiedBy>Sanghoon Kim</cp:lastModifiedBy>
  <cp:revision>1</cp:revision>
  <dcterms:created xsi:type="dcterms:W3CDTF">2013-12-23T23:15:00Z</dcterms:created>
  <dcterms:modified xsi:type="dcterms:W3CDTF">2013-12-23T23:15:00Z</dcterms:modified>
  <cp:category/>
</cp:coreProperties>
</file>