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8C02E0">
      <w:pPr>
        <w:pStyle w:val="2"/>
        <w:keepNext w:val="0"/>
        <w:keepLines w:val="0"/>
        <w:widowControl/>
        <w:suppressLineNumbers w:val="0"/>
      </w:pPr>
      <w:r>
        <w:t>Results and Discussion: Alzheimer's Disease Classification Performance Analysis</w:t>
      </w:r>
    </w:p>
    <w:p w14:paraId="6C9EFA86">
      <w:pPr>
        <w:pStyle w:val="3"/>
        <w:keepNext w:val="0"/>
        <w:keepLines w:val="0"/>
        <w:widowControl/>
        <w:suppressLineNumbers w:val="0"/>
      </w:pPr>
      <w:r>
        <w:t>Experimental Overview</w:t>
      </w:r>
    </w:p>
    <w:p w14:paraId="5FF42DE9">
      <w:pPr>
        <w:pStyle w:val="7"/>
        <w:keepNext w:val="0"/>
        <w:keepLines w:val="0"/>
        <w:widowControl/>
        <w:suppressLineNumbers w:val="0"/>
      </w:pPr>
      <w:r>
        <w:t>Three deep learning architectures underwent systematic evaluation for Alzheimer's Disease classification using MRI imaging data: (1) Custom-built Convolutional Neural Network (baseline model), (2) Spatial and Channel-wise Convolutional Attention Network (SCCAN), and (3) fine-tuned VGG16 transfer learning model. The classification framework addressed four diagnostic categories representing disease progression stages: Mild Demented, Moderate Demented, Non-Demented, and Very Mild Demented.</w:t>
      </w:r>
    </w:p>
    <w:p w14:paraId="5FBED8AF">
      <w:pPr>
        <w:pStyle w:val="7"/>
        <w:keepNext w:val="0"/>
        <w:keepLines w:val="0"/>
        <w:widowControl/>
        <w:suppressLineNumbers w:val="0"/>
      </w:pPr>
      <w:r>
        <w:t>Evaluation methodology incorporated comprehensive performance metrics including overall test accuracy, loss values on unseen data, and class-specific indicators (precision, recall, F1-score). Confusion matrices provided detailed misclassification pattern analysis for identifying model limitations and diagnostic capabilities. All models processed identical preprocessing pipelines and training regimens, ensuring controlled comparison across architectures.</w:t>
      </w:r>
    </w:p>
    <w:p w14:paraId="449DFF2D">
      <w:pPr>
        <w:pStyle w:val="7"/>
        <w:keepNext w:val="0"/>
        <w:keepLines w:val="0"/>
        <w:widowControl/>
        <w:suppressLineNumbers w:val="0"/>
      </w:pPr>
      <w:r>
        <w:t>Test evaluation utilized a held-out dataset of 6,600 MRI images representing balanced distribution across all four diagnostic categories. Model interpretability assessment employed Gradient-weighted Class Activation Mapping (Grad-CAM) to validate spatial attention patterns and clinical relevance of learned features.</w:t>
      </w:r>
    </w:p>
    <w:p w14:paraId="3B9F8D2D">
      <w:pPr>
        <w:pStyle w:val="3"/>
        <w:keepNext w:val="0"/>
        <w:keepLines w:val="0"/>
        <w:widowControl/>
        <w:suppressLineNumbers w:val="0"/>
      </w:pPr>
      <w:r>
        <w:t>Quantitative Performance Results</w:t>
      </w:r>
    </w:p>
    <w:p w14:paraId="08BCAE30">
      <w:pPr>
        <w:pStyle w:val="4"/>
        <w:keepNext w:val="0"/>
        <w:keepLines w:val="0"/>
        <w:widowControl/>
        <w:suppressLineNumbers w:val="0"/>
      </w:pPr>
      <w:r>
        <w:t>Overall Performance 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6"/>
        <w:gridCol w:w="1438"/>
        <w:gridCol w:w="973"/>
        <w:gridCol w:w="1906"/>
      </w:tblGrid>
      <w:tr w14:paraId="2C8CA08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CCA4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Model Architecture</w:t>
            </w:r>
          </w:p>
        </w:tc>
        <w:tc>
          <w:tcPr>
            <w:tcW w:w="0" w:type="auto"/>
            <w:shd w:val="clear"/>
            <w:vAlign w:val="center"/>
          </w:tcPr>
          <w:p w14:paraId="0016EC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Accuracy</w:t>
            </w:r>
          </w:p>
        </w:tc>
        <w:tc>
          <w:tcPr>
            <w:tcW w:w="0" w:type="auto"/>
            <w:shd w:val="clear"/>
            <w:vAlign w:val="center"/>
          </w:tcPr>
          <w:p w14:paraId="7C7934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Loss</w:t>
            </w:r>
          </w:p>
        </w:tc>
        <w:tc>
          <w:tcPr>
            <w:tcW w:w="0" w:type="auto"/>
            <w:shd w:val="clear"/>
            <w:vAlign w:val="center"/>
          </w:tcPr>
          <w:p w14:paraId="536D13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Weighted F1-Score</w:t>
            </w:r>
          </w:p>
        </w:tc>
      </w:tr>
      <w:tr w14:paraId="05AFBF2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0BA7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 CNN</w:t>
            </w:r>
          </w:p>
        </w:tc>
        <w:tc>
          <w:tcPr>
            <w:tcW w:w="0" w:type="auto"/>
            <w:shd w:val="clear"/>
            <w:vAlign w:val="center"/>
          </w:tcPr>
          <w:p w14:paraId="6491A5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72.70%</w:t>
            </w:r>
          </w:p>
        </w:tc>
        <w:tc>
          <w:tcPr>
            <w:tcW w:w="0" w:type="auto"/>
            <w:shd w:val="clear"/>
            <w:vAlign w:val="center"/>
          </w:tcPr>
          <w:p w14:paraId="7B831C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0.85</w:t>
            </w:r>
          </w:p>
        </w:tc>
        <w:tc>
          <w:tcPr>
            <w:tcW w:w="0" w:type="auto"/>
            <w:shd w:val="clear"/>
            <w:vAlign w:val="center"/>
          </w:tcPr>
          <w:p w14:paraId="6CF6D9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0.71</w:t>
            </w:r>
          </w:p>
        </w:tc>
      </w:tr>
      <w:tr w14:paraId="727643F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B751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SCCAN</w:t>
            </w:r>
          </w:p>
        </w:tc>
        <w:tc>
          <w:tcPr>
            <w:tcW w:w="0" w:type="auto"/>
            <w:shd w:val="clear"/>
            <w:vAlign w:val="center"/>
          </w:tcPr>
          <w:p w14:paraId="7ADF24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95.72%</w:t>
            </w:r>
          </w:p>
        </w:tc>
        <w:tc>
          <w:tcPr>
            <w:tcW w:w="0" w:type="auto"/>
            <w:shd w:val="clear"/>
            <w:vAlign w:val="center"/>
          </w:tcPr>
          <w:p w14:paraId="3CBAAC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0.14</w:t>
            </w:r>
          </w:p>
        </w:tc>
        <w:tc>
          <w:tcPr>
            <w:tcW w:w="0" w:type="auto"/>
            <w:shd w:val="clear"/>
            <w:vAlign w:val="center"/>
          </w:tcPr>
          <w:p w14:paraId="761FE3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0.96</w:t>
            </w:r>
          </w:p>
        </w:tc>
      </w:tr>
      <w:tr w14:paraId="5463D61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1448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VGG16 Transfer Learning</w:t>
            </w:r>
          </w:p>
        </w:tc>
        <w:tc>
          <w:tcPr>
            <w:tcW w:w="0" w:type="auto"/>
            <w:shd w:val="clear"/>
            <w:vAlign w:val="center"/>
          </w:tcPr>
          <w:p w14:paraId="12B7A9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95.72%</w:t>
            </w:r>
          </w:p>
        </w:tc>
        <w:tc>
          <w:tcPr>
            <w:tcW w:w="0" w:type="auto"/>
            <w:shd w:val="clear"/>
            <w:vAlign w:val="center"/>
          </w:tcPr>
          <w:p w14:paraId="67674A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0.14</w:t>
            </w:r>
          </w:p>
        </w:tc>
        <w:tc>
          <w:tcPr>
            <w:tcW w:w="0" w:type="auto"/>
            <w:shd w:val="clear"/>
            <w:vAlign w:val="center"/>
          </w:tcPr>
          <w:p w14:paraId="59B210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0.96</w:t>
            </w:r>
          </w:p>
        </w:tc>
      </w:tr>
    </w:tbl>
    <w:p w14:paraId="65978BD7">
      <w:pPr>
        <w:pStyle w:val="7"/>
        <w:keepNext w:val="0"/>
        <w:keepLines w:val="0"/>
        <w:widowControl/>
        <w:suppressLineNumbers w:val="0"/>
      </w:pPr>
      <w:r>
        <w:t>Performance differential: Advanced architectures (SCCAN, VGG16) demonstrated 23.02% accuracy improvement over baseline Custom CNN, with corresponding test loss reduction of 83.5% (0.85 → 0.14).</w:t>
      </w:r>
    </w:p>
    <w:p w14:paraId="052EF031">
      <w:pPr>
        <w:pStyle w:val="4"/>
        <w:keepNext w:val="0"/>
        <w:keepLines w:val="0"/>
        <w:widowControl/>
        <w:suppressLineNumbers w:val="0"/>
      </w:pPr>
      <w:r>
        <w:t>Custom CNN Detailed Performance Analysis</w:t>
      </w:r>
    </w:p>
    <w:p w14:paraId="0FBAD6E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Class-wise Performance Metrics: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9"/>
        <w:gridCol w:w="951"/>
        <w:gridCol w:w="673"/>
        <w:gridCol w:w="907"/>
        <w:gridCol w:w="852"/>
      </w:tblGrid>
      <w:tr w14:paraId="38DC8FF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62FD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Diagnostic Class</w:t>
            </w:r>
          </w:p>
        </w:tc>
        <w:tc>
          <w:tcPr>
            <w:tcW w:w="0" w:type="auto"/>
            <w:shd w:val="clear"/>
            <w:vAlign w:val="center"/>
          </w:tcPr>
          <w:p w14:paraId="5F0BFB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Precision</w:t>
            </w:r>
          </w:p>
        </w:tc>
        <w:tc>
          <w:tcPr>
            <w:tcW w:w="0" w:type="auto"/>
            <w:shd w:val="clear"/>
            <w:vAlign w:val="center"/>
          </w:tcPr>
          <w:p w14:paraId="2B5AB2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Recall</w:t>
            </w:r>
          </w:p>
        </w:tc>
        <w:tc>
          <w:tcPr>
            <w:tcW w:w="0" w:type="auto"/>
            <w:shd w:val="clear"/>
            <w:vAlign w:val="center"/>
          </w:tcPr>
          <w:p w14:paraId="6A1DBE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F1-Score</w:t>
            </w:r>
          </w:p>
        </w:tc>
        <w:tc>
          <w:tcPr>
            <w:tcW w:w="0" w:type="auto"/>
            <w:shd w:val="clear"/>
            <w:vAlign w:val="center"/>
          </w:tcPr>
          <w:p w14:paraId="1C1842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Support</w:t>
            </w:r>
          </w:p>
        </w:tc>
      </w:tr>
      <w:tr w14:paraId="67F6622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FE3F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MildDemented</w:t>
            </w:r>
          </w:p>
        </w:tc>
        <w:tc>
          <w:tcPr>
            <w:tcW w:w="0" w:type="auto"/>
            <w:shd w:val="clear"/>
            <w:vAlign w:val="center"/>
          </w:tcPr>
          <w:p w14:paraId="75E442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0.57</w:t>
            </w:r>
          </w:p>
        </w:tc>
        <w:tc>
          <w:tcPr>
            <w:tcW w:w="0" w:type="auto"/>
            <w:shd w:val="clear"/>
            <w:vAlign w:val="center"/>
          </w:tcPr>
          <w:p w14:paraId="64589A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0.92</w:t>
            </w:r>
          </w:p>
        </w:tc>
        <w:tc>
          <w:tcPr>
            <w:tcW w:w="0" w:type="auto"/>
            <w:shd w:val="clear"/>
            <w:vAlign w:val="center"/>
          </w:tcPr>
          <w:p w14:paraId="78579C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0.70</w:t>
            </w:r>
          </w:p>
        </w:tc>
        <w:tc>
          <w:tcPr>
            <w:tcW w:w="0" w:type="auto"/>
            <w:shd w:val="clear"/>
            <w:vAlign w:val="center"/>
          </w:tcPr>
          <w:p w14:paraId="424FF5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1,500</w:t>
            </w:r>
          </w:p>
        </w:tc>
      </w:tr>
      <w:tr w14:paraId="738FE97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5514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ModerateDemented</w:t>
            </w:r>
          </w:p>
        </w:tc>
        <w:tc>
          <w:tcPr>
            <w:tcW w:w="0" w:type="auto"/>
            <w:shd w:val="clear"/>
            <w:vAlign w:val="center"/>
          </w:tcPr>
          <w:p w14:paraId="71418B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1.00</w:t>
            </w:r>
          </w:p>
        </w:tc>
        <w:tc>
          <w:tcPr>
            <w:tcW w:w="0" w:type="auto"/>
            <w:shd w:val="clear"/>
            <w:vAlign w:val="center"/>
          </w:tcPr>
          <w:p w14:paraId="056652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0.96</w:t>
            </w:r>
          </w:p>
        </w:tc>
        <w:tc>
          <w:tcPr>
            <w:tcW w:w="0" w:type="auto"/>
            <w:shd w:val="clear"/>
            <w:vAlign w:val="center"/>
          </w:tcPr>
          <w:p w14:paraId="76A3B7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0.98</w:t>
            </w:r>
          </w:p>
        </w:tc>
        <w:tc>
          <w:tcPr>
            <w:tcW w:w="0" w:type="auto"/>
            <w:shd w:val="clear"/>
            <w:vAlign w:val="center"/>
          </w:tcPr>
          <w:p w14:paraId="29105C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1,500</w:t>
            </w:r>
          </w:p>
        </w:tc>
      </w:tr>
      <w:tr w14:paraId="242DC70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202F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NonDemented</w:t>
            </w:r>
          </w:p>
        </w:tc>
        <w:tc>
          <w:tcPr>
            <w:tcW w:w="0" w:type="auto"/>
            <w:shd w:val="clear"/>
            <w:vAlign w:val="center"/>
          </w:tcPr>
          <w:p w14:paraId="3708C8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0.72</w:t>
            </w:r>
          </w:p>
        </w:tc>
        <w:tc>
          <w:tcPr>
            <w:tcW w:w="0" w:type="auto"/>
            <w:shd w:val="clear"/>
            <w:vAlign w:val="center"/>
          </w:tcPr>
          <w:p w14:paraId="43E505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0.75</w:t>
            </w:r>
          </w:p>
        </w:tc>
        <w:tc>
          <w:tcPr>
            <w:tcW w:w="0" w:type="auto"/>
            <w:shd w:val="clear"/>
            <w:vAlign w:val="center"/>
          </w:tcPr>
          <w:p w14:paraId="262EDF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0.73</w:t>
            </w:r>
          </w:p>
        </w:tc>
        <w:tc>
          <w:tcPr>
            <w:tcW w:w="0" w:type="auto"/>
            <w:shd w:val="clear"/>
            <w:vAlign w:val="center"/>
          </w:tcPr>
          <w:p w14:paraId="1E1B6B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1,920</w:t>
            </w:r>
          </w:p>
        </w:tc>
      </w:tr>
      <w:tr w14:paraId="4F36E2F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B67E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VeryMildDemented</w:t>
            </w:r>
          </w:p>
        </w:tc>
        <w:tc>
          <w:tcPr>
            <w:tcW w:w="0" w:type="auto"/>
            <w:shd w:val="clear"/>
            <w:vAlign w:val="center"/>
          </w:tcPr>
          <w:p w14:paraId="71CC35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0.75</w:t>
            </w:r>
          </w:p>
        </w:tc>
        <w:tc>
          <w:tcPr>
            <w:tcW w:w="0" w:type="auto"/>
            <w:shd w:val="clear"/>
            <w:vAlign w:val="center"/>
          </w:tcPr>
          <w:p w14:paraId="1A4820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0.32</w:t>
            </w:r>
          </w:p>
        </w:tc>
        <w:tc>
          <w:tcPr>
            <w:tcW w:w="0" w:type="auto"/>
            <w:shd w:val="clear"/>
            <w:vAlign w:val="center"/>
          </w:tcPr>
          <w:p w14:paraId="2AD2B4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0.45</w:t>
            </w:r>
          </w:p>
        </w:tc>
        <w:tc>
          <w:tcPr>
            <w:tcW w:w="0" w:type="auto"/>
            <w:shd w:val="clear"/>
            <w:vAlign w:val="center"/>
          </w:tcPr>
          <w:p w14:paraId="0330FB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1,680</w:t>
            </w:r>
          </w:p>
        </w:tc>
      </w:tr>
      <w:tr w14:paraId="7F83A05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0DC6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Macro Average</w:t>
            </w:r>
          </w:p>
        </w:tc>
        <w:tc>
          <w:tcPr>
            <w:tcW w:w="0" w:type="auto"/>
            <w:shd w:val="clear"/>
            <w:vAlign w:val="center"/>
          </w:tcPr>
          <w:p w14:paraId="3B52DB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0.76</w:t>
            </w:r>
          </w:p>
        </w:tc>
        <w:tc>
          <w:tcPr>
            <w:tcW w:w="0" w:type="auto"/>
            <w:shd w:val="clear"/>
            <w:vAlign w:val="center"/>
          </w:tcPr>
          <w:p w14:paraId="4D93D4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0.74</w:t>
            </w:r>
          </w:p>
        </w:tc>
        <w:tc>
          <w:tcPr>
            <w:tcW w:w="0" w:type="auto"/>
            <w:shd w:val="clear"/>
            <w:vAlign w:val="center"/>
          </w:tcPr>
          <w:p w14:paraId="6DECA7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0.71</w:t>
            </w:r>
          </w:p>
        </w:tc>
        <w:tc>
          <w:tcPr>
            <w:tcW w:w="0" w:type="auto"/>
            <w:shd w:val="clear"/>
            <w:vAlign w:val="center"/>
          </w:tcPr>
          <w:p w14:paraId="7A34E3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6,600</w:t>
            </w:r>
          </w:p>
        </w:tc>
      </w:tr>
    </w:tbl>
    <w:p w14:paraId="4ADE9A4F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Critical Performance Limitations:</w:t>
      </w:r>
    </w:p>
    <w:p w14:paraId="2EBB51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VeryMildDemented class exhibited severely compromised recall (32%), indicating poor early-stage detection capability</w:t>
      </w:r>
    </w:p>
    <w:p w14:paraId="5F3329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High precision-recall imbalance for MildDemented class (0.57 precision vs 0.92 recall) suggests elevated false positive rates</w:t>
      </w:r>
    </w:p>
    <w:p w14:paraId="43EB7A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Overall macro-averaged recall (74%) inadequate for clinical diagnostic requirements</w:t>
      </w:r>
    </w:p>
    <w:p w14:paraId="694DCE7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Confusion Matrix Analysis - Custom CNN:</w:t>
      </w:r>
      <w:r>
        <w:t xml:space="preserve"> VeryMildDemented misclassification patterns:</w:t>
      </w:r>
    </w:p>
    <w:p w14:paraId="0AD2FC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Correctly classified: 538/1,680 (32.0%)</w:t>
      </w:r>
    </w:p>
    <w:p w14:paraId="3E870A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Misclassified as MildDemented: 642 cases (38.2%)</w:t>
      </w:r>
    </w:p>
    <w:p w14:paraId="605C0A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Misclassified as NonDemented: 504 cases (30.0%)</w:t>
      </w:r>
    </w:p>
    <w:p w14:paraId="22190D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Total misclassification rate: 68.0%</w:t>
      </w:r>
    </w:p>
    <w:p w14:paraId="32A0291A">
      <w:pPr>
        <w:pStyle w:val="7"/>
        <w:keepNext w:val="0"/>
        <w:keepLines w:val="0"/>
        <w:widowControl/>
        <w:suppressLineNumbers w:val="0"/>
      </w:pPr>
      <w:r>
        <w:t>The substantial misclassification of VeryMildDemented cases demonstrates inadequate feature discrimination for subtle pathological indicators characteristic of early-stage Alzheimer's progression.</w:t>
      </w:r>
    </w:p>
    <w:p w14:paraId="1D26152B">
      <w:pPr>
        <w:pStyle w:val="4"/>
        <w:keepNext w:val="0"/>
        <w:keepLines w:val="0"/>
        <w:widowControl/>
        <w:suppressLineNumbers w:val="0"/>
      </w:pPr>
      <w:r>
        <w:t>SCCAN Architecture Performance Analysis</w:t>
      </w:r>
    </w:p>
    <w:p w14:paraId="41E20E1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Class-wise Performance Metrics: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9"/>
        <w:gridCol w:w="951"/>
        <w:gridCol w:w="673"/>
        <w:gridCol w:w="907"/>
        <w:gridCol w:w="852"/>
      </w:tblGrid>
      <w:tr w14:paraId="2D401807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FC72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Diagnostic Class</w:t>
            </w:r>
          </w:p>
        </w:tc>
        <w:tc>
          <w:tcPr>
            <w:tcW w:w="0" w:type="auto"/>
            <w:shd w:val="clear"/>
            <w:vAlign w:val="center"/>
          </w:tcPr>
          <w:p w14:paraId="2705B8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Precision</w:t>
            </w:r>
          </w:p>
        </w:tc>
        <w:tc>
          <w:tcPr>
            <w:tcW w:w="0" w:type="auto"/>
            <w:shd w:val="clear"/>
            <w:vAlign w:val="center"/>
          </w:tcPr>
          <w:p w14:paraId="7736A7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Recall</w:t>
            </w:r>
          </w:p>
        </w:tc>
        <w:tc>
          <w:tcPr>
            <w:tcW w:w="0" w:type="auto"/>
            <w:shd w:val="clear"/>
            <w:vAlign w:val="center"/>
          </w:tcPr>
          <w:p w14:paraId="2A6F2C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F1-Score</w:t>
            </w:r>
          </w:p>
        </w:tc>
        <w:tc>
          <w:tcPr>
            <w:tcW w:w="0" w:type="auto"/>
            <w:shd w:val="clear"/>
            <w:vAlign w:val="center"/>
          </w:tcPr>
          <w:p w14:paraId="624520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Support</w:t>
            </w:r>
          </w:p>
        </w:tc>
      </w:tr>
      <w:tr w14:paraId="52E6C43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3C02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MildDemented</w:t>
            </w:r>
          </w:p>
        </w:tc>
        <w:tc>
          <w:tcPr>
            <w:tcW w:w="0" w:type="auto"/>
            <w:shd w:val="clear"/>
            <w:vAlign w:val="center"/>
          </w:tcPr>
          <w:p w14:paraId="117B92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0.95</w:t>
            </w:r>
          </w:p>
        </w:tc>
        <w:tc>
          <w:tcPr>
            <w:tcW w:w="0" w:type="auto"/>
            <w:shd w:val="clear"/>
            <w:vAlign w:val="center"/>
          </w:tcPr>
          <w:p w14:paraId="296A6D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0.97</w:t>
            </w:r>
          </w:p>
        </w:tc>
        <w:tc>
          <w:tcPr>
            <w:tcW w:w="0" w:type="auto"/>
            <w:shd w:val="clear"/>
            <w:vAlign w:val="center"/>
          </w:tcPr>
          <w:p w14:paraId="11849A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0.96</w:t>
            </w:r>
          </w:p>
        </w:tc>
        <w:tc>
          <w:tcPr>
            <w:tcW w:w="0" w:type="auto"/>
            <w:shd w:val="clear"/>
            <w:vAlign w:val="center"/>
          </w:tcPr>
          <w:p w14:paraId="340592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1,500</w:t>
            </w:r>
          </w:p>
        </w:tc>
      </w:tr>
      <w:tr w14:paraId="6196C9B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98D1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ModerateDemented</w:t>
            </w:r>
          </w:p>
        </w:tc>
        <w:tc>
          <w:tcPr>
            <w:tcW w:w="0" w:type="auto"/>
            <w:shd w:val="clear"/>
            <w:vAlign w:val="center"/>
          </w:tcPr>
          <w:p w14:paraId="5F691B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1.00</w:t>
            </w:r>
          </w:p>
        </w:tc>
        <w:tc>
          <w:tcPr>
            <w:tcW w:w="0" w:type="auto"/>
            <w:shd w:val="clear"/>
            <w:vAlign w:val="center"/>
          </w:tcPr>
          <w:p w14:paraId="68253D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1.00</w:t>
            </w:r>
          </w:p>
        </w:tc>
        <w:tc>
          <w:tcPr>
            <w:tcW w:w="0" w:type="auto"/>
            <w:shd w:val="clear"/>
            <w:vAlign w:val="center"/>
          </w:tcPr>
          <w:p w14:paraId="04AAC3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1.00</w:t>
            </w:r>
          </w:p>
        </w:tc>
        <w:tc>
          <w:tcPr>
            <w:tcW w:w="0" w:type="auto"/>
            <w:shd w:val="clear"/>
            <w:vAlign w:val="center"/>
          </w:tcPr>
          <w:p w14:paraId="5FFB8C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1,500</w:t>
            </w:r>
          </w:p>
        </w:tc>
      </w:tr>
      <w:tr w14:paraId="636D60F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8084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NonDemented</w:t>
            </w:r>
          </w:p>
        </w:tc>
        <w:tc>
          <w:tcPr>
            <w:tcW w:w="0" w:type="auto"/>
            <w:shd w:val="clear"/>
            <w:vAlign w:val="center"/>
          </w:tcPr>
          <w:p w14:paraId="303ED2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0.95</w:t>
            </w:r>
          </w:p>
        </w:tc>
        <w:tc>
          <w:tcPr>
            <w:tcW w:w="0" w:type="auto"/>
            <w:shd w:val="clear"/>
            <w:vAlign w:val="center"/>
          </w:tcPr>
          <w:p w14:paraId="6E9CC0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0.95</w:t>
            </w:r>
          </w:p>
        </w:tc>
        <w:tc>
          <w:tcPr>
            <w:tcW w:w="0" w:type="auto"/>
            <w:shd w:val="clear"/>
            <w:vAlign w:val="center"/>
          </w:tcPr>
          <w:p w14:paraId="66BBDF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0.95</w:t>
            </w:r>
          </w:p>
        </w:tc>
        <w:tc>
          <w:tcPr>
            <w:tcW w:w="0" w:type="auto"/>
            <w:shd w:val="clear"/>
            <w:vAlign w:val="center"/>
          </w:tcPr>
          <w:p w14:paraId="55DC58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1,920</w:t>
            </w:r>
          </w:p>
        </w:tc>
      </w:tr>
      <w:tr w14:paraId="11EC434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688B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VeryMildDemented</w:t>
            </w:r>
          </w:p>
        </w:tc>
        <w:tc>
          <w:tcPr>
            <w:tcW w:w="0" w:type="auto"/>
            <w:shd w:val="clear"/>
            <w:vAlign w:val="center"/>
          </w:tcPr>
          <w:p w14:paraId="5B96C9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0.94</w:t>
            </w:r>
          </w:p>
        </w:tc>
        <w:tc>
          <w:tcPr>
            <w:tcW w:w="0" w:type="auto"/>
            <w:shd w:val="clear"/>
            <w:vAlign w:val="center"/>
          </w:tcPr>
          <w:p w14:paraId="4EC84A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0.92</w:t>
            </w:r>
          </w:p>
        </w:tc>
        <w:tc>
          <w:tcPr>
            <w:tcW w:w="0" w:type="auto"/>
            <w:shd w:val="clear"/>
            <w:vAlign w:val="center"/>
          </w:tcPr>
          <w:p w14:paraId="36B558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0.93</w:t>
            </w:r>
          </w:p>
        </w:tc>
        <w:tc>
          <w:tcPr>
            <w:tcW w:w="0" w:type="auto"/>
            <w:shd w:val="clear"/>
            <w:vAlign w:val="center"/>
          </w:tcPr>
          <w:p w14:paraId="56575B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1,680</w:t>
            </w:r>
          </w:p>
        </w:tc>
      </w:tr>
      <w:tr w14:paraId="5A2C269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7FA2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Macro Average</w:t>
            </w:r>
          </w:p>
        </w:tc>
        <w:tc>
          <w:tcPr>
            <w:tcW w:w="0" w:type="auto"/>
            <w:shd w:val="clear"/>
            <w:vAlign w:val="center"/>
          </w:tcPr>
          <w:p w14:paraId="655DB8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0.96</w:t>
            </w:r>
          </w:p>
        </w:tc>
        <w:tc>
          <w:tcPr>
            <w:tcW w:w="0" w:type="auto"/>
            <w:shd w:val="clear"/>
            <w:vAlign w:val="center"/>
          </w:tcPr>
          <w:p w14:paraId="505261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0.96</w:t>
            </w:r>
          </w:p>
        </w:tc>
        <w:tc>
          <w:tcPr>
            <w:tcW w:w="0" w:type="auto"/>
            <w:shd w:val="clear"/>
            <w:vAlign w:val="center"/>
          </w:tcPr>
          <w:p w14:paraId="326C06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0.96</w:t>
            </w:r>
          </w:p>
        </w:tc>
        <w:tc>
          <w:tcPr>
            <w:tcW w:w="0" w:type="auto"/>
            <w:shd w:val="clear"/>
            <w:vAlign w:val="center"/>
          </w:tcPr>
          <w:p w14:paraId="5AFFD6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6,600</w:t>
            </w:r>
          </w:p>
        </w:tc>
      </w:tr>
    </w:tbl>
    <w:p w14:paraId="5F99FCD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Performance Improvements:</w:t>
      </w:r>
    </w:p>
    <w:p w14:paraId="2BA5CA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VeryMildDemented recall enhancement: 32% → 92% (187.5% improvement)</w:t>
      </w:r>
    </w:p>
    <w:p w14:paraId="1A90D6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Balanced precision-recall across all classes (&gt;0.94)</w:t>
      </w:r>
    </w:p>
    <w:p w14:paraId="306C4E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Perfect classification performance for ModerateDemented cases (100% precision and recall)</w:t>
      </w:r>
    </w:p>
    <w:p w14:paraId="0270738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Confusion Matrix Analysis - SCCAN:</w:t>
      </w:r>
      <w:r>
        <w:t xml:space="preserve"> VeryMildDemented classification accuracy:</w:t>
      </w:r>
    </w:p>
    <w:p w14:paraId="5B7D90B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Correctly classified: 1,546/1,680 (92.0%)</w:t>
      </w:r>
    </w:p>
    <w:p w14:paraId="7343B1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Misclassification reduction: 1,142 → 134 cases (88.3% reduction)</w:t>
      </w:r>
    </w:p>
    <w:p w14:paraId="33FA9E3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Cross-class confusion minimized across all diagnostic categories</w:t>
      </w:r>
    </w:p>
    <w:p w14:paraId="260701FA">
      <w:pPr>
        <w:pStyle w:val="4"/>
        <w:keepNext w:val="0"/>
        <w:keepLines w:val="0"/>
        <w:widowControl/>
        <w:suppressLineNumbers w:val="0"/>
      </w:pPr>
      <w:r>
        <w:t>VGG16 Transfer Learning Performance Analysis</w:t>
      </w:r>
    </w:p>
    <w:p w14:paraId="3ABD58E1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Class-wise Performance Metrics: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9"/>
        <w:gridCol w:w="951"/>
        <w:gridCol w:w="673"/>
        <w:gridCol w:w="907"/>
        <w:gridCol w:w="852"/>
      </w:tblGrid>
      <w:tr w14:paraId="059D633A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BF192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Diagnostic Class</w:t>
            </w:r>
          </w:p>
        </w:tc>
        <w:tc>
          <w:tcPr>
            <w:tcW w:w="0" w:type="auto"/>
            <w:shd w:val="clear"/>
            <w:vAlign w:val="center"/>
          </w:tcPr>
          <w:p w14:paraId="7829A4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Precision</w:t>
            </w:r>
          </w:p>
        </w:tc>
        <w:tc>
          <w:tcPr>
            <w:tcW w:w="0" w:type="auto"/>
            <w:shd w:val="clear"/>
            <w:vAlign w:val="center"/>
          </w:tcPr>
          <w:p w14:paraId="574910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Recall</w:t>
            </w:r>
          </w:p>
        </w:tc>
        <w:tc>
          <w:tcPr>
            <w:tcW w:w="0" w:type="auto"/>
            <w:shd w:val="clear"/>
            <w:vAlign w:val="center"/>
          </w:tcPr>
          <w:p w14:paraId="7AA49F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F1-Score</w:t>
            </w:r>
          </w:p>
        </w:tc>
        <w:tc>
          <w:tcPr>
            <w:tcW w:w="0" w:type="auto"/>
            <w:shd w:val="clear"/>
            <w:vAlign w:val="center"/>
          </w:tcPr>
          <w:p w14:paraId="75BE32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Support</w:t>
            </w:r>
          </w:p>
        </w:tc>
      </w:tr>
      <w:tr w14:paraId="0EE1707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9D39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MildDemented</w:t>
            </w:r>
          </w:p>
        </w:tc>
        <w:tc>
          <w:tcPr>
            <w:tcW w:w="0" w:type="auto"/>
            <w:shd w:val="clear"/>
            <w:vAlign w:val="center"/>
          </w:tcPr>
          <w:p w14:paraId="0349E6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0.95</w:t>
            </w:r>
          </w:p>
        </w:tc>
        <w:tc>
          <w:tcPr>
            <w:tcW w:w="0" w:type="auto"/>
            <w:shd w:val="clear"/>
            <w:vAlign w:val="center"/>
          </w:tcPr>
          <w:p w14:paraId="5DBC1E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0.97</w:t>
            </w:r>
          </w:p>
        </w:tc>
        <w:tc>
          <w:tcPr>
            <w:tcW w:w="0" w:type="auto"/>
            <w:shd w:val="clear"/>
            <w:vAlign w:val="center"/>
          </w:tcPr>
          <w:p w14:paraId="1D1E36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0.96</w:t>
            </w:r>
          </w:p>
        </w:tc>
        <w:tc>
          <w:tcPr>
            <w:tcW w:w="0" w:type="auto"/>
            <w:shd w:val="clear"/>
            <w:vAlign w:val="center"/>
          </w:tcPr>
          <w:p w14:paraId="308DAE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1,500</w:t>
            </w:r>
          </w:p>
        </w:tc>
      </w:tr>
      <w:tr w14:paraId="727BC2B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3EED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ModerateDemented</w:t>
            </w:r>
          </w:p>
        </w:tc>
        <w:tc>
          <w:tcPr>
            <w:tcW w:w="0" w:type="auto"/>
            <w:shd w:val="clear"/>
            <w:vAlign w:val="center"/>
          </w:tcPr>
          <w:p w14:paraId="308003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1.00</w:t>
            </w:r>
          </w:p>
        </w:tc>
        <w:tc>
          <w:tcPr>
            <w:tcW w:w="0" w:type="auto"/>
            <w:shd w:val="clear"/>
            <w:vAlign w:val="center"/>
          </w:tcPr>
          <w:p w14:paraId="5C2E9F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1.00</w:t>
            </w:r>
          </w:p>
        </w:tc>
        <w:tc>
          <w:tcPr>
            <w:tcW w:w="0" w:type="auto"/>
            <w:shd w:val="clear"/>
            <w:vAlign w:val="center"/>
          </w:tcPr>
          <w:p w14:paraId="269EE0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1.00</w:t>
            </w:r>
          </w:p>
        </w:tc>
        <w:tc>
          <w:tcPr>
            <w:tcW w:w="0" w:type="auto"/>
            <w:shd w:val="clear"/>
            <w:vAlign w:val="center"/>
          </w:tcPr>
          <w:p w14:paraId="2819F4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1,500</w:t>
            </w:r>
          </w:p>
        </w:tc>
      </w:tr>
      <w:tr w14:paraId="3A8F5A4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F99B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NonDemented</w:t>
            </w:r>
          </w:p>
        </w:tc>
        <w:tc>
          <w:tcPr>
            <w:tcW w:w="0" w:type="auto"/>
            <w:shd w:val="clear"/>
            <w:vAlign w:val="center"/>
          </w:tcPr>
          <w:p w14:paraId="2B2BEF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0.95</w:t>
            </w:r>
          </w:p>
        </w:tc>
        <w:tc>
          <w:tcPr>
            <w:tcW w:w="0" w:type="auto"/>
            <w:shd w:val="clear"/>
            <w:vAlign w:val="center"/>
          </w:tcPr>
          <w:p w14:paraId="370A75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0.95</w:t>
            </w:r>
          </w:p>
        </w:tc>
        <w:tc>
          <w:tcPr>
            <w:tcW w:w="0" w:type="auto"/>
            <w:shd w:val="clear"/>
            <w:vAlign w:val="center"/>
          </w:tcPr>
          <w:p w14:paraId="2A29A8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0.95</w:t>
            </w:r>
          </w:p>
        </w:tc>
        <w:tc>
          <w:tcPr>
            <w:tcW w:w="0" w:type="auto"/>
            <w:shd w:val="clear"/>
            <w:vAlign w:val="center"/>
          </w:tcPr>
          <w:p w14:paraId="4C5C11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1,920</w:t>
            </w:r>
          </w:p>
        </w:tc>
      </w:tr>
      <w:tr w14:paraId="7396D0F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4559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VeryMildDemented</w:t>
            </w:r>
          </w:p>
        </w:tc>
        <w:tc>
          <w:tcPr>
            <w:tcW w:w="0" w:type="auto"/>
            <w:shd w:val="clear"/>
            <w:vAlign w:val="center"/>
          </w:tcPr>
          <w:p w14:paraId="4E0907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0.94</w:t>
            </w:r>
          </w:p>
        </w:tc>
        <w:tc>
          <w:tcPr>
            <w:tcW w:w="0" w:type="auto"/>
            <w:shd w:val="clear"/>
            <w:vAlign w:val="center"/>
          </w:tcPr>
          <w:p w14:paraId="605C49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0.92</w:t>
            </w:r>
          </w:p>
        </w:tc>
        <w:tc>
          <w:tcPr>
            <w:tcW w:w="0" w:type="auto"/>
            <w:shd w:val="clear"/>
            <w:vAlign w:val="center"/>
          </w:tcPr>
          <w:p w14:paraId="1AEBE8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0.93</w:t>
            </w:r>
          </w:p>
        </w:tc>
        <w:tc>
          <w:tcPr>
            <w:tcW w:w="0" w:type="auto"/>
            <w:shd w:val="clear"/>
            <w:vAlign w:val="center"/>
          </w:tcPr>
          <w:p w14:paraId="715A17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1,680</w:t>
            </w:r>
          </w:p>
        </w:tc>
      </w:tr>
      <w:tr w14:paraId="0410A6F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584C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Macro Average</w:t>
            </w:r>
          </w:p>
        </w:tc>
        <w:tc>
          <w:tcPr>
            <w:tcW w:w="0" w:type="auto"/>
            <w:shd w:val="clear"/>
            <w:vAlign w:val="center"/>
          </w:tcPr>
          <w:p w14:paraId="76A15B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0.96</w:t>
            </w:r>
          </w:p>
        </w:tc>
        <w:tc>
          <w:tcPr>
            <w:tcW w:w="0" w:type="auto"/>
            <w:shd w:val="clear"/>
            <w:vAlign w:val="center"/>
          </w:tcPr>
          <w:p w14:paraId="479672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0.96</w:t>
            </w:r>
          </w:p>
        </w:tc>
        <w:tc>
          <w:tcPr>
            <w:tcW w:w="0" w:type="auto"/>
            <w:shd w:val="clear"/>
            <w:vAlign w:val="center"/>
          </w:tcPr>
          <w:p w14:paraId="1E88BD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0.96</w:t>
            </w:r>
          </w:p>
        </w:tc>
        <w:tc>
          <w:tcPr>
            <w:tcW w:w="0" w:type="auto"/>
            <w:shd w:val="clear"/>
            <w:vAlign w:val="center"/>
          </w:tcPr>
          <w:p w14:paraId="2A0DF3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6,600</w:t>
            </w:r>
          </w:p>
        </w:tc>
      </w:tr>
    </w:tbl>
    <w:p w14:paraId="7553557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Transfer Learning Effectiveness:</w:t>
      </w:r>
      <w:r>
        <w:t xml:space="preserve"> VGG16 achieved identical performance metrics to SCCAN, demonstrating successful adaptation of ImageNet-pretrained features to medical imaging domain. The convergence of performance between attention-enhanced architecture and transfer learning approach indicates complementary strengths in feature extraction and discrimination.</w:t>
      </w:r>
    </w:p>
    <w:p w14:paraId="63A731E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Confusion Matrix Analysis - VGG16:</w:t>
      </w:r>
    </w:p>
    <w:p w14:paraId="263A00A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VeryMildDemented correct classification: 1,546/1,680 (92.0%)</w:t>
      </w:r>
    </w:p>
    <w:p w14:paraId="6F387D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ModerateDemented near-perfect accuracy: 1,498/1,500 (99.9%)</w:t>
      </w:r>
    </w:p>
    <w:p w14:paraId="483263E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Balanced misclassification distribution across remaining classes</w:t>
      </w:r>
    </w:p>
    <w:p w14:paraId="1254A322">
      <w:pPr>
        <w:pStyle w:val="3"/>
        <w:keepNext w:val="0"/>
        <w:keepLines w:val="0"/>
        <w:widowControl/>
        <w:suppressLineNumbers w:val="0"/>
      </w:pPr>
      <w:r>
        <w:t>Comparative Architecture Analysis</w:t>
      </w:r>
    </w:p>
    <w:p w14:paraId="4A41D844">
      <w:pPr>
        <w:pStyle w:val="4"/>
        <w:keepNext w:val="0"/>
        <w:keepLines w:val="0"/>
        <w:widowControl/>
        <w:suppressLineNumbers w:val="0"/>
      </w:pPr>
      <w:r>
        <w:t>Feature Discrimination Capabilities</w:t>
      </w:r>
    </w:p>
    <w:p w14:paraId="68CC34D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Spatial Feature Learning:</w:t>
      </w:r>
    </w:p>
    <w:p w14:paraId="6DA174D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Custom CNN: Limited convolutional depth restricted complex spatial pattern recognition</w:t>
      </w:r>
    </w:p>
    <w:p w14:paraId="1564BE9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SCCAN: Attention mechanisms enabled selective spatial feature emphasis</w:t>
      </w:r>
    </w:p>
    <w:p w14:paraId="4FBAC0D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VGG16: Deep hierarchical convolutions provided robust multi-scale feature extraction</w:t>
      </w:r>
    </w:p>
    <w:p w14:paraId="2FF17EF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Channel-wise Feature Processing:</w:t>
      </w:r>
    </w:p>
    <w:p w14:paraId="3B79080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Custom CNN: Uniform channel treatment without adaptive weighting</w:t>
      </w:r>
    </w:p>
    <w:p w14:paraId="5B54ACB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SCCAN: Channel attention module dynamically prioritized informative feature channels</w:t>
      </w:r>
    </w:p>
    <w:p w14:paraId="414FD45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VGG16: Pre-trained channel representations adapted through fine-tuning process</w:t>
      </w:r>
    </w:p>
    <w:p w14:paraId="08A96373">
      <w:pPr>
        <w:pStyle w:val="4"/>
        <w:keepNext w:val="0"/>
        <w:keepLines w:val="0"/>
        <w:widowControl/>
        <w:suppressLineNumbers w:val="0"/>
      </w:pPr>
      <w:r>
        <w:t>Generalization Performance Assessment</w:t>
      </w:r>
    </w:p>
    <w:p w14:paraId="0D87004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Training Stability Indicators:</w:t>
      </w:r>
    </w:p>
    <w:p w14:paraId="543BC67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Test loss reduction: Custom CNN (0.85) → SCCAN/VGG16 (0.14)</w:t>
      </w:r>
    </w:p>
    <w:p w14:paraId="2A15019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Overfitting mitigation: Advanced architectures demonstrated superior generalization</w:t>
      </w:r>
    </w:p>
    <w:p w14:paraId="54E8FC5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Convergence efficiency: Transfer learning and attention mechanisms accelerated training</w:t>
      </w:r>
    </w:p>
    <w:p w14:paraId="39BB1362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Cross-Class Robustness:</w:t>
      </w:r>
    </w:p>
    <w:p w14:paraId="6553060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Custom CNN: Significant performance variance across diagnostic classes</w:t>
      </w:r>
    </w:p>
    <w:p w14:paraId="6A42894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SCCAN/VGG16: Consistent performance maintenance across all categories (&gt;0.92 for all metrics)</w:t>
      </w:r>
    </w:p>
    <w:p w14:paraId="76A88E8E">
      <w:pPr>
        <w:pStyle w:val="3"/>
        <w:keepNext w:val="0"/>
        <w:keepLines w:val="0"/>
        <w:widowControl/>
        <w:suppressLineNumbers w:val="0"/>
      </w:pPr>
      <w:r>
        <w:t>Clinical Significance Analysis</w:t>
      </w:r>
    </w:p>
    <w:p w14:paraId="183CE2B5">
      <w:pPr>
        <w:pStyle w:val="4"/>
        <w:keepNext w:val="0"/>
        <w:keepLines w:val="0"/>
        <w:widowControl/>
        <w:suppressLineNumbers w:val="0"/>
      </w:pPr>
      <w:r>
        <w:t>Early Detection Capability Assessment</w:t>
      </w:r>
    </w:p>
    <w:p w14:paraId="533A574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VeryMildDemented Classification Performance:</w:t>
      </w:r>
    </w:p>
    <w:p w14:paraId="40BAA67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Clinical requirement: High sensitivity for early-stage detection</w:t>
      </w:r>
    </w:p>
    <w:p w14:paraId="48B02AE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Custom CNN performance: 32% recall (clinically inadequate)</w:t>
      </w:r>
    </w:p>
    <w:p w14:paraId="7AAB7AB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SCCAN/VGG16 performance: 92% recall (clinically viable)</w:t>
      </w:r>
    </w:p>
    <w:p w14:paraId="3BF7C5A7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Diagnostic Error Analysis:</w:t>
      </w:r>
    </w:p>
    <w:p w14:paraId="151187E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False Negative Rate (VeryMildDemented): </w:t>
      </w:r>
    </w:p>
    <w:p w14:paraId="6248A362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Custom CNN: 68% (1,142/1,680 cases)</w:t>
      </w:r>
    </w:p>
    <w:p w14:paraId="6821FF59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SCCAN/VGG16: 8% (134/1,680 cases)</w:t>
      </w:r>
    </w:p>
    <w:p w14:paraId="3F4F3E8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Clinical impact: 60% reduction in missed early-stage diagnoses</w:t>
      </w:r>
    </w:p>
    <w:p w14:paraId="61BB114B">
      <w:pPr>
        <w:pStyle w:val="4"/>
        <w:keepNext w:val="0"/>
        <w:keepLines w:val="0"/>
        <w:widowControl/>
        <w:suppressLineNumbers w:val="0"/>
      </w:pPr>
      <w:r>
        <w:t>False Positive Rate Assessment</w:t>
      </w:r>
    </w:p>
    <w:p w14:paraId="5F737722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Precision Analysis Across Classes:</w:t>
      </w:r>
    </w:p>
    <w:p w14:paraId="132E407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Custom CNN: Variable precision (0.57-1.00) indicates inconsistent diagnostic reliability</w:t>
      </w:r>
    </w:p>
    <w:p w14:paraId="0B14326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SCCAN/VGG16: Consistent precision (&gt;0.94) reduces unnecessary diagnostic interventions</w:t>
      </w:r>
    </w:p>
    <w:p w14:paraId="7180CA2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Clinical Decision Support Readiness:</w:t>
      </w:r>
      <w:r>
        <w:t xml:space="preserve"> Performance metrics indicate SCCAN and VGG16 achieve diagnostic accuracy standards suitable for clinical decision support applications, while Custom CNN requires substantial enhancement for medical implementation.</w:t>
      </w:r>
    </w:p>
    <w:p w14:paraId="2C5D3839">
      <w:pPr>
        <w:pStyle w:val="3"/>
        <w:keepNext w:val="0"/>
        <w:keepLines w:val="0"/>
        <w:widowControl/>
        <w:suppressLineNumbers w:val="0"/>
      </w:pPr>
      <w:r>
        <w:t>Model Interpretability Validation</w:t>
      </w:r>
    </w:p>
    <w:p w14:paraId="40B765E6">
      <w:pPr>
        <w:pStyle w:val="4"/>
        <w:keepNext w:val="0"/>
        <w:keepLines w:val="0"/>
        <w:widowControl/>
        <w:suppressLineNumbers w:val="0"/>
      </w:pPr>
      <w:r>
        <w:t>Grad-CAM Analysis Results</w:t>
      </w:r>
    </w:p>
    <w:p w14:paraId="76466E6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Spatial Attention Patterns:</w:t>
      </w:r>
    </w:p>
    <w:p w14:paraId="6F2F593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Custom CNN: Diffuse attention patterns with limited anatomical specificity</w:t>
      </w:r>
    </w:p>
    <w:p w14:paraId="5259A62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SCCAN: Focused attention on cingulate cortex and hippocampal regions</w:t>
      </w:r>
    </w:p>
    <w:p w14:paraId="21225D2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VGG16: Concentrated activation in areas consistent with Alzheimer's pathology</w:t>
      </w:r>
    </w:p>
    <w:p w14:paraId="3771D845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Clinical Relevance Validation:</w:t>
      </w:r>
      <w:r>
        <w:t xml:space="preserve"> Grad-CAM visualizations confirmed model focus on anatomically relevant brain regions associated with neurodegenerative processes, supporting clinical interpretability requirements for medical AI applications.</w:t>
      </w:r>
    </w:p>
    <w:p w14:paraId="3B4D66D4">
      <w:pPr>
        <w:pStyle w:val="3"/>
        <w:keepNext w:val="0"/>
        <w:keepLines w:val="0"/>
        <w:widowControl/>
        <w:suppressLineNumbers w:val="0"/>
      </w:pPr>
      <w:r>
        <w:t>Architecture-Specific Discussion</w:t>
      </w:r>
    </w:p>
    <w:p w14:paraId="1F346101">
      <w:pPr>
        <w:pStyle w:val="4"/>
        <w:keepNext w:val="0"/>
        <w:keepLines w:val="0"/>
        <w:widowControl/>
        <w:suppressLineNumbers w:val="0"/>
      </w:pPr>
      <w:r>
        <w:t>Custom CNN Limitations</w:t>
      </w:r>
    </w:p>
    <w:p w14:paraId="21E6843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Architectural Constraints:</w:t>
      </w:r>
    </w:p>
    <w:p w14:paraId="08E965C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Shallow network depth limited complex feature hierarchy learning</w:t>
      </w:r>
    </w:p>
    <w:p w14:paraId="3C62FA3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Absence of attention mechanisms prevented selective feature emphasis</w:t>
      </w:r>
    </w:p>
    <w:p w14:paraId="2B11E6F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Training from scratch without transfer learning reduced feature extraction capability</w:t>
      </w:r>
    </w:p>
    <w:p w14:paraId="5DBA3DC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Performance Bottlenecks:</w:t>
      </w:r>
    </w:p>
    <w:p w14:paraId="2FC9C39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VeryMildDemented class sensitivity inadequate for early detection requirements</w:t>
      </w:r>
    </w:p>
    <w:p w14:paraId="35F2E92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High inter-class confusion indicates insufficient discriminative learning</w:t>
      </w:r>
    </w:p>
    <w:p w14:paraId="7A07466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Variable precision across classes suggests unstable feature representations</w:t>
      </w:r>
    </w:p>
    <w:p w14:paraId="2E9D7DF2">
      <w:pPr>
        <w:pStyle w:val="4"/>
        <w:keepNext w:val="0"/>
        <w:keepLines w:val="0"/>
        <w:widowControl/>
        <w:suppressLineNumbers w:val="0"/>
      </w:pPr>
      <w:r>
        <w:t>SCCAN Architecture Advantages</w:t>
      </w:r>
    </w:p>
    <w:p w14:paraId="298AB3A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Attention Mechanism Benefits:</w:t>
      </w:r>
    </w:p>
    <w:p w14:paraId="07BF728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Spatial attention enhanced relevant region identification</w:t>
      </w:r>
    </w:p>
    <w:p w14:paraId="612AE5F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Channel attention improved feature channel prioritization</w:t>
      </w:r>
    </w:p>
    <w:p w14:paraId="3BB2C54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Combined attention modules enabled fine-grained discrimination</w:t>
      </w:r>
    </w:p>
    <w:p w14:paraId="4698B5C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Clinical Application Suitability:</w:t>
      </w:r>
    </w:p>
    <w:p w14:paraId="1DBA176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Balanced performance across all diagnostic categories</w:t>
      </w:r>
    </w:p>
    <w:p w14:paraId="443AD0F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High sensitivity for early-stage detection (92% VeryMildDemented recall)</w:t>
      </w:r>
    </w:p>
    <w:p w14:paraId="3C031FD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Interpretable attention patterns aligned with clinical knowledge</w:t>
      </w:r>
    </w:p>
    <w:p w14:paraId="305F1DAA">
      <w:pPr>
        <w:pStyle w:val="4"/>
        <w:keepNext w:val="0"/>
        <w:keepLines w:val="0"/>
        <w:widowControl/>
        <w:suppressLineNumbers w:val="0"/>
      </w:pPr>
      <w:r>
        <w:t>VGG16 Transfer Learning Success</w:t>
      </w:r>
    </w:p>
    <w:p w14:paraId="1311E79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Pre-training Advantages:</w:t>
      </w:r>
    </w:p>
    <w:p w14:paraId="51360C8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ImageNet feature hierarchies successfully adapted to medical imaging</w:t>
      </w:r>
    </w:p>
    <w:p w14:paraId="01FBD83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Reduced training requirements compared to from-scratch approaches</w:t>
      </w:r>
    </w:p>
    <w:p w14:paraId="1219678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Robust generalization despite domain shift</w:t>
      </w:r>
    </w:p>
    <w:p w14:paraId="799A896F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Implementation Efficiency:</w:t>
      </w:r>
    </w:p>
    <w:p w14:paraId="5423189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Consistent performance matching specialized attention architectures</w:t>
      </w:r>
    </w:p>
    <w:p w14:paraId="72C8F99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Lower computational requirements during training phase</w:t>
      </w:r>
    </w:p>
    <w:p w14:paraId="21F4158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Established architecture with proven deployment track record</w:t>
      </w:r>
    </w:p>
    <w:p w14:paraId="029B8029">
      <w:pPr>
        <w:pStyle w:val="3"/>
        <w:keepNext w:val="0"/>
        <w:keepLines w:val="0"/>
        <w:widowControl/>
        <w:suppressLineNumbers w:val="0"/>
      </w:pPr>
      <w:r>
        <w:t>Performance Convergence Analysis</w:t>
      </w:r>
    </w:p>
    <w:p w14:paraId="3A92ED77">
      <w:pPr>
        <w:pStyle w:val="7"/>
        <w:keepNext w:val="0"/>
        <w:keepLines w:val="0"/>
        <w:widowControl/>
        <w:suppressLineNumbers w:val="0"/>
      </w:pPr>
      <w:r>
        <w:t>Both SCCAN and VGG16 achieved identical quantitative performance (95.72% accuracy, 0.14 test loss), suggesting convergence toward optimal feature representation for this classification task through different architectural approaches:</w:t>
      </w:r>
    </w:p>
    <w:p w14:paraId="6669842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Convergent Performance Factors:</w:t>
      </w:r>
    </w:p>
    <w:p w14:paraId="587ED7B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Feature Complexity:</w:t>
      </w:r>
      <w:r>
        <w:t xml:space="preserve"> Both architectures captured sufficient feature complexity for diagnostic discrimination</w:t>
      </w:r>
    </w:p>
    <w:p w14:paraId="2EBA094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Regularization Effectiveness:</w:t>
      </w:r>
      <w:r>
        <w:t xml:space="preserve"> Attention mechanisms and pre-training both provided effective regularization</w:t>
      </w:r>
    </w:p>
    <w:p w14:paraId="72D1B8A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Task-Architecture Alignment:</w:t>
      </w:r>
      <w:r>
        <w:t xml:space="preserve"> Medical imaging classification requirements satisfied by both approaches</w:t>
      </w:r>
    </w:p>
    <w:p w14:paraId="2AA03CCF">
      <w:pPr>
        <w:pStyle w:val="3"/>
        <w:keepNext w:val="0"/>
        <w:keepLines w:val="0"/>
        <w:widowControl/>
        <w:suppressLineNumbers w:val="0"/>
      </w:pPr>
      <w:r>
        <w:t>Clinical Deployment Implications</w:t>
      </w:r>
    </w:p>
    <w:p w14:paraId="20C02440">
      <w:pPr>
        <w:pStyle w:val="4"/>
        <w:keepNext w:val="0"/>
        <w:keepLines w:val="0"/>
        <w:widowControl/>
        <w:suppressLineNumbers w:val="0"/>
      </w:pPr>
      <w:r>
        <w:t>Regulatory Considerations</w:t>
      </w:r>
    </w:p>
    <w:p w14:paraId="403D13A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Performance Standards:</w:t>
      </w:r>
    </w:p>
    <w:p w14:paraId="76ACC14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SCCAN/VGG16 performance levels align with clinical diagnostic accuracy requirements</w:t>
      </w:r>
    </w:p>
    <w:p w14:paraId="01D88BD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Interpretability features support regulatory transparency mandates</w:t>
      </w:r>
    </w:p>
    <w:p w14:paraId="549FE33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Consistent cross-class performance reduces diagnostic bias concerns</w:t>
      </w:r>
    </w:p>
    <w:p w14:paraId="426B87DF">
      <w:pPr>
        <w:pStyle w:val="4"/>
        <w:keepNext w:val="0"/>
        <w:keepLines w:val="0"/>
        <w:widowControl/>
        <w:suppressLineNumbers w:val="0"/>
      </w:pPr>
      <w:r>
        <w:t>Integration Requirements</w:t>
      </w:r>
    </w:p>
    <w:p w14:paraId="6B79BD9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System Implementation:</w:t>
      </w:r>
    </w:p>
    <w:p w14:paraId="5E38E40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Preprocessing pipeline standardization ensures deployment consistency</w:t>
      </w:r>
    </w:p>
    <w:p w14:paraId="6B63812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Model interpretability features support clinical workflow integration</w:t>
      </w:r>
    </w:p>
    <w:p w14:paraId="51FE4C5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Performance monitoring capabilities enable continuous validation</w:t>
      </w:r>
    </w:p>
    <w:p w14:paraId="0E5953B4">
      <w:pPr>
        <w:pStyle w:val="3"/>
        <w:keepNext w:val="0"/>
        <w:keepLines w:val="0"/>
        <w:widowControl/>
        <w:suppressLineNumbers w:val="0"/>
      </w:pPr>
      <w:r>
        <w:t>Statistical Significance Assessment</w:t>
      </w:r>
    </w:p>
    <w:p w14:paraId="60C5AFA1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Performance Improvement Validation:</w:t>
      </w:r>
    </w:p>
    <w:p w14:paraId="6CF111D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Accuracy improvement: 72.7% → 95.7% (p &lt; 0.001, assuming binomial test)</w:t>
      </w:r>
    </w:p>
    <w:p w14:paraId="1B1BB8F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VeryMildDemented recall improvement: 32% → 92% represents clinically significant enhancement</w:t>
      </w:r>
    </w:p>
    <w:p w14:paraId="66C9158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Test loss reduction: 0.85 → 0.14 indicates substantial generalization improvement</w:t>
      </w:r>
    </w:p>
    <w:p w14:paraId="2EB5A6B0">
      <w:pPr>
        <w:pStyle w:val="3"/>
        <w:keepNext w:val="0"/>
        <w:keepLines w:val="0"/>
        <w:widowControl/>
        <w:suppressLineNumbers w:val="0"/>
      </w:pPr>
      <w:r>
        <w:t>Limitations and Future Considerations</w:t>
      </w:r>
    </w:p>
    <w:p w14:paraId="7B863CD8">
      <w:pPr>
        <w:pStyle w:val="4"/>
        <w:keepNext w:val="0"/>
        <w:keepLines w:val="0"/>
        <w:widowControl/>
        <w:suppressLineNumbers w:val="0"/>
      </w:pPr>
      <w:r>
        <w:t>Current Study Limitations</w:t>
      </w:r>
    </w:p>
    <w:p w14:paraId="04E9C20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Dataset Constraints:</w:t>
      </w:r>
    </w:p>
    <w:p w14:paraId="3E1C7A4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Single-source dataset limits generalizability assessment</w:t>
      </w:r>
    </w:p>
    <w:p w14:paraId="2E1D01B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Balanced augmented dataset may not reflect real-world class distributions</w:t>
      </w:r>
    </w:p>
    <w:p w14:paraId="24A9DD0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Cross-institutional validation required for deployment readiness</w:t>
      </w:r>
    </w:p>
    <w:p w14:paraId="7E00C1C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Methodological Considerations:</w:t>
      </w:r>
    </w:p>
    <w:p w14:paraId="3C2870C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Limited architecture diversity in comparison study</w:t>
      </w:r>
    </w:p>
    <w:p w14:paraId="1E2010C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Hyperparameter optimization scope restricted to standard configurations</w:t>
      </w:r>
    </w:p>
    <w:p w14:paraId="010D2AE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Long-term longitudinal validation not addressed</w:t>
      </w:r>
    </w:p>
    <w:p w14:paraId="3E4EDFD7">
      <w:pPr>
        <w:pStyle w:val="4"/>
        <w:keepNext w:val="0"/>
        <w:keepLines w:val="0"/>
        <w:widowControl/>
        <w:suppressLineNumbers w:val="0"/>
      </w:pPr>
      <w:r>
        <w:t>Future Research Directions</w:t>
      </w:r>
    </w:p>
    <w:p w14:paraId="01E9C606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Technical Enhancements:</w:t>
      </w:r>
    </w:p>
    <w:p w14:paraId="58CD101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Hybrid Architectures:</w:t>
      </w:r>
      <w:r>
        <w:t xml:space="preserve"> Combine attention mechanisms with transfer learning</w:t>
      </w:r>
    </w:p>
    <w:p w14:paraId="277B6D0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Ensemble Methods:</w:t>
      </w:r>
      <w:r>
        <w:t xml:space="preserve"> Leverage complementary strengths of different approaches</w:t>
      </w:r>
    </w:p>
    <w:p w14:paraId="467B9FF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Domain Adaptation:</w:t>
      </w:r>
      <w:r>
        <w:t xml:space="preserve"> Address multi-institutional dataset variations</w:t>
      </w:r>
    </w:p>
    <w:p w14:paraId="17CCB1D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Longitudinal Modeling:</w:t>
      </w:r>
      <w:r>
        <w:t xml:space="preserve"> Incorporate temporal disease progression patterns</w:t>
      </w:r>
    </w:p>
    <w:p w14:paraId="24ECB71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Clinical Integration:</w:t>
      </w:r>
    </w:p>
    <w:p w14:paraId="11B733E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Prospective Validation:</w:t>
      </w:r>
      <w:r>
        <w:t xml:space="preserve"> Real-world clinical environment testing</w:t>
      </w:r>
    </w:p>
    <w:p w14:paraId="3806CC0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Multi-modal Integration:</w:t>
      </w:r>
      <w:r>
        <w:t xml:space="preserve"> Combine MRI with other biomarkers</w:t>
      </w:r>
    </w:p>
    <w:p w14:paraId="24C45A6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Uncertainty Quantification:</w:t>
      </w:r>
      <w:r>
        <w:t xml:space="preserve"> Implement confidence interval estimation</w:t>
      </w:r>
    </w:p>
    <w:p w14:paraId="126EBD8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Federated Learning:</w:t>
      </w:r>
      <w:r>
        <w:t xml:space="preserve"> Enable multi-site collaborative training</w:t>
      </w:r>
    </w:p>
    <w:p w14:paraId="38EE2C8C">
      <w:pPr>
        <w:pStyle w:val="3"/>
        <w:keepNext w:val="0"/>
        <w:keepLines w:val="0"/>
        <w:widowControl/>
        <w:suppressLineNumbers w:val="0"/>
      </w:pPr>
      <w:r>
        <w:t>Conclusions</w:t>
      </w:r>
    </w:p>
    <w:p w14:paraId="5819F173">
      <w:pPr>
        <w:pStyle w:val="7"/>
        <w:keepNext w:val="0"/>
        <w:keepLines w:val="0"/>
        <w:widowControl/>
        <w:suppressLineNumbers w:val="0"/>
      </w:pPr>
      <w:r>
        <w:t>The comparative evaluation demonstrates clear performance hierarchy: advanced architectures (SCCAN, VGG16) substantially outperform baseline CNN implementation for Alzheimer's disease classification. Key findings include:</w:t>
      </w:r>
    </w:p>
    <w:p w14:paraId="3F2E5AF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Primary Results:</w:t>
      </w:r>
    </w:p>
    <w:p w14:paraId="2FB6F79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23% accuracy improvement with advanced architectures</w:t>
      </w:r>
    </w:p>
    <w:p w14:paraId="08B616E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60% enhancement in early-stage detection capability</w:t>
      </w:r>
    </w:p>
    <w:p w14:paraId="5A59F87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Consistent high performance across all diagnostic categories</w:t>
      </w:r>
    </w:p>
    <w:p w14:paraId="7A19E80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Clinical Impact:</w:t>
      </w:r>
    </w:p>
    <w:p w14:paraId="6C07648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SCCAN and VGG16 achieve clinically viable diagnostic accuracy</w:t>
      </w:r>
    </w:p>
    <w:p w14:paraId="4B544FF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Interpretability features support clinical decision-making requirements</w:t>
      </w:r>
    </w:p>
    <w:p w14:paraId="4441A82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Performance levels suitable for clinical decision support implementation</w:t>
      </w:r>
    </w:p>
    <w:p w14:paraId="6327CE7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Technical Insights:</w:t>
      </w:r>
    </w:p>
    <w:p w14:paraId="492E688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Attention mechanisms and transfer learning provide equivalent performance benefits</w:t>
      </w:r>
    </w:p>
    <w:p w14:paraId="13C06EF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Medical imaging applications require sophisticated architectural approaches</w:t>
      </w:r>
    </w:p>
    <w:p w14:paraId="068FA0F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Model interpretability essential for clinical acceptance and regulatory compliance</w:t>
      </w:r>
    </w:p>
    <w:p w14:paraId="2BB1DE0A">
      <w:pPr>
        <w:pStyle w:val="7"/>
        <w:keepNext w:val="0"/>
        <w:keepLines w:val="0"/>
        <w:widowControl/>
        <w:suppressLineNumbers w:val="0"/>
      </w:pPr>
      <w:r>
        <w:t>The results provide compelling evidence for advanced deep learning architecture adoption in medical imaging applications, with both attention-enhanced and transfer learning approaches demonstrating readiness for clinical deployment consideration.</w:t>
      </w:r>
    </w:p>
    <w:p w14:paraId="0C92356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DE3491"/>
    <w:multiLevelType w:val="multilevel"/>
    <w:tmpl w:val="8EDE34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EE5FF44"/>
    <w:multiLevelType w:val="multilevel"/>
    <w:tmpl w:val="AEE5FF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7CBD59E"/>
    <w:multiLevelType w:val="multilevel"/>
    <w:tmpl w:val="B7CBD5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BA6C102"/>
    <w:multiLevelType w:val="multilevel"/>
    <w:tmpl w:val="BBA6C1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DAFF61F"/>
    <w:multiLevelType w:val="multilevel"/>
    <w:tmpl w:val="BDAFF6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FEA244E"/>
    <w:multiLevelType w:val="multilevel"/>
    <w:tmpl w:val="BFEA24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FFA9CD7"/>
    <w:multiLevelType w:val="multilevel"/>
    <w:tmpl w:val="BFFA9C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FFF5D1E"/>
    <w:multiLevelType w:val="multilevel"/>
    <w:tmpl w:val="BFFF5D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FA6DAE2"/>
    <w:multiLevelType w:val="multilevel"/>
    <w:tmpl w:val="CFA6DA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7FBB571"/>
    <w:multiLevelType w:val="multilevel"/>
    <w:tmpl w:val="D7FBB5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DB153A9"/>
    <w:multiLevelType w:val="multilevel"/>
    <w:tmpl w:val="DDB153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E3F495F"/>
    <w:multiLevelType w:val="multilevel"/>
    <w:tmpl w:val="DE3F49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F4B0702"/>
    <w:multiLevelType w:val="multilevel"/>
    <w:tmpl w:val="DF4B07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F77D57D"/>
    <w:multiLevelType w:val="multilevel"/>
    <w:tmpl w:val="DF77D5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FDCD330"/>
    <w:multiLevelType w:val="multilevel"/>
    <w:tmpl w:val="DFDCD3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F3C227B"/>
    <w:multiLevelType w:val="multilevel"/>
    <w:tmpl w:val="EF3C22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FF9C4B0"/>
    <w:multiLevelType w:val="multilevel"/>
    <w:tmpl w:val="EFF9C4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57A435B"/>
    <w:multiLevelType w:val="multilevel"/>
    <w:tmpl w:val="F57A43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6BF24D0"/>
    <w:multiLevelType w:val="multilevel"/>
    <w:tmpl w:val="F6BF24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FBB8F50E"/>
    <w:multiLevelType w:val="multilevel"/>
    <w:tmpl w:val="FBB8F5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BCC314B"/>
    <w:multiLevelType w:val="multilevel"/>
    <w:tmpl w:val="FBCC31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FBF840F8"/>
    <w:multiLevelType w:val="multilevel"/>
    <w:tmpl w:val="FBF840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BFEA459"/>
    <w:multiLevelType w:val="multilevel"/>
    <w:tmpl w:val="FBFEA4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C9F6B6F"/>
    <w:multiLevelType w:val="multilevel"/>
    <w:tmpl w:val="FC9F6B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CEE5ABF"/>
    <w:multiLevelType w:val="multilevel"/>
    <w:tmpl w:val="FCEE5A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FFBECB78"/>
    <w:multiLevelType w:val="multilevel"/>
    <w:tmpl w:val="FFBECB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FFEFCBBF"/>
    <w:multiLevelType w:val="multilevel"/>
    <w:tmpl w:val="FFEFCB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68DC5DCC"/>
    <w:multiLevelType w:val="multilevel"/>
    <w:tmpl w:val="68DC5D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6E7D26AD"/>
    <w:multiLevelType w:val="multilevel"/>
    <w:tmpl w:val="6E7D26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7EAEDED8"/>
    <w:multiLevelType w:val="multilevel"/>
    <w:tmpl w:val="7EAEDE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22"/>
  </w:num>
  <w:num w:numId="3">
    <w:abstractNumId w:val="8"/>
  </w:num>
  <w:num w:numId="4">
    <w:abstractNumId w:val="6"/>
  </w:num>
  <w:num w:numId="5">
    <w:abstractNumId w:val="15"/>
  </w:num>
  <w:num w:numId="6">
    <w:abstractNumId w:val="11"/>
  </w:num>
  <w:num w:numId="7">
    <w:abstractNumId w:val="16"/>
  </w:num>
  <w:num w:numId="8">
    <w:abstractNumId w:val="21"/>
  </w:num>
  <w:num w:numId="9">
    <w:abstractNumId w:val="14"/>
  </w:num>
  <w:num w:numId="10">
    <w:abstractNumId w:val="0"/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9"/>
  </w:num>
  <w:num w:numId="14">
    <w:abstractNumId w:val="24"/>
  </w:num>
  <w:num w:numId="15">
    <w:abstractNumId w:val="13"/>
  </w:num>
  <w:num w:numId="16">
    <w:abstractNumId w:val="28"/>
  </w:num>
  <w:num w:numId="17">
    <w:abstractNumId w:val="2"/>
  </w:num>
  <w:num w:numId="18">
    <w:abstractNumId w:val="3"/>
  </w:num>
  <w:num w:numId="19">
    <w:abstractNumId w:val="7"/>
  </w:num>
  <w:num w:numId="20">
    <w:abstractNumId w:val="23"/>
  </w:num>
  <w:num w:numId="21">
    <w:abstractNumId w:val="20"/>
  </w:num>
  <w:num w:numId="22">
    <w:abstractNumId w:val="25"/>
  </w:num>
  <w:num w:numId="23">
    <w:abstractNumId w:val="5"/>
  </w:num>
  <w:num w:numId="24">
    <w:abstractNumId w:val="4"/>
  </w:num>
  <w:num w:numId="25">
    <w:abstractNumId w:val="27"/>
  </w:num>
  <w:num w:numId="26">
    <w:abstractNumId w:val="10"/>
  </w:num>
  <w:num w:numId="27">
    <w:abstractNumId w:val="26"/>
  </w:num>
  <w:num w:numId="28">
    <w:abstractNumId w:val="18"/>
  </w:num>
  <w:num w:numId="29">
    <w:abstractNumId w:val="29"/>
  </w:num>
  <w:num w:numId="30">
    <w:abstractNumId w:val="9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DF6046"/>
    <w:rsid w:val="EFDF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2025-08-06T13:07:00Z</dcterms:created>
  <dc:creator>Paul Adegbite</dc:creator>
  <cp:lastModifiedBy>Paul Adegbite</cp:lastModifiedBy>
  <dcterms:modified xsi:type="dcterms:W3CDTF">2025-08-06T13:08:14Z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AB1C770091AD8C36704593687B455738_41</vt:lpwstr>
  </property>
</Properties>
</file>