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aps/>
          <w:color w:val="595959"/>
          <w:sz w:val="26"/>
          <w:szCs w:val="26"/>
        </w:rPr>
        <w:t xml:space="preserve">HERTFORDSHIRE FREEMASONS</w:t>
      </w:r>
    </w:p>
    <w:p>
      <w:pPr>
        <w:spacing w:after="120"/>
        <w:jc w:val="center"/>
      </w:pPr>
      <w:r>
        <w:rPr>
          <w:b/>
          <w:bCs/>
          <w:color w:val="1F3864"/>
          <w:sz w:val="56"/>
          <w:szCs w:val="56"/>
        </w:rPr>
        <w:t xml:space="preserve">Knowledge Base Analysis</w:t>
      </w:r>
    </w:p>
    <w:p>
      <w:pPr>
        <w:spacing w:after="300"/>
        <w:jc w:val="center"/>
      </w:pPr>
      <w:r>
        <w:rPr>
          <w:color w:val="2E5395"/>
          <w:sz w:val="30"/>
          <w:szCs w:val="30"/>
        </w:rPr>
        <w:t xml:space="preserve">The Hertfordshire Mentoring Framework</w:t>
      </w:r>
    </w:p>
    <w:p>
      <w:pPr>
        <w:spacing w:after="500"/>
        <w:jc w:val="center"/>
      </w:pPr>
      <w:r>
        <w:rPr>
          <w:i/>
          <w:iCs/>
          <w:color w:val="1F3864"/>
          <w:sz w:val="26"/>
          <w:szCs w:val="26"/>
        </w:rPr>
        <w:t xml:space="preserve">Prepare  •  Guide  •  Support  •  Enlighten</w:t>
      </w:r>
    </w:p>
    <w:p>
      <w:pPr>
        <w:spacing w:after="80"/>
        <w:jc w:val="center"/>
      </w:pPr>
      <w:r>
        <w:rPr>
          <w:b/>
          <w:bCs/>
          <w:sz w:val="24"/>
          <w:szCs w:val="24"/>
        </w:rPr>
        <w:t xml:space="preserve">Issue 1a (Working Draft - decisions of July 2026 recorded)</w:t>
      </w:r>
    </w:p>
    <w:p>
      <w:pPr>
        <w:spacing w:after="80"/>
        <w:jc w:val="center"/>
      </w:pPr>
      <w:r>
        <w:rPr>
          <w:sz w:val="24"/>
          <w:szCs w:val="24"/>
        </w:rPr>
        <w:t xml:space="preserve">July 2026</w:t>
      </w:r>
    </w:p>
    <w:p>
      <w:pPr>
        <w:spacing w:before="400"/>
        <w:jc w:val="center"/>
      </w:pPr>
      <w:r>
        <w:rPr>
          <w:i/>
          <w:iCs/>
          <w:color w:val="595959"/>
          <w:sz w:val="20"/>
          <w:szCs w:val="20"/>
        </w:rPr>
        <w:t xml:space="preserve">Internal working paper for the Provincial Mentoring Team - not for circulation</w:t>
      </w:r>
    </w:p>
    <w:p>
      <w:r>
        <w:br w:type="page"/>
      </w:r>
    </w:p>
    <w:p>
      <w:pPr>
        <w:spacing w:after="200"/>
      </w:pPr>
      <w:r>
        <w:rPr>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Purpose and Approach</w:t>
      </w:r>
    </w:p>
    <w:p>
      <w:pPr>
        <w:spacing w:after="140" w:line="300"/>
        <w:jc w:val="both"/>
      </w:pPr>
      <w:r>
        <w:t xml:space="preserve">This paper records a full analysis of the forty-one documents currently held in the Hertfordshire Mentoring knowledge base. Every document has been read and catalogued. The purpose is threefold: to establish what the knowledge base collectively says about mentoring in Hertfordshire; to identify inconsistencies, overlaps and gaps before new material is written; and to harvest the best ideas from external sources so that future Hertfordshire documents are built on the strongest available evidence and practice.</w:t>
      </w:r>
    </w:p>
    <w:p>
      <w:pPr>
        <w:spacing w:after="140" w:line="300"/>
        <w:jc w:val="both"/>
      </w:pPr>
      <w:r>
        <w:t xml:space="preserve">This analysis is the evidence base for the companion document, The Hertfordshire Mentoring Framework: Master Framework and Library Architecture, which proposes how every future handbook, guide, presentation and publication fits together.</w:t>
      </w:r>
    </w:p>
    <w:p>
      <w:pPr>
        <w:spacing w:after="140" w:line="300"/>
        <w:jc w:val="both"/>
      </w:pPr>
      <w:r>
        <w:t xml:space="preserve">A working principle applied throughout: the Hertfordshire documents are treated as authoritative statements of intent; UGLE Members' Pathway documents as the national baseline; and other Provinces' material as comparative reference - to be learned from, credited and localised, </w:t>
      </w:r>
      <w:r>
        <w:rPr>
          <w:i/>
          <w:iCs/>
        </w:rPr>
        <w:t xml:space="preserve">never copied</w:t>
      </w:r>
      <w:r>
        <w:t xml:space="preserve">.</w:t>
      </w:r>
    </w:p>
    <w:p>
      <w:pPr>
        <w:pStyle w:val="Heading1"/>
        <w:spacing w:after="160" w:before="360"/>
      </w:pPr>
      <w:r>
        <w:t xml:space="preserve">2. What the Knowledge Base Contains</w:t>
      </w:r>
    </w:p>
    <w:p>
      <w:pPr>
        <w:spacing w:after="140" w:line="300"/>
        <w:jc w:val="both"/>
      </w:pPr>
      <w:r>
        <w:t xml:space="preserve">The forty-one documents fall into five natural categories.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3500"/>
      </w:tblGrid>
      <w:tr>
        <w:trPr>
          <w:tblHeader/>
        </w:trPr>
        <w:tc>
          <w:tcPr>
            <w:tcW w:type="dxa" w:w="2300"/>
            <w:shd w:fill="1F3864" w:val="clear"/>
            <w:tcMar>
              <w:top w:type="dxa" w:w="60"/>
              <w:left w:type="dxa" w:w="100"/>
              <w:bottom w:type="dxa" w:w="60"/>
              <w:right w:type="dxa" w:w="100"/>
            </w:tcMar>
          </w:tcPr>
          <w:p>
            <w:pPr>
              <w:spacing w:after="40" w:line="260"/>
            </w:pPr>
            <w:r>
              <w:rPr>
                <w:b/>
                <w:bCs/>
                <w:color w:val="FFFFFF"/>
                <w:sz w:val="20"/>
                <w:szCs w:val="20"/>
              </w:rPr>
              <w:t xml:space="preserve">Category</w:t>
            </w:r>
          </w:p>
        </w:tc>
        <w:tc>
          <w:tcPr>
            <w:tcW w:type="dxa" w:w="4200"/>
            <w:shd w:fill="1F3864" w:val="clear"/>
            <w:tcMar>
              <w:top w:type="dxa" w:w="60"/>
              <w:left w:type="dxa" w:w="100"/>
              <w:bottom w:type="dxa" w:w="60"/>
              <w:right w:type="dxa" w:w="100"/>
            </w:tcMar>
          </w:tcPr>
          <w:p>
            <w:pPr>
              <w:spacing w:after="40" w:line="260"/>
            </w:pPr>
            <w:r>
              <w:rPr>
                <w:b/>
                <w:bCs/>
                <w:color w:val="FFFFFF"/>
                <w:sz w:val="20"/>
                <w:szCs w:val="20"/>
              </w:rPr>
              <w:t xml:space="preserve">Documents</w:t>
            </w:r>
          </w:p>
        </w:tc>
        <w:tc>
          <w:tcPr>
            <w:tcW w:type="dxa" w:w="3500"/>
            <w:shd w:fill="1F3864" w:val="clear"/>
            <w:tcMar>
              <w:top w:type="dxa" w:w="60"/>
              <w:left w:type="dxa" w:w="100"/>
              <w:bottom w:type="dxa" w:w="60"/>
              <w:right w:type="dxa" w:w="100"/>
            </w:tcMar>
          </w:tcPr>
          <w:p>
            <w:pPr>
              <w:spacing w:after="40" w:line="260"/>
            </w:pPr>
            <w:r>
              <w:rPr>
                <w:b/>
                <w:bCs/>
                <w:color w:val="FFFFFF"/>
                <w:sz w:val="20"/>
                <w:szCs w:val="20"/>
              </w:rPr>
              <w:t xml:space="preserve">Role in the framework</w:t>
            </w:r>
          </w:p>
        </w:tc>
      </w:tr>
      <w:tr>
        <w:tc>
          <w:tcPr>
            <w:tcW w:type="dxa" w:w="2300"/>
            <w:tcMar>
              <w:top w:type="dxa" w:w="60"/>
              <w:left w:type="dxa" w:w="100"/>
              <w:bottom w:type="dxa" w:w="60"/>
              <w:right w:type="dxa" w:w="100"/>
            </w:tcMar>
          </w:tcPr>
          <w:p>
            <w:pPr>
              <w:spacing w:after="40" w:line="260"/>
            </w:pPr>
            <w:r>
              <w:rPr>
                <w:b/>
                <w:bCs/>
                <w:sz w:val="20"/>
                <w:szCs w:val="20"/>
              </w:rPr>
              <w:t xml:space="preserve">Hertfordshire core mentoring suite</w:t>
            </w:r>
          </w:p>
        </w:tc>
        <w:tc>
          <w:tcPr>
            <w:tcW w:type="dxa" w:w="4200"/>
            <w:tcMar>
              <w:top w:type="dxa" w:w="60"/>
              <w:left w:type="dxa" w:w="100"/>
              <w:bottom w:type="dxa" w:w="60"/>
              <w:right w:type="dxa" w:w="100"/>
            </w:tcMar>
          </w:tcPr>
          <w:p>
            <w:pPr>
              <w:spacing w:after="40" w:line="260"/>
            </w:pPr>
            <w:r>
              <w:rPr>
                <w:sz w:val="20"/>
                <w:szCs w:val="20"/>
              </w:rPr>
              <w:t xml:space="preserve">Provincial Mentoring Framework 2026 (v2.2a)</w:t>
            </w:r>
          </w:p>
          <w:p>
            <w:pPr>
              <w:spacing w:after="40" w:line="260"/>
            </w:pPr>
            <w:r>
              <w:rPr>
                <w:sz w:val="20"/>
                <w:szCs w:val="20"/>
              </w:rPr>
              <w:t xml:space="preserve">Lodge Mentor's Guide (Issue 1, 2026)</w:t>
            </w:r>
          </w:p>
          <w:p>
            <w:pPr>
              <w:spacing w:after="40" w:line="260"/>
            </w:pPr>
            <w:r>
              <w:rPr>
                <w:sz w:val="20"/>
                <w:szCs w:val="20"/>
              </w:rPr>
              <w:t xml:space="preserve">Personal Mentoring Plan (Issue 1, 2026)</w:t>
            </w:r>
          </w:p>
          <w:p>
            <w:pPr>
              <w:spacing w:after="40" w:line="260"/>
            </w:pPr>
            <w:r>
              <w:rPr>
                <w:sz w:val="20"/>
                <w:szCs w:val="20"/>
              </w:rPr>
              <w:t xml:space="preserve">Mentor's Jewel address (draft)</w:t>
            </w:r>
          </w:p>
          <w:p>
            <w:pPr>
              <w:spacing w:after="40" w:line="260"/>
            </w:pPr>
            <w:r>
              <w:rPr>
                <w:sz w:val="20"/>
                <w:szCs w:val="20"/>
              </w:rPr>
              <w:t xml:space="preserve">In That Order - book draft 2 (28.03.2026)</w:t>
            </w:r>
          </w:p>
        </w:tc>
        <w:tc>
          <w:tcPr>
            <w:tcW w:type="dxa" w:w="3500"/>
            <w:tcMar>
              <w:top w:type="dxa" w:w="60"/>
              <w:left w:type="dxa" w:w="100"/>
              <w:bottom w:type="dxa" w:w="60"/>
              <w:right w:type="dxa" w:w="100"/>
            </w:tcMar>
          </w:tcPr>
          <w:p>
            <w:pPr>
              <w:spacing w:after="40" w:line="260"/>
            </w:pPr>
            <w:r>
              <w:rPr>
                <w:sz w:val="20"/>
                <w:szCs w:val="20"/>
              </w:rPr>
              <w:t xml:space="preserve">The primary sources. These define the Province's philosophy, structure, four principles, member journey and working tools.</w:t>
            </w:r>
          </w:p>
        </w:tc>
      </w:tr>
      <w:tr>
        <w:tc>
          <w:tcPr>
            <w:tcW w:type="dxa" w:w="2300"/>
            <w:tcMar>
              <w:top w:type="dxa" w:w="60"/>
              <w:left w:type="dxa" w:w="100"/>
              <w:bottom w:type="dxa" w:w="60"/>
              <w:right w:type="dxa" w:w="100"/>
            </w:tcMar>
          </w:tcPr>
          <w:p>
            <w:pPr>
              <w:spacing w:after="40" w:line="260"/>
            </w:pPr>
            <w:r>
              <w:rPr>
                <w:b/>
                <w:bCs/>
                <w:sz w:val="20"/>
                <w:szCs w:val="20"/>
              </w:rPr>
              <w:t xml:space="preserve">Hertfordshire officer guides</w:t>
            </w:r>
          </w:p>
        </w:tc>
        <w:tc>
          <w:tcPr>
            <w:tcW w:type="dxa" w:w="4200"/>
            <w:tcMar>
              <w:top w:type="dxa" w:w="60"/>
              <w:left w:type="dxa" w:w="100"/>
              <w:bottom w:type="dxa" w:w="60"/>
              <w:right w:type="dxa" w:w="100"/>
            </w:tcMar>
          </w:tcPr>
          <w:p>
            <w:pPr>
              <w:spacing w:after="40" w:line="260"/>
            </w:pPr>
            <w:r>
              <w:rPr>
                <w:sz w:val="20"/>
                <w:szCs w:val="20"/>
              </w:rPr>
              <w:t xml:space="preserve">Lodge DC Handbook (Oct 2025)</w:t>
            </w:r>
          </w:p>
          <w:p>
            <w:pPr>
              <w:spacing w:after="40" w:line="260"/>
            </w:pPr>
            <w:r>
              <w:rPr>
                <w:sz w:val="20"/>
                <w:szCs w:val="20"/>
              </w:rPr>
              <w:t xml:space="preserve">Secretaries' Handbook (May 2025/Jan 2026)</w:t>
            </w:r>
          </w:p>
          <w:p>
            <w:pPr>
              <w:spacing w:after="40" w:line="260"/>
            </w:pPr>
            <w:r>
              <w:rPr>
                <w:sz w:val="20"/>
                <w:szCs w:val="20"/>
              </w:rPr>
              <w:t xml:space="preserve">Treasurers' Guide (Issue 1, Feb 2026)</w:t>
            </w:r>
          </w:p>
          <w:p>
            <w:pPr>
              <w:spacing w:after="40" w:line="260"/>
            </w:pPr>
            <w:r>
              <w:rPr>
                <w:sz w:val="20"/>
                <w:szCs w:val="20"/>
              </w:rPr>
              <w:t xml:space="preserve">Almoner's Guide (UGLE/MCF)</w:t>
            </w:r>
          </w:p>
          <w:p>
            <w:pPr>
              <w:spacing w:after="40" w:line="260"/>
            </w:pPr>
            <w:r>
              <w:rPr>
                <w:sz w:val="20"/>
                <w:szCs w:val="20"/>
              </w:rPr>
              <w:t xml:space="preserve">Charity Steward's Guide (UGLE/MCF)</w:t>
            </w:r>
          </w:p>
        </w:tc>
        <w:tc>
          <w:tcPr>
            <w:tcW w:type="dxa" w:w="3500"/>
            <w:tcMar>
              <w:top w:type="dxa" w:w="60"/>
              <w:left w:type="dxa" w:w="100"/>
              <w:bottom w:type="dxa" w:w="60"/>
              <w:right w:type="dxa" w:w="100"/>
            </w:tcMar>
          </w:tcPr>
          <w:p>
            <w:pPr>
              <w:spacing w:after="40" w:line="260"/>
            </w:pPr>
            <w:r>
              <w:rPr>
                <w:sz w:val="20"/>
                <w:szCs w:val="20"/>
              </w:rPr>
              <w:t xml:space="preserve">Context documents. They establish the Provincial house style, the formal status of the Mentor as a Lodge officer, and the integration points between mentoring and other offices.</w:t>
            </w:r>
          </w:p>
        </w:tc>
      </w:tr>
      <w:tr>
        <w:tc>
          <w:tcPr>
            <w:tcW w:type="dxa" w:w="2300"/>
            <w:tcMar>
              <w:top w:type="dxa" w:w="60"/>
              <w:left w:type="dxa" w:w="100"/>
              <w:bottom w:type="dxa" w:w="60"/>
              <w:right w:type="dxa" w:w="100"/>
            </w:tcMar>
          </w:tcPr>
          <w:p>
            <w:pPr>
              <w:spacing w:after="40" w:line="260"/>
            </w:pPr>
            <w:r>
              <w:rPr>
                <w:b/>
                <w:bCs/>
                <w:sz w:val="20"/>
                <w:szCs w:val="20"/>
              </w:rPr>
              <w:t xml:space="preserve">UGLE Members' Pathway - ENGAGE (Level 3)</w:t>
            </w:r>
          </w:p>
        </w:tc>
        <w:tc>
          <w:tcPr>
            <w:tcW w:type="dxa" w:w="4200"/>
            <w:tcMar>
              <w:top w:type="dxa" w:w="60"/>
              <w:left w:type="dxa" w:w="100"/>
              <w:bottom w:type="dxa" w:w="60"/>
              <w:right w:type="dxa" w:w="100"/>
            </w:tcMar>
          </w:tcPr>
          <w:p>
            <w:pPr>
              <w:spacing w:after="40" w:line="260"/>
            </w:pPr>
            <w:r>
              <w:rPr>
                <w:sz w:val="20"/>
                <w:szCs w:val="20"/>
              </w:rPr>
              <w:t xml:space="preserve">14 documents (Aug 2021-Oct 2023): Support the New Member 1-3; Continued Learning &amp; Development 1-5 with annexes 1a, 2a, 3a, 5a; plus two MetGL ENGAGE guides (Jun 2025).</w:t>
            </w:r>
          </w:p>
        </w:tc>
        <w:tc>
          <w:tcPr>
            <w:tcW w:type="dxa" w:w="3500"/>
            <w:tcMar>
              <w:top w:type="dxa" w:w="60"/>
              <w:left w:type="dxa" w:w="100"/>
              <w:bottom w:type="dxa" w:w="60"/>
              <w:right w:type="dxa" w:w="100"/>
            </w:tcMar>
          </w:tcPr>
          <w:p>
            <w:pPr>
              <w:spacing w:after="40" w:line="260"/>
            </w:pPr>
            <w:r>
              <w:rPr>
                <w:sz w:val="20"/>
                <w:szCs w:val="20"/>
              </w:rPr>
              <w:t xml:space="preserve">The national baseline for engagement mentoring: post-initiation support, participation, learning, the Royal Arch, migration.</w:t>
            </w:r>
          </w:p>
        </w:tc>
      </w:tr>
      <w:tr>
        <w:tc>
          <w:tcPr>
            <w:tcW w:type="dxa" w:w="2300"/>
            <w:tcMar>
              <w:top w:type="dxa" w:w="60"/>
              <w:left w:type="dxa" w:w="100"/>
              <w:bottom w:type="dxa" w:w="60"/>
              <w:right w:type="dxa" w:w="100"/>
            </w:tcMar>
          </w:tcPr>
          <w:p>
            <w:pPr>
              <w:spacing w:after="40" w:line="260"/>
            </w:pPr>
            <w:r>
              <w:rPr>
                <w:b/>
                <w:bCs/>
                <w:sz w:val="20"/>
                <w:szCs w:val="20"/>
              </w:rPr>
              <w:t xml:space="preserve">UGLE Members' Pathway - RETRIEVE (Level 3)</w:t>
            </w:r>
          </w:p>
        </w:tc>
        <w:tc>
          <w:tcPr>
            <w:tcW w:type="dxa" w:w="4200"/>
            <w:tcMar>
              <w:top w:type="dxa" w:w="60"/>
              <w:left w:type="dxa" w:w="100"/>
              <w:bottom w:type="dxa" w:w="60"/>
              <w:right w:type="dxa" w:w="100"/>
            </w:tcMar>
          </w:tcPr>
          <w:p>
            <w:pPr>
              <w:spacing w:after="40" w:line="260"/>
            </w:pPr>
            <w:r>
              <w:rPr>
                <w:sz w:val="20"/>
                <w:szCs w:val="20"/>
              </w:rPr>
              <w:t xml:space="preserve">6 documents (Aug 2021): attendance tracking, non-attender engagement, resignation reconsideration (Rule 183), unattached Freemasons (Rule 127), lessons from losses. Plus 'Complete Set Combined' (a compilation).</w:t>
            </w:r>
          </w:p>
        </w:tc>
        <w:tc>
          <w:tcPr>
            <w:tcW w:type="dxa" w:w="3500"/>
            <w:tcMar>
              <w:top w:type="dxa" w:w="60"/>
              <w:left w:type="dxa" w:w="100"/>
              <w:bottom w:type="dxa" w:w="60"/>
              <w:right w:type="dxa" w:w="100"/>
            </w:tcMar>
          </w:tcPr>
          <w:p>
            <w:pPr>
              <w:spacing w:after="40" w:line="260"/>
            </w:pPr>
            <w:r>
              <w:rPr>
                <w:sz w:val="20"/>
                <w:szCs w:val="20"/>
              </w:rPr>
              <w:t xml:space="preserve">The national baseline for retention and retrieval: warning signs, intervention triggers, procedural rules.</w:t>
            </w:r>
          </w:p>
        </w:tc>
      </w:tr>
      <w:tr>
        <w:tc>
          <w:tcPr>
            <w:tcW w:type="dxa" w:w="2300"/>
            <w:tcMar>
              <w:top w:type="dxa" w:w="60"/>
              <w:left w:type="dxa" w:w="100"/>
              <w:bottom w:type="dxa" w:w="60"/>
              <w:right w:type="dxa" w:w="100"/>
            </w:tcMar>
          </w:tcPr>
          <w:p>
            <w:pPr>
              <w:spacing w:after="40" w:line="260"/>
            </w:pPr>
            <w:r>
              <w:rPr>
                <w:b/>
                <w:bCs/>
                <w:sz w:val="20"/>
                <w:szCs w:val="20"/>
              </w:rPr>
              <w:t xml:space="preserve">Other Provinces' mentoring material</w:t>
            </w:r>
          </w:p>
        </w:tc>
        <w:tc>
          <w:tcPr>
            <w:tcW w:type="dxa" w:w="4200"/>
            <w:tcMar>
              <w:top w:type="dxa" w:w="60"/>
              <w:left w:type="dxa" w:w="100"/>
              <w:bottom w:type="dxa" w:w="60"/>
              <w:right w:type="dxa" w:w="100"/>
            </w:tcMar>
          </w:tcPr>
          <w:p>
            <w:pPr>
              <w:spacing w:after="40" w:line="260"/>
            </w:pPr>
            <w:r>
              <w:rPr>
                <w:sz w:val="20"/>
                <w:szCs w:val="20"/>
              </w:rPr>
              <w:t xml:space="preserve">East Lancashire Mentor's Handbook + EA Personal Guide (c. 2012-14)</w:t>
            </w:r>
          </w:p>
          <w:p>
            <w:pPr>
              <w:spacing w:after="40" w:line="260"/>
            </w:pPr>
            <w:r>
              <w:rPr>
                <w:sz w:val="20"/>
                <w:szCs w:val="20"/>
              </w:rPr>
              <w:t xml:space="preserve">UGLE Letter to Lodge Mentors (c. 2012-16)</w:t>
            </w:r>
          </w:p>
          <w:p>
            <w:pPr>
              <w:spacing w:after="40" w:line="260"/>
            </w:pPr>
            <w:r>
              <w:rPr>
                <w:sz w:val="20"/>
                <w:szCs w:val="20"/>
              </w:rPr>
              <w:t xml:space="preserve">MetGL Mentors Handbook v2.0 (Sep 2025) + Personal Mentoring Guide V6.2 + Plan V6.0.1</w:t>
            </w:r>
          </w:p>
          <w:p>
            <w:pPr>
              <w:spacing w:after="40" w:line="260"/>
            </w:pPr>
            <w:r>
              <w:rPr>
                <w:sz w:val="20"/>
                <w:szCs w:val="20"/>
              </w:rPr>
              <w:t xml:space="preserve">West Lancashire Mentoring Guide v7</w:t>
            </w:r>
          </w:p>
          <w:p>
            <w:pPr>
              <w:spacing w:after="40" w:line="260"/>
            </w:pPr>
            <w:r>
              <w:rPr>
                <w:sz w:val="20"/>
                <w:szCs w:val="20"/>
              </w:rPr>
              <w:t xml:space="preserve">Wiltshire Pathway Guidance (2023)</w:t>
            </w:r>
          </w:p>
          <w:p>
            <w:pPr>
              <w:spacing w:after="40" w:line="260"/>
            </w:pPr>
            <w:r>
              <w:rPr>
                <w:sz w:val="20"/>
                <w:szCs w:val="20"/>
              </w:rPr>
              <w:t xml:space="preserve">Devon Lodge Mentor booklet v1.2</w:t>
            </w:r>
          </w:p>
          <w:p>
            <w:pPr>
              <w:spacing w:after="40" w:line="260"/>
            </w:pPr>
            <w:r>
              <w:rPr>
                <w:sz w:val="20"/>
                <w:szCs w:val="20"/>
              </w:rPr>
              <w:t xml:space="preserve">Personal Mentors Handbook (unreadable - see §10)</w:t>
            </w:r>
          </w:p>
        </w:tc>
        <w:tc>
          <w:tcPr>
            <w:tcW w:type="dxa" w:w="3500"/>
            <w:tcMar>
              <w:top w:type="dxa" w:w="60"/>
              <w:left w:type="dxa" w:w="100"/>
              <w:bottom w:type="dxa" w:w="60"/>
              <w:right w:type="dxa" w:w="100"/>
            </w:tcMar>
          </w:tcPr>
          <w:p>
            <w:pPr>
              <w:spacing w:after="40" w:line="260"/>
            </w:pPr>
            <w:r>
              <w:rPr>
                <w:sz w:val="20"/>
                <w:szCs w:val="20"/>
              </w:rPr>
              <w:t xml:space="preserve">Comparative reference. Sources of proven ideas, checklists, training approaches and cautionary lessons.</w:t>
            </w:r>
          </w:p>
        </w:tc>
      </w:tr>
    </w:tbl>
    <w:p>
      <w:pPr>
        <w:spacing w:after="160"/>
      </w:pPr>
    </w:p>
    <w:p>
      <w:pPr>
        <w:spacing w:after="140" w:line="300"/>
        <w:jc w:val="both"/>
      </w:pPr>
      <w:r>
        <w:t xml:space="preserve">One structural observation matters for everything that follows: the knowledge base spans </w:t>
      </w:r>
      <w:r>
        <w:rPr>
          <w:b/>
          <w:bCs/>
        </w:rPr>
        <w:t xml:space="preserve">three eras of UGLE membership strategy</w:t>
      </w:r>
      <w:r>
        <w:t xml:space="preserve"> - the pre-Pathway '3Rs' era (East Lancashire, the UGLE letter), the Members' Pathway era (the 2021-2023 Level 3 documents, Wiltshire), and the Building Together era (MetGL 2025, which maps mentoring to the ENGAGE theme within SHAPE / ATTRACT / CONTINUE / ENGAGE / RESPOND). Hertfordshire's new material should anchor its terminology to the current UGLE framing and avoid importing superseded language.</w:t>
      </w:r>
    </w:p>
    <w:p>
      <w:pPr>
        <w:pStyle w:val="Heading1"/>
        <w:spacing w:after="160" w:before="360"/>
      </w:pPr>
      <w:r>
        <w:t xml:space="preserve">3. The Hertfordshire Mentoring Philosophy</w:t>
      </w:r>
    </w:p>
    <w:p>
      <w:pPr>
        <w:spacing w:after="140" w:line="300"/>
        <w:jc w:val="both"/>
      </w:pPr>
      <w:r>
        <w:t xml:space="preserve">Read together, the Hertfordshire documents express a coherent and distinctive philosophy. It can be stated in seven propositions, each of which is evidenced across multiple sources.</w:t>
      </w:r>
    </w:p>
    <w:p>
      <w:pPr>
        <w:pStyle w:val="ListParagraph"/>
        <w:numPr>
          <w:ilvl w:val="0"/>
          <w:numId w:val="2"/>
        </w:numPr>
        <w:spacing w:after="80" w:line="280"/>
      </w:pPr>
      <w:r>
        <w:rPr>
          <w:b/>
          <w:bCs/>
        </w:rPr>
        <w:t xml:space="preserve">Enjoyment is the floor, not the ceiling. </w:t>
      </w:r>
      <w:r>
        <w:t xml:space="preserve">“Freemasonry must be fun” is the founding mantra (Framework foreword; In That Order). A man who enjoys his Freemasonry attends; a man who attends participates; a man who participates belongs; and a man who belongs does not resign.</w:t>
      </w:r>
    </w:p>
    <w:p>
      <w:pPr>
        <w:pStyle w:val="ListParagraph"/>
        <w:numPr>
          <w:ilvl w:val="0"/>
          <w:numId w:val="2"/>
        </w:numPr>
        <w:spacing w:after="80" w:line="280"/>
      </w:pPr>
      <w:r>
        <w:rPr>
          <w:b/>
          <w:bCs/>
        </w:rPr>
        <w:t xml:space="preserve">Retention is an outcome, not a target. </w:t>
      </w:r>
      <w:r>
        <w:t xml:space="preserve">“We do not retain members by design; we build a culture that prepares and supports them - retention follows naturally.” The question is never ‘How do we keep members?’ but ‘How do we make Freemasonry so rewarding that men never want to leave?’</w:t>
      </w:r>
    </w:p>
    <w:p>
      <w:pPr>
        <w:pStyle w:val="ListParagraph"/>
        <w:numPr>
          <w:ilvl w:val="0"/>
          <w:numId w:val="2"/>
        </w:numPr>
        <w:spacing w:after="80" w:line="280"/>
      </w:pPr>
      <w:r>
        <w:rPr>
          <w:b/>
          <w:bCs/>
        </w:rPr>
        <w:t xml:space="preserve">Mentoring is a culture, not a programme. </w:t>
      </w:r>
      <w:r>
        <w:t xml:space="preserve">The Lodge Mentor co-ordinates; he does not do it all himself. “We are all mentors to others in Freemasonry” (Mentor's Jewel). “No one left in the corner” (In That Order).</w:t>
      </w:r>
    </w:p>
    <w:p>
      <w:pPr>
        <w:pStyle w:val="ListParagraph"/>
        <w:numPr>
          <w:ilvl w:val="0"/>
          <w:numId w:val="2"/>
        </w:numPr>
        <w:spacing w:after="80" w:line="280"/>
      </w:pPr>
      <w:r>
        <w:rPr>
          <w:b/>
          <w:bCs/>
        </w:rPr>
        <w:t xml:space="preserve">The member sets the pace. </w:t>
      </w:r>
      <w:r>
        <w:t xml:space="preserve">No pressure - to take office, learn ritual, progress between degrees, or join the Royal Arch. Information, not recruitment; timing, not inevitability; readiness, not convenience.</w:t>
      </w:r>
    </w:p>
    <w:p>
      <w:pPr>
        <w:pStyle w:val="ListParagraph"/>
        <w:numPr>
          <w:ilvl w:val="0"/>
          <w:numId w:val="2"/>
        </w:numPr>
        <w:spacing w:after="80" w:line="280"/>
      </w:pPr>
      <w:r>
        <w:rPr>
          <w:b/>
          <w:bCs/>
        </w:rPr>
        <w:t xml:space="preserve">Family, Work, Masonry - in that order, always. </w:t>
      </w:r>
      <w:r>
        <w:t xml:space="preserve">Honest expectation-setting begins before the interview and never stops. “There should never be any surprises.”</w:t>
      </w:r>
    </w:p>
    <w:p>
      <w:pPr>
        <w:pStyle w:val="ListParagraph"/>
        <w:numPr>
          <w:ilvl w:val="0"/>
          <w:numId w:val="2"/>
        </w:numPr>
        <w:spacing w:after="80" w:line="280"/>
      </w:pPr>
      <w:r>
        <w:rPr>
          <w:b/>
          <w:bCs/>
        </w:rPr>
        <w:t xml:space="preserve">The journey is lifelong and mentoring is circular. </w:t>
      </w:r>
      <w:r>
        <w:t xml:space="preserve">Support runs from first enquiry to beyond the Chair, and flows in both directions - the mentee teaches the mentor. “The risk of loss does not end at the Chair.”</w:t>
      </w:r>
    </w:p>
    <w:p>
      <w:pPr>
        <w:pStyle w:val="ListParagraph"/>
        <w:numPr>
          <w:ilvl w:val="0"/>
          <w:numId w:val="2"/>
        </w:numPr>
        <w:spacing w:after="80" w:line="280"/>
      </w:pPr>
      <w:r>
        <w:rPr>
          <w:b/>
          <w:bCs/>
        </w:rPr>
        <w:t xml:space="preserve">Help, never interrogate. </w:t>
      </w:r>
      <w:r>
        <w:t xml:space="preserve">“The question is always ‘How can we help?’ - never ‘Why aren't you attending?’” Compassionate enquiry underpins all early intervention.</w:t>
      </w:r>
    </w:p>
    <w:p>
      <w:pPr>
        <w:spacing w:after="80"/>
      </w:pPr>
    </w:p>
    <w:p>
      <w:pPr>
        <w:spacing w:after="140" w:line="300"/>
        <w:jc w:val="both"/>
      </w:pPr>
      <w:r>
        <w:t xml:space="preserve">The four principles - </w:t>
      </w:r>
      <w:r>
        <w:rPr>
          <w:b/>
          <w:bCs/>
        </w:rPr>
        <w:t xml:space="preserve">Prepare, Guide, Support, Enlighten</w:t>
      </w:r>
      <w:r>
        <w:t xml:space="preserve"> - are the organising framework for all of this, and critically they are defined as </w:t>
      </w:r>
      <w:r>
        <w:rPr>
          <w:i/>
          <w:iCs/>
        </w:rPr>
        <w:t xml:space="preserve">continuous and simultaneous, not sequential stages</w:t>
      </w:r>
      <w:r>
        <w:t xml:space="preserve"> (Lodge Mentor's Guide, Section 3). Every future document must preserve that framing.</w:t>
      </w:r>
    </w:p>
    <w:p>
      <w:pPr>
        <w:pStyle w:val="Heading1"/>
        <w:spacing w:after="160" w:before="360"/>
      </w:pPr>
      <w:r>
        <w:t xml:space="preserve">4. Common Themes Across All Sources</w:t>
      </w:r>
    </w:p>
    <w:p>
      <w:pPr>
        <w:spacing w:after="140" w:line="300"/>
        <w:jc w:val="both"/>
      </w:pPr>
      <w:r>
        <w:t xml:space="preserve">Ten themes recur so consistently - across Hertfordshire, UGLE and every comparator Province - that they can be treated as settled doctrine for the framework:</w:t>
      </w:r>
    </w:p>
    <w:p>
      <w:pPr>
        <w:pStyle w:val="ListParagraph"/>
        <w:numPr>
          <w:ilvl w:val="0"/>
          <w:numId w:val="2"/>
        </w:numPr>
        <w:spacing w:after="80" w:line="280"/>
      </w:pPr>
      <w:r>
        <w:rPr>
          <w:b/>
          <w:bCs/>
        </w:rPr>
        <w:t xml:space="preserve">The two-tier model. </w:t>
      </w:r>
      <w:r>
        <w:t xml:space="preserve">Lodge Mentor as co-ordinator, Personal Mentor as the one-to-one friend and guide, appears in every source without exception. Recommended Lodge Mentor tenure of 3-5 years also recurs (UGLE, Hertfordshire).</w:t>
      </w:r>
    </w:p>
    <w:p>
      <w:pPr>
        <w:pStyle w:val="ListParagraph"/>
        <w:numPr>
          <w:ilvl w:val="0"/>
          <w:numId w:val="2"/>
        </w:numPr>
        <w:spacing w:after="80" w:line="280"/>
      </w:pPr>
      <w:r>
        <w:rPr>
          <w:b/>
          <w:bCs/>
        </w:rPr>
        <w:t xml:space="preserve">The Proposer/Seconder question. </w:t>
      </w:r>
      <w:r>
        <w:t xml:space="preserve">Considered first as Personal Mentor, but never defaulted to - suitability, availability and temperament outrank the sponsorship link. Amwell Lodge's considered-matching practice (In That Order) is the mature version of this.</w:t>
      </w:r>
    </w:p>
    <w:p>
      <w:pPr>
        <w:pStyle w:val="ListParagraph"/>
        <w:numPr>
          <w:ilvl w:val="0"/>
          <w:numId w:val="2"/>
        </w:numPr>
        <w:spacing w:after="80" w:line="280"/>
      </w:pPr>
      <w:r>
        <w:rPr>
          <w:b/>
          <w:bCs/>
        </w:rPr>
        <w:t xml:space="preserve">The two-year vulnerability window. </w:t>
      </w:r>
      <w:r>
        <w:t xml:space="preserve">A significant proportion of losses occur within two years of Initiation, often before Raising (UGLE Stewardship). The second recognised danger point is immediately after the Chair (MetGL; Hertfordshire Plan Stage 7).</w:t>
      </w:r>
    </w:p>
    <w:p>
      <w:pPr>
        <w:pStyle w:val="ListParagraph"/>
        <w:numPr>
          <w:ilvl w:val="0"/>
          <w:numId w:val="2"/>
        </w:numPr>
        <w:spacing w:after="80" w:line="280"/>
      </w:pPr>
      <w:r>
        <w:rPr>
          <w:b/>
          <w:bCs/>
        </w:rPr>
        <w:t xml:space="preserve">Preparation before every ceremony, contact after. </w:t>
      </w:r>
      <w:r>
        <w:t xml:space="preserve">Contact the day before (or morning of) each ceremony; a reflective conversation shortly after. Prepare without revealing - ‘explain the format and structure without giving away ritual detail’.</w:t>
      </w:r>
    </w:p>
    <w:p>
      <w:pPr>
        <w:pStyle w:val="ListParagraph"/>
        <w:numPr>
          <w:ilvl w:val="0"/>
          <w:numId w:val="2"/>
        </w:numPr>
        <w:spacing w:after="80" w:line="280"/>
      </w:pPr>
      <w:r>
        <w:rPr>
          <w:b/>
          <w:bCs/>
        </w:rPr>
        <w:t xml:space="preserve">Attendance pattern-break as the early-warning signal. </w:t>
      </w:r>
      <w:r>
        <w:t xml:space="preserve">Two consecutive unexplained absences triggers contact within seven days (UGLE RETRIEVE; mirrored in the Hertfordshire warning-signs tables). The call is a welfare call, not a whip.</w:t>
      </w:r>
    </w:p>
    <w:p>
      <w:pPr>
        <w:pStyle w:val="ListParagraph"/>
        <w:numPr>
          <w:ilvl w:val="0"/>
          <w:numId w:val="2"/>
        </w:numPr>
        <w:spacing w:after="80" w:line="280"/>
      </w:pPr>
      <w:r>
        <w:rPr>
          <w:b/>
          <w:bCs/>
        </w:rPr>
        <w:t xml:space="preserve">Solomon as the authoritative learning source</w:t>
      </w:r>
      <w:r>
        <w:t xml:space="preserve"> - used alongside, never instead of, face-to-face conversation; guided learning and personal learning as distinct strands.</w:t>
      </w:r>
    </w:p>
    <w:p>
      <w:pPr>
        <w:pStyle w:val="ListParagraph"/>
        <w:numPr>
          <w:ilvl w:val="0"/>
          <w:numId w:val="2"/>
        </w:numPr>
        <w:spacing w:after="80" w:line="280"/>
      </w:pPr>
      <w:r>
        <w:rPr>
          <w:b/>
          <w:bCs/>
        </w:rPr>
        <w:t xml:space="preserve">The Royal Arch as completion, on the member's timing. </w:t>
      </w:r>
      <w:r>
        <w:t xml:space="preserve">‘Never a surprise, never a sales pitch’ (Framework, One Journey). Eligibility four weeks after Raising; the wait-until-after-the-Chair myth is explicitly debunked (UGLE 2023).</w:t>
      </w:r>
    </w:p>
    <w:p>
      <w:pPr>
        <w:pStyle w:val="ListParagraph"/>
        <w:numPr>
          <w:ilvl w:val="0"/>
          <w:numId w:val="2"/>
        </w:numPr>
        <w:spacing w:after="80" w:line="280"/>
      </w:pPr>
      <w:r>
        <w:rPr>
          <w:b/>
          <w:bCs/>
        </w:rPr>
        <w:t xml:space="preserve">Escalation and referral are strengths. </w:t>
      </w:r>
      <w:r>
        <w:t xml:space="preserve">Coach, not counsellor: welfare belongs to the Almoner, and knowing when to refer is itself good mentoring.</w:t>
      </w:r>
    </w:p>
    <w:p>
      <w:pPr>
        <w:pStyle w:val="ListParagraph"/>
        <w:numPr>
          <w:ilvl w:val="0"/>
          <w:numId w:val="2"/>
        </w:numPr>
        <w:spacing w:after="80" w:line="280"/>
      </w:pPr>
      <w:r>
        <w:rPr>
          <w:b/>
          <w:bCs/>
        </w:rPr>
        <w:t xml:space="preserve">Migration is mentoring. </w:t>
      </w:r>
      <w:r>
        <w:t xml:space="preserve">‘A continuation of mentoring, not an administrative exercise’ - with early identification of relocation as a mentor duty.</w:t>
      </w:r>
    </w:p>
    <w:p>
      <w:pPr>
        <w:pStyle w:val="ListParagraph"/>
        <w:numPr>
          <w:ilvl w:val="0"/>
          <w:numId w:val="2"/>
        </w:numPr>
        <w:spacing w:after="80" w:line="280"/>
      </w:pPr>
      <w:r>
        <w:rPr>
          <w:b/>
          <w:bCs/>
        </w:rPr>
        <w:t xml:space="preserve">Succession is part of the role. </w:t>
      </w:r>
      <w:r>
        <w:t xml:space="preserve">Every guide - mentoring and officer alike - carries the same message: develop your successor from the day you are appointed.</w:t>
      </w:r>
    </w:p>
    <w:p>
      <w:pPr>
        <w:pStyle w:val="Heading1"/>
        <w:spacing w:after="160" w:before="360"/>
      </w:pPr>
      <w:r>
        <w:t xml:space="preserve">5. Inconsistencies Requiring Resolution</w:t>
      </w:r>
    </w:p>
    <w:p>
      <w:pPr>
        <w:spacing w:after="140" w:line="300"/>
        <w:jc w:val="both"/>
      </w:pPr>
      <w:r>
        <w:t xml:space="preserve">These are the points where the knowledge base currently disagrees with itself. Each needs a single canonical answer </w:t>
      </w:r>
      <w:r>
        <w:rPr>
          <w:i/>
          <w:iCs/>
        </w:rPr>
        <w:t xml:space="preserve">before</w:t>
      </w:r>
      <w:r>
        <w:t xml:space="preserve"> further documents are produced, because every new document will multiply whichever version it inherits. Recommendations are offered; the decisions are yours.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900"/>
        <w:gridCol w:w="3700"/>
        <w:gridCol w:w="3400"/>
      </w:tblGrid>
      <w:tr>
        <w:trPr>
          <w:tblHeader/>
        </w:trPr>
        <w:tc>
          <w:tcPr>
            <w:tcW w:type="dxa" w:w="2900"/>
            <w:shd w:fill="1F3864" w:val="clear"/>
            <w:tcMar>
              <w:top w:type="dxa" w:w="60"/>
              <w:left w:type="dxa" w:w="100"/>
              <w:bottom w:type="dxa" w:w="60"/>
              <w:right w:type="dxa" w:w="100"/>
            </w:tcMar>
          </w:tcPr>
          <w:p>
            <w:pPr>
              <w:spacing w:after="40" w:line="260"/>
            </w:pPr>
            <w:r>
              <w:rPr>
                <w:b/>
                <w:bCs/>
                <w:color w:val="FFFFFF"/>
                <w:sz w:val="20"/>
                <w:szCs w:val="20"/>
              </w:rPr>
              <w:t xml:space="preserve">Issue</w:t>
            </w:r>
          </w:p>
        </w:tc>
        <w:tc>
          <w:tcPr>
            <w:tcW w:type="dxa" w:w="3700"/>
            <w:shd w:fill="1F3864" w:val="clear"/>
            <w:tcMar>
              <w:top w:type="dxa" w:w="60"/>
              <w:left w:type="dxa" w:w="100"/>
              <w:bottom w:type="dxa" w:w="60"/>
              <w:right w:type="dxa" w:w="100"/>
            </w:tcMar>
          </w:tcPr>
          <w:p>
            <w:pPr>
              <w:spacing w:after="40" w:line="260"/>
            </w:pPr>
            <w:r>
              <w:rPr>
                <w:b/>
                <w:bCs/>
                <w:color w:val="FFFFFF"/>
                <w:sz w:val="20"/>
                <w:szCs w:val="20"/>
              </w:rPr>
              <w:t xml:space="preserve">Where it appears</w:t>
            </w:r>
          </w:p>
        </w:tc>
        <w:tc>
          <w:tcPr>
            <w:tcW w:type="dxa" w:w="3400"/>
            <w:shd w:fill="1F3864" w:val="clear"/>
            <w:tcMar>
              <w:top w:type="dxa" w:w="60"/>
              <w:left w:type="dxa" w:w="100"/>
              <w:bottom w:type="dxa" w:w="60"/>
              <w:right w:type="dxa" w:w="100"/>
            </w:tcMar>
          </w:tcPr>
          <w:p>
            <w:pPr>
              <w:spacing w:after="40" w:line="260"/>
            </w:pPr>
            <w:r>
              <w:rPr>
                <w:b/>
                <w:bCs/>
                <w:color w:val="FFFFFF"/>
                <w:sz w:val="20"/>
                <w:szCs w:val="20"/>
              </w:rPr>
              <w:t xml:space="preserve">Recommendation</w:t>
            </w:r>
          </w:p>
        </w:tc>
      </w:tr>
      <w:tr>
        <w:tc>
          <w:tcPr>
            <w:tcW w:type="dxa" w:w="2900"/>
            <w:tcMar>
              <w:top w:type="dxa" w:w="60"/>
              <w:left w:type="dxa" w:w="100"/>
              <w:bottom w:type="dxa" w:w="60"/>
              <w:right w:type="dxa" w:w="100"/>
            </w:tcMar>
          </w:tcPr>
          <w:p>
            <w:pPr>
              <w:spacing w:after="40" w:line="260"/>
            </w:pPr>
            <w:r>
              <w:rPr>
                <w:b/>
                <w:bCs/>
                <w:sz w:val="20"/>
                <w:szCs w:val="20"/>
              </w:rPr>
              <w:t xml:space="preserve">1. Order of the four principles</w:t>
            </w:r>
          </w:p>
        </w:tc>
        <w:tc>
          <w:tcPr>
            <w:tcW w:type="dxa" w:w="3700"/>
            <w:tcMar>
              <w:top w:type="dxa" w:w="60"/>
              <w:left w:type="dxa" w:w="100"/>
              <w:bottom w:type="dxa" w:w="60"/>
              <w:right w:type="dxa" w:w="100"/>
            </w:tcMar>
          </w:tcPr>
          <w:p>
            <w:pPr>
              <w:spacing w:after="40" w:line="260"/>
            </w:pPr>
            <w:r>
              <w:rPr>
                <w:sz w:val="20"/>
                <w:szCs w:val="20"/>
              </w:rPr>
              <w:t xml:space="preserve">Prepare-Guide-Support-Enlighten: Lodge Mentor's Guide strapline, Personal Mentoring Plan, In That Order, Mentor's Jewel address. Prepare-Support-Guide-Enlighten: Mentoring Framework v2.2a (cover, foreword, §7.1).</w:t>
            </w:r>
          </w:p>
        </w:tc>
        <w:tc>
          <w:tcPr>
            <w:tcW w:type="dxa" w:w="3400"/>
            <w:tcMar>
              <w:top w:type="dxa" w:w="60"/>
              <w:left w:type="dxa" w:w="100"/>
              <w:bottom w:type="dxa" w:w="60"/>
              <w:right w:type="dxa" w:w="100"/>
            </w:tcMar>
          </w:tcPr>
          <w:p>
            <w:pPr>
              <w:spacing w:after="40" w:line="260"/>
            </w:pPr>
            <w:r>
              <w:rPr>
                <w:b/>
                <w:bCs/>
                <w:sz w:val="20"/>
                <w:szCs w:val="20"/>
              </w:rPr>
              <w:t xml:space="preserve">SETTLED (July 2026): Prepare • Guide • Support • Enlighten is canonical - the natural narrative arc: ready him, point the way, stand beside him, deepen him. The Framework to be corrected at its next revision.</w:t>
            </w:r>
          </w:p>
        </w:tc>
      </w:tr>
      <w:tr>
        <w:tc>
          <w:tcPr>
            <w:tcW w:type="dxa" w:w="2900"/>
            <w:tcMar>
              <w:top w:type="dxa" w:w="60"/>
              <w:left w:type="dxa" w:w="100"/>
              <w:bottom w:type="dxa" w:w="60"/>
              <w:right w:type="dxa" w:w="100"/>
            </w:tcMar>
          </w:tcPr>
          <w:p>
            <w:pPr>
              <w:spacing w:after="40" w:line="260"/>
            </w:pPr>
            <w:r>
              <w:rPr>
                <w:b/>
                <w:bCs/>
                <w:sz w:val="20"/>
                <w:szCs w:val="20"/>
              </w:rPr>
              <w:t xml:space="preserve">2. Title of the author/role-holder</w:t>
            </w:r>
          </w:p>
        </w:tc>
        <w:tc>
          <w:tcPr>
            <w:tcW w:type="dxa" w:w="3700"/>
            <w:tcMar>
              <w:top w:type="dxa" w:w="60"/>
              <w:left w:type="dxa" w:w="100"/>
              <w:bottom w:type="dxa" w:w="60"/>
              <w:right w:type="dxa" w:w="100"/>
            </w:tcMar>
          </w:tcPr>
          <w:p>
            <w:pPr>
              <w:spacing w:after="40" w:line="260"/>
            </w:pPr>
            <w:r>
              <w:rPr>
                <w:sz w:val="20"/>
                <w:szCs w:val="20"/>
              </w:rPr>
              <w:t xml:space="preserve">Lodge Mentor's Guide foreword is signed 'Wes Pierce, Provincial Grand Mentor, 2026'. The Framework names Mark Butcher as PGM and Wes Pierce as Deputy PGM. In That Order bylines Wes Pierce as 'Assistant Grand Mentor', taking on PGM in 2027.</w:t>
            </w:r>
          </w:p>
        </w:tc>
        <w:tc>
          <w:tcPr>
            <w:tcW w:type="dxa" w:w="3400"/>
            <w:tcMar>
              <w:top w:type="dxa" w:w="60"/>
              <w:left w:type="dxa" w:w="100"/>
              <w:bottom w:type="dxa" w:w="60"/>
              <w:right w:type="dxa" w:w="100"/>
            </w:tcMar>
          </w:tcPr>
          <w:p>
            <w:pPr>
              <w:spacing w:after="40" w:line="260"/>
            </w:pPr>
            <w:r>
              <w:rPr>
                <w:b/>
                <w:bCs/>
                <w:sz w:val="20"/>
                <w:szCs w:val="20"/>
              </w:rPr>
              <w:t xml:space="preserve">SETTLED (July 2026): Wes Pierce is Deputy Provincial Grand Mentor, becoming Provincial Grand Mentor in 2027. Correct the LM Guide and Personal Mentor's Guide forewords (currently signed 'Provincial Grand Mentor') and the book byline ('Assistant Grand Mentor') to Deputy Provincial Grand Mentor.</w:t>
            </w:r>
          </w:p>
        </w:tc>
      </w:tr>
      <w:tr>
        <w:tc>
          <w:tcPr>
            <w:tcW w:type="dxa" w:w="2900"/>
            <w:tcMar>
              <w:top w:type="dxa" w:w="60"/>
              <w:left w:type="dxa" w:w="100"/>
              <w:bottom w:type="dxa" w:w="60"/>
              <w:right w:type="dxa" w:w="100"/>
            </w:tcMar>
          </w:tcPr>
          <w:p>
            <w:pPr>
              <w:spacing w:after="40" w:line="260"/>
            </w:pPr>
            <w:r>
              <w:rPr>
                <w:b/>
                <w:bCs/>
                <w:sz w:val="20"/>
                <w:szCs w:val="20"/>
              </w:rPr>
              <w:t xml:space="preserve">3. Timing of first post-Initiation contact</w:t>
            </w:r>
          </w:p>
        </w:tc>
        <w:tc>
          <w:tcPr>
            <w:tcW w:type="dxa" w:w="3700"/>
            <w:tcMar>
              <w:top w:type="dxa" w:w="60"/>
              <w:left w:type="dxa" w:w="100"/>
              <w:bottom w:type="dxa" w:w="60"/>
              <w:right w:type="dxa" w:w="100"/>
            </w:tcMar>
          </w:tcPr>
          <w:p>
            <w:pPr>
              <w:spacing w:after="40" w:line="260"/>
            </w:pPr>
            <w:r>
              <w:rPr>
                <w:sz w:val="20"/>
                <w:szCs w:val="20"/>
              </w:rPr>
              <w:t xml:space="preserve">'Before the next Lodge meeting' (LM Guide); 'within two weeks' (Plan 2.2); 'within about a week' (UGLE Understanding); 'within 48 hours' check-in (In That Order).</w:t>
            </w:r>
          </w:p>
        </w:tc>
        <w:tc>
          <w:tcPr>
            <w:tcW w:type="dxa" w:w="3400"/>
            <w:tcMar>
              <w:top w:type="dxa" w:w="60"/>
              <w:left w:type="dxa" w:w="100"/>
              <w:bottom w:type="dxa" w:w="60"/>
              <w:right w:type="dxa" w:w="100"/>
            </w:tcMar>
          </w:tcPr>
          <w:p>
            <w:pPr>
              <w:spacing w:after="40" w:line="260"/>
            </w:pPr>
            <w:r>
              <w:rPr>
                <w:sz w:val="20"/>
                <w:szCs w:val="20"/>
              </w:rPr>
              <w:t xml:space="preserve">Define one layered standard: informal check-in within 48 hours; first one-to-one within two weeks and always before the next meeting. State it identically in every document.</w:t>
            </w:r>
          </w:p>
        </w:tc>
      </w:tr>
      <w:tr>
        <w:tc>
          <w:tcPr>
            <w:tcW w:type="dxa" w:w="2900"/>
            <w:tcMar>
              <w:top w:type="dxa" w:w="60"/>
              <w:left w:type="dxa" w:w="100"/>
              <w:bottom w:type="dxa" w:w="60"/>
              <w:right w:type="dxa" w:w="100"/>
            </w:tcMar>
          </w:tcPr>
          <w:p>
            <w:pPr>
              <w:spacing w:after="40" w:line="260"/>
            </w:pPr>
            <w:r>
              <w:rPr>
                <w:b/>
                <w:bCs/>
                <w:sz w:val="20"/>
                <w:szCs w:val="20"/>
              </w:rPr>
              <w:t xml:space="preserve">4. Initiates per APGM area</w:t>
            </w:r>
          </w:p>
        </w:tc>
        <w:tc>
          <w:tcPr>
            <w:tcW w:type="dxa" w:w="3700"/>
            <w:tcMar>
              <w:top w:type="dxa" w:w="60"/>
              <w:left w:type="dxa" w:w="100"/>
              <w:bottom w:type="dxa" w:w="60"/>
              <w:right w:type="dxa" w:w="100"/>
            </w:tcMar>
          </w:tcPr>
          <w:p>
            <w:pPr>
              <w:spacing w:after="40" w:line="260"/>
            </w:pPr>
            <w:r>
              <w:rPr>
                <w:sz w:val="20"/>
                <w:szCs w:val="20"/>
              </w:rPr>
              <w:t xml:space="preserve">Framework §5 says 30-40 new Brothers per area per year; §7.3 says approximately 50.</w:t>
            </w:r>
          </w:p>
        </w:tc>
        <w:tc>
          <w:tcPr>
            <w:tcW w:type="dxa" w:w="3400"/>
            <w:tcMar>
              <w:top w:type="dxa" w:w="60"/>
              <w:left w:type="dxa" w:w="100"/>
              <w:bottom w:type="dxa" w:w="60"/>
              <w:right w:type="dxa" w:w="100"/>
            </w:tcMar>
          </w:tcPr>
          <w:p>
            <w:pPr>
              <w:spacing w:after="40" w:line="260"/>
            </w:pPr>
            <w:r>
              <w:rPr>
                <w:sz w:val="20"/>
                <w:szCs w:val="20"/>
              </w:rPr>
              <w:t xml:space="preserve">Reconcile against actual Provincial figures (foreword cites 150-190 per year across five areas, implying 30-38).</w:t>
            </w:r>
          </w:p>
        </w:tc>
      </w:tr>
      <w:tr>
        <w:tc>
          <w:tcPr>
            <w:tcW w:type="dxa" w:w="2900"/>
            <w:tcMar>
              <w:top w:type="dxa" w:w="60"/>
              <w:left w:type="dxa" w:w="100"/>
              <w:bottom w:type="dxa" w:w="60"/>
              <w:right w:type="dxa" w:w="100"/>
            </w:tcMar>
          </w:tcPr>
          <w:p>
            <w:pPr>
              <w:spacing w:after="40" w:line="260"/>
            </w:pPr>
            <w:r>
              <w:rPr>
                <w:b/>
                <w:bCs/>
                <w:sz w:val="20"/>
                <w:szCs w:val="20"/>
              </w:rPr>
              <w:t xml:space="preserve">5. Royal Arch treatment diverges</w:t>
            </w:r>
          </w:p>
        </w:tc>
        <w:tc>
          <w:tcPr>
            <w:tcW w:type="dxa" w:w="3700"/>
            <w:tcMar>
              <w:top w:type="dxa" w:w="60"/>
              <w:left w:type="dxa" w:w="100"/>
              <w:bottom w:type="dxa" w:w="60"/>
              <w:right w:type="dxa" w:w="100"/>
            </w:tcMar>
          </w:tcPr>
          <w:p>
            <w:pPr>
              <w:spacing w:after="40" w:line="260"/>
            </w:pPr>
            <w:r>
              <w:rPr>
                <w:sz w:val="20"/>
                <w:szCs w:val="20"/>
              </w:rPr>
              <w:t xml:space="preserve">The Framework's One Journey section (with Archway, the Royal Arch representative, and the bridge to Provincial Grand Chapter) is central strategy - but the LM Guide's Royal Arch section omits all of it.</w:t>
            </w:r>
          </w:p>
        </w:tc>
        <w:tc>
          <w:tcPr>
            <w:tcW w:type="dxa" w:w="3400"/>
            <w:tcMar>
              <w:top w:type="dxa" w:w="60"/>
              <w:left w:type="dxa" w:w="100"/>
              <w:bottom w:type="dxa" w:w="60"/>
              <w:right w:type="dxa" w:w="100"/>
            </w:tcMar>
          </w:tcPr>
          <w:p>
            <w:pPr>
              <w:spacing w:after="40" w:line="260"/>
            </w:pPr>
            <w:r>
              <w:rPr>
                <w:sz w:val="20"/>
                <w:szCs w:val="20"/>
              </w:rPr>
              <w:t xml:space="preserve">Bring the LM Guide's Section 6 into line at next issue; One Journey then becomes the basis of the planned Royal Arch Mentoring Guide.</w:t>
            </w:r>
          </w:p>
        </w:tc>
      </w:tr>
      <w:tr>
        <w:tc>
          <w:tcPr>
            <w:tcW w:type="dxa" w:w="2900"/>
            <w:tcMar>
              <w:top w:type="dxa" w:w="60"/>
              <w:left w:type="dxa" w:w="100"/>
              <w:bottom w:type="dxa" w:w="60"/>
              <w:right w:type="dxa" w:w="100"/>
            </w:tcMar>
          </w:tcPr>
          <w:p>
            <w:pPr>
              <w:spacing w:after="40" w:line="260"/>
            </w:pPr>
            <w:r>
              <w:rPr>
                <w:b/>
                <w:bCs/>
                <w:sz w:val="20"/>
                <w:szCs w:val="20"/>
              </w:rPr>
              <w:t xml:space="preserve">6. UGLE framing</w:t>
            </w:r>
          </w:p>
        </w:tc>
        <w:tc>
          <w:tcPr>
            <w:tcW w:type="dxa" w:w="3700"/>
            <w:tcMar>
              <w:top w:type="dxa" w:w="60"/>
              <w:left w:type="dxa" w:w="100"/>
              <w:bottom w:type="dxa" w:w="60"/>
              <w:right w:type="dxa" w:w="100"/>
            </w:tcMar>
          </w:tcPr>
          <w:p>
            <w:pPr>
              <w:spacing w:after="40" w:line="260"/>
            </w:pPr>
            <w:r>
              <w:rPr>
                <w:sz w:val="20"/>
                <w:szCs w:val="20"/>
              </w:rPr>
              <w:t xml:space="preserve">The Framework anchors to the Members' Pathway; MetGL (2025) is built on Building Together (mentoring owns ENGAGE); In That Order titles Chapter Ten 'Building Together'.</w:t>
            </w:r>
          </w:p>
        </w:tc>
        <w:tc>
          <w:tcPr>
            <w:tcW w:type="dxa" w:w="3400"/>
            <w:tcMar>
              <w:top w:type="dxa" w:w="60"/>
              <w:left w:type="dxa" w:w="100"/>
              <w:bottom w:type="dxa" w:w="60"/>
              <w:right w:type="dxa" w:w="100"/>
            </w:tcMar>
          </w:tcPr>
          <w:p>
            <w:pPr>
              <w:spacing w:after="40" w:line="260"/>
            </w:pPr>
            <w:r>
              <w:rPr>
                <w:b/>
                <w:bCs/>
                <w:sz w:val="20"/>
                <w:szCs w:val="20"/>
              </w:rPr>
              <w:t xml:space="preserve">RESOLVED (July 2026): the Provincial September Conference material on the shared drive confirms Building Together as the current UGLE framing. Standardise on Building Together; date any Members' Pathway documents when cited.</w:t>
            </w:r>
          </w:p>
        </w:tc>
      </w:tr>
      <w:tr>
        <w:tc>
          <w:tcPr>
            <w:tcW w:type="dxa" w:w="2900"/>
            <w:tcMar>
              <w:top w:type="dxa" w:w="60"/>
              <w:left w:type="dxa" w:w="100"/>
              <w:bottom w:type="dxa" w:w="60"/>
              <w:right w:type="dxa" w:w="100"/>
            </w:tcMar>
          </w:tcPr>
          <w:p>
            <w:pPr>
              <w:spacing w:after="40" w:line="260"/>
            </w:pPr>
            <w:r>
              <w:rPr>
                <w:b/>
                <w:bCs/>
                <w:sz w:val="20"/>
                <w:szCs w:val="20"/>
              </w:rPr>
              <w:t xml:space="preserve">7. Naming and spelling drift</w:t>
            </w:r>
          </w:p>
        </w:tc>
        <w:tc>
          <w:tcPr>
            <w:tcW w:type="dxa" w:w="3700"/>
            <w:tcMar>
              <w:top w:type="dxa" w:w="60"/>
              <w:left w:type="dxa" w:w="100"/>
              <w:bottom w:type="dxa" w:w="60"/>
              <w:right w:type="dxa" w:w="100"/>
            </w:tcMar>
          </w:tcPr>
          <w:p>
            <w:pPr>
              <w:spacing w:after="40" w:line="260"/>
            </w:pPr>
            <w:r>
              <w:rPr>
                <w:sz w:val="20"/>
                <w:szCs w:val="20"/>
              </w:rPr>
              <w:t xml:space="preserve">'Fellowcraft's Guide' (Plan) vs 'Fellow Craft's Guide' (LM Guide); 'Keith Dunnett' vs 'Keith Dunnet' (book); 'the Provincial Grand Mentor's Strategic Plan' (LM Guide) vs 'Provincial Mentoring Framework' (the document's actual title).</w:t>
            </w:r>
          </w:p>
        </w:tc>
        <w:tc>
          <w:tcPr>
            <w:tcW w:type="dxa" w:w="3400"/>
            <w:tcMar>
              <w:top w:type="dxa" w:w="60"/>
              <w:left w:type="dxa" w:w="100"/>
              <w:bottom w:type="dxa" w:w="60"/>
              <w:right w:type="dxa" w:w="100"/>
            </w:tcMar>
          </w:tcPr>
          <w:p>
            <w:pPr>
              <w:spacing w:after="40" w:line="260"/>
            </w:pPr>
            <w:r>
              <w:rPr>
                <w:sz w:val="20"/>
                <w:szCs w:val="20"/>
              </w:rPr>
              <w:t xml:space="preserve">Resolve via a one-page terminology and style sheet (proposed in the Master Framework, Tier A) that every document follows.</w:t>
            </w:r>
          </w:p>
        </w:tc>
      </w:tr>
      <w:tr>
        <w:tc>
          <w:tcPr>
            <w:tcW w:type="dxa" w:w="2900"/>
            <w:tcMar>
              <w:top w:type="dxa" w:w="60"/>
              <w:left w:type="dxa" w:w="100"/>
              <w:bottom w:type="dxa" w:w="60"/>
              <w:right w:type="dxa" w:w="100"/>
            </w:tcMar>
          </w:tcPr>
          <w:p>
            <w:pPr>
              <w:spacing w:after="40" w:line="260"/>
            </w:pPr>
            <w:r>
              <w:rPr>
                <w:b/>
                <w:bCs/>
                <w:sz w:val="20"/>
                <w:szCs w:val="20"/>
              </w:rPr>
              <w:t xml:space="preserve">8. Editorial defects in the book draft</w:t>
            </w:r>
          </w:p>
        </w:tc>
        <w:tc>
          <w:tcPr>
            <w:tcW w:type="dxa" w:w="3700"/>
            <w:tcMar>
              <w:top w:type="dxa" w:w="60"/>
              <w:left w:type="dxa" w:w="100"/>
              <w:bottom w:type="dxa" w:w="60"/>
              <w:right w:type="dxa" w:w="100"/>
            </w:tcMar>
          </w:tcPr>
          <w:p>
            <w:pPr>
              <w:spacing w:after="40" w:line="260"/>
            </w:pPr>
            <w:r>
              <w:rPr>
                <w:sz w:val="20"/>
                <w:szCs w:val="20"/>
              </w:rPr>
              <w:t xml:space="preserve">The father-in-law story and 'Family, Work, Masonry' passage appear near-verbatim in both Chapters 15 and 16; Chapter 3 opens '…five words' then the tribute says 'Four words… Five words' for the four-word mantra; 'weir Hall 6088', 'front rom', 'practicising'.</w:t>
            </w:r>
          </w:p>
        </w:tc>
        <w:tc>
          <w:tcPr>
            <w:tcW w:type="dxa" w:w="3400"/>
            <w:tcMar>
              <w:top w:type="dxa" w:w="60"/>
              <w:left w:type="dxa" w:w="100"/>
              <w:bottom w:type="dxa" w:w="60"/>
              <w:right w:type="dxa" w:w="100"/>
            </w:tcMar>
          </w:tcPr>
          <w:p>
            <w:pPr>
              <w:spacing w:after="40" w:line="260"/>
            </w:pPr>
            <w:r>
              <w:rPr>
                <w:sz w:val="20"/>
                <w:szCs w:val="20"/>
              </w:rPr>
              <w:t xml:space="preserve">Consolidate the duplicated story into Chapter 16 (with a brief pointer in 15); fix the word-count slips and typos at the next draft pass.</w:t>
            </w:r>
          </w:p>
        </w:tc>
      </w:tr>
    </w:tbl>
    <w:p>
      <w:pPr>
        <w:spacing w:after="160"/>
      </w:pPr>
    </w:p>
    <w:p>
      <w:pPr>
        <w:spacing w:after="140" w:line="300"/>
        <w:jc w:val="both"/>
      </w:pPr>
      <w:r>
        <w:t xml:space="preserve">None of these is fatal - most exist because the suite grew quickly and in parallel. The structural cure is the same for all of them: a single canonical statement of the principles and terminology that every document </w:t>
      </w:r>
      <w:r>
        <w:rPr>
          <w:b/>
          <w:bCs/>
        </w:rPr>
        <w:t xml:space="preserve">quotes rather than restates</w:t>
      </w:r>
      <w:r>
        <w:t xml:space="preserve">. The ordering inconsistency arose precisely because each document restated the principles from memory.</w:t>
      </w:r>
    </w:p>
    <w:p>
      <w:pPr>
        <w:pStyle w:val="Heading1"/>
        <w:spacing w:after="160" w:before="360"/>
      </w:pPr>
      <w:r>
        <w:t xml:space="preserve">6. Overlap and Duplication</w:t>
      </w:r>
    </w:p>
    <w:p>
      <w:pPr>
        <w:pStyle w:val="ListParagraph"/>
        <w:numPr>
          <w:ilvl w:val="0"/>
          <w:numId w:val="2"/>
        </w:numPr>
        <w:spacing w:after="80" w:line="280"/>
      </w:pPr>
      <w:r>
        <w:rPr>
          <w:b/>
          <w:bCs/>
        </w:rPr>
        <w:t xml:space="preserve">Deliberate cascade, real maintenance risk. </w:t>
      </w:r>
      <w:r>
        <w:t xml:space="preserve">The warning-signs tables, four-step intervention, Guided/Personal Learning definitions and migration language appear near-verbatim in both the Framework and the Lodge Mentor's Guide. They are currently consistent - but two copies of anything will drift. Future documents should cross-refer to one owner-document per topic rather than duplicate its text.</w:t>
      </w:r>
    </w:p>
    <w:p>
      <w:pPr>
        <w:pStyle w:val="ListParagraph"/>
        <w:numPr>
          <w:ilvl w:val="0"/>
          <w:numId w:val="2"/>
        </w:numPr>
        <w:spacing w:after="80" w:line="280"/>
      </w:pPr>
      <w:r>
        <w:rPr>
          <w:b/>
          <w:bCs/>
        </w:rPr>
        <w:t xml:space="preserve">Complete Set Combined.pdf is redundant. </w:t>
      </w:r>
      <w:r>
        <w:t xml:space="preserve">It reproduces seventeen of the eighteen individual ENGAGE/RETRIEVE files verbatim. The single omission matters: RETRIEVE 2a (Resignation - the opportunity to reconsider, the Rule 183 sixty-day window) exists only as an individual file. Cite individual files; do not prune them in favour of the compilation.</w:t>
      </w:r>
    </w:p>
    <w:p>
      <w:pPr>
        <w:pStyle w:val="ListParagraph"/>
        <w:numPr>
          <w:ilvl w:val="0"/>
          <w:numId w:val="2"/>
        </w:numPr>
        <w:spacing w:after="80" w:line="280"/>
      </w:pPr>
      <w:r>
        <w:rPr>
          <w:b/>
          <w:bCs/>
        </w:rPr>
        <w:t xml:space="preserve">A cautionary example from Wiltshire. </w:t>
      </w:r>
      <w:r>
        <w:t xml:space="preserve">Its PGM foreword recycles the UGLE letter almost verbatim. Hertfordshire should paraphrase, credit and localise external material - never lift it.</w:t>
      </w:r>
    </w:p>
    <w:p>
      <w:pPr>
        <w:pStyle w:val="ListParagraph"/>
        <w:numPr>
          <w:ilvl w:val="0"/>
          <w:numId w:val="2"/>
        </w:numPr>
        <w:spacing w:after="80" w:line="280"/>
      </w:pPr>
      <w:r>
        <w:rPr>
          <w:b/>
          <w:bCs/>
        </w:rPr>
        <w:t xml:space="preserve">The book and the guidance suite share DNA by design. </w:t>
      </w:r>
      <w:r>
        <w:t xml:space="preserve">In That Order's appendices A-F are effectively the Mentor Meeting Guide and stage frameworks. That is healthy - but the framework should decide which artefact is the operational master (the guidance suite) and which is the narrative expression (the book), so revisions flow one way.</w:t>
      </w:r>
    </w:p>
    <w:p>
      <w:pPr>
        <w:pStyle w:val="Heading1"/>
        <w:spacing w:after="160" w:before="360"/>
      </w:pPr>
      <w:r>
        <w:t xml:space="preserve">7. Gaps in the Framework</w:t>
      </w:r>
    </w:p>
    <w:p>
      <w:pPr>
        <w:spacing w:after="140" w:line="300"/>
        <w:jc w:val="both"/>
      </w:pPr>
      <w:r>
        <w:t xml:space="preserve">Ranked by priority. 'Referenced but missing' gaps come first because existing documents already point members and mentors to them.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2400"/>
      </w:tblGrid>
      <w:tr>
        <w:trPr>
          <w:tblHeader/>
        </w:trPr>
        <w:tc>
          <w:tcPr>
            <w:tcW w:type="dxa" w:w="3200"/>
            <w:shd w:fill="1F3864" w:val="clear"/>
            <w:tcMar>
              <w:top w:type="dxa" w:w="60"/>
              <w:left w:type="dxa" w:w="100"/>
              <w:bottom w:type="dxa" w:w="60"/>
              <w:right w:type="dxa" w:w="100"/>
            </w:tcMar>
          </w:tcPr>
          <w:p>
            <w:pPr>
              <w:spacing w:after="40" w:line="260"/>
            </w:pPr>
            <w:r>
              <w:rPr>
                <w:b/>
                <w:bCs/>
                <w:color w:val="FFFFFF"/>
                <w:sz w:val="20"/>
                <w:szCs w:val="20"/>
              </w:rPr>
              <w:t xml:space="preserve">Gap</w:t>
            </w:r>
          </w:p>
        </w:tc>
        <w:tc>
          <w:tcPr>
            <w:tcW w:type="dxa" w:w="4400"/>
            <w:shd w:fill="1F3864" w:val="clear"/>
            <w:tcMar>
              <w:top w:type="dxa" w:w="60"/>
              <w:left w:type="dxa" w:w="100"/>
              <w:bottom w:type="dxa" w:w="60"/>
              <w:right w:type="dxa" w:w="100"/>
            </w:tcMar>
          </w:tcPr>
          <w:p>
            <w:pPr>
              <w:spacing w:after="40" w:line="260"/>
            </w:pPr>
            <w:r>
              <w:rPr>
                <w:b/>
                <w:bCs/>
                <w:color w:val="FFFFFF"/>
                <w:sz w:val="20"/>
                <w:szCs w:val="20"/>
              </w:rPr>
              <w:t xml:space="preserve">Evidence</w:t>
            </w:r>
          </w:p>
        </w:tc>
        <w:tc>
          <w:tcPr>
            <w:tcW w:type="dxa" w:w="2400"/>
            <w:shd w:fill="1F3864" w:val="clear"/>
            <w:tcMar>
              <w:top w:type="dxa" w:w="60"/>
              <w:left w:type="dxa" w:w="100"/>
              <w:bottom w:type="dxa" w:w="60"/>
              <w:right w:type="dxa" w:w="100"/>
            </w:tcMar>
          </w:tcPr>
          <w:p>
            <w:pPr>
              <w:spacing w:after="40" w:line="260"/>
            </w:pPr>
            <w:r>
              <w:rPr>
                <w:b/>
                <w:bCs/>
                <w:color w:val="FFFFFF"/>
                <w:sz w:val="20"/>
                <w:szCs w:val="20"/>
              </w:rPr>
              <w:t xml:space="preserve">Priority</w:t>
            </w:r>
          </w:p>
        </w:tc>
      </w:tr>
      <w:tr>
        <w:tc>
          <w:tcPr>
            <w:tcW w:type="dxa" w:w="3200"/>
            <w:tcMar>
              <w:top w:type="dxa" w:w="60"/>
              <w:left w:type="dxa" w:w="100"/>
              <w:bottom w:type="dxa" w:w="60"/>
              <w:right w:type="dxa" w:w="100"/>
            </w:tcMar>
          </w:tcPr>
          <w:p>
            <w:pPr>
              <w:spacing w:after="40" w:line="260"/>
            </w:pPr>
            <w:r>
              <w:rPr>
                <w:b/>
                <w:bCs/>
                <w:sz w:val="20"/>
                <w:szCs w:val="20"/>
              </w:rPr>
              <w:t xml:space="preserve">Personal Mentor's Guide (Hertfordshire)</w:t>
            </w:r>
          </w:p>
        </w:tc>
        <w:tc>
          <w:tcPr>
            <w:tcW w:type="dxa" w:w="4400"/>
            <w:tcMar>
              <w:top w:type="dxa" w:w="60"/>
              <w:left w:type="dxa" w:w="100"/>
              <w:bottom w:type="dxa" w:w="60"/>
              <w:right w:type="dxa" w:w="100"/>
            </w:tcMar>
          </w:tcPr>
          <w:p>
            <w:pPr>
              <w:spacing w:after="40" w:line="260"/>
            </w:pPr>
            <w:r>
              <w:rPr>
                <w:sz w:val="20"/>
                <w:szCs w:val="20"/>
              </w:rPr>
              <w:t xml:space="preserve">Cited repeatedly as 'PMG' in the Personal Mentoring Plan's resource key. UPDATE (July 2026): the guide EXISTS (Issue 1, 2026, ~5,300 words) on the Provincial shared drive - it was simply never uploaded to the Project knowledge base. The gap is now ingestion and alignment, not authorship.</w:t>
            </w:r>
          </w:p>
        </w:tc>
        <w:tc>
          <w:tcPr>
            <w:tcW w:type="dxa" w:w="2400"/>
            <w:tcMar>
              <w:top w:type="dxa" w:w="60"/>
              <w:left w:type="dxa" w:w="100"/>
              <w:bottom w:type="dxa" w:w="60"/>
              <w:right w:type="dxa" w:w="100"/>
            </w:tcMar>
          </w:tcPr>
          <w:p>
            <w:pPr>
              <w:spacing w:after="40" w:line="260"/>
            </w:pPr>
            <w:r>
              <w:rPr>
                <w:b/>
                <w:bCs/>
                <w:sz w:val="20"/>
                <w:szCs w:val="20"/>
              </w:rPr>
              <w:t xml:space="preserve">1 - Add to the Project knowledge base; review for alignment with the settled canon (its foreword carries the same title error as the LM Guide).</w:t>
            </w:r>
          </w:p>
        </w:tc>
      </w:tr>
      <w:tr>
        <w:tc>
          <w:tcPr>
            <w:tcW w:type="dxa" w:w="3200"/>
            <w:tcMar>
              <w:top w:type="dxa" w:w="60"/>
              <w:left w:type="dxa" w:w="100"/>
              <w:bottom w:type="dxa" w:w="60"/>
              <w:right w:type="dxa" w:w="100"/>
            </w:tcMar>
          </w:tcPr>
          <w:p>
            <w:pPr>
              <w:spacing w:after="40" w:line="260"/>
            </w:pPr>
            <w:r>
              <w:rPr>
                <w:b/>
                <w:bCs/>
                <w:sz w:val="20"/>
                <w:szCs w:val="20"/>
              </w:rPr>
              <w:t xml:space="preserve">Candidate / enquirer guidance</w:t>
            </w:r>
          </w:p>
        </w:tc>
        <w:tc>
          <w:tcPr>
            <w:tcW w:type="dxa" w:w="4400"/>
            <w:tcMar>
              <w:top w:type="dxa" w:w="60"/>
              <w:left w:type="dxa" w:w="100"/>
              <w:bottom w:type="dxa" w:w="60"/>
              <w:right w:type="dxa" w:w="100"/>
            </w:tcMar>
          </w:tcPr>
          <w:p>
            <w:pPr>
              <w:spacing w:after="40" w:line="260"/>
            </w:pPr>
            <w:r>
              <w:rPr>
                <w:sz w:val="20"/>
                <w:szCs w:val="20"/>
              </w:rPr>
              <w:t xml:space="preserve">Mentoring 'begins at the point of interest' (In That Order, Ch. 4; Plan Stage 1) - but there is no member-facing document for the man considering Freemasonry.</w:t>
            </w:r>
          </w:p>
        </w:tc>
        <w:tc>
          <w:tcPr>
            <w:tcW w:type="dxa" w:w="2400"/>
            <w:tcMar>
              <w:top w:type="dxa" w:w="60"/>
              <w:left w:type="dxa" w:w="100"/>
              <w:bottom w:type="dxa" w:w="60"/>
              <w:right w:type="dxa" w:w="100"/>
            </w:tcMar>
          </w:tcPr>
          <w:p>
            <w:pPr>
              <w:spacing w:after="40" w:line="260"/>
            </w:pPr>
            <w:r>
              <w:rPr>
                <w:sz w:val="20"/>
                <w:szCs w:val="20"/>
              </w:rPr>
              <w:t xml:space="preserve">2 - High.</w:t>
            </w:r>
          </w:p>
        </w:tc>
      </w:tr>
      <w:tr>
        <w:tc>
          <w:tcPr>
            <w:tcW w:type="dxa" w:w="3200"/>
            <w:tcMar>
              <w:top w:type="dxa" w:w="60"/>
              <w:left w:type="dxa" w:w="100"/>
              <w:bottom w:type="dxa" w:w="60"/>
              <w:right w:type="dxa" w:w="100"/>
            </w:tcMar>
          </w:tcPr>
          <w:p>
            <w:pPr>
              <w:spacing w:after="40" w:line="260"/>
            </w:pPr>
            <w:r>
              <w:rPr>
                <w:b/>
                <w:bCs/>
                <w:sz w:val="20"/>
                <w:szCs w:val="20"/>
              </w:rPr>
              <w:t xml:space="preserve">Mentor training and skills material</w:t>
            </w:r>
          </w:p>
        </w:tc>
        <w:tc>
          <w:tcPr>
            <w:tcW w:type="dxa" w:w="4400"/>
            <w:tcMar>
              <w:top w:type="dxa" w:w="60"/>
              <w:left w:type="dxa" w:w="100"/>
              <w:bottom w:type="dxa" w:w="60"/>
              <w:right w:type="dxa" w:w="100"/>
            </w:tcMar>
          </w:tcPr>
          <w:p>
            <w:pPr>
              <w:spacing w:after="40" w:line="260"/>
            </w:pPr>
            <w:r>
              <w:rPr>
                <w:sz w:val="20"/>
                <w:szCs w:val="20"/>
              </w:rPr>
              <w:t xml:space="preserve">The Framework promises induction briefings and periodic training; nothing yet exists. West Lancashire's guide (questioning, listening, relationship stages) is the best model in the knowledge base.</w:t>
            </w:r>
          </w:p>
        </w:tc>
        <w:tc>
          <w:tcPr>
            <w:tcW w:type="dxa" w:w="2400"/>
            <w:tcMar>
              <w:top w:type="dxa" w:w="60"/>
              <w:left w:type="dxa" w:w="100"/>
              <w:bottom w:type="dxa" w:w="60"/>
              <w:right w:type="dxa" w:w="100"/>
            </w:tcMar>
          </w:tcPr>
          <w:p>
            <w:pPr>
              <w:spacing w:after="40" w:line="260"/>
            </w:pPr>
            <w:r>
              <w:rPr>
                <w:sz w:val="20"/>
                <w:szCs w:val="20"/>
              </w:rPr>
              <w:t xml:space="preserve">2 - High.</w:t>
            </w:r>
          </w:p>
        </w:tc>
      </w:tr>
      <w:tr>
        <w:tc>
          <w:tcPr>
            <w:tcW w:type="dxa" w:w="3200"/>
            <w:tcMar>
              <w:top w:type="dxa" w:w="60"/>
              <w:left w:type="dxa" w:w="100"/>
              <w:bottom w:type="dxa" w:w="60"/>
              <w:right w:type="dxa" w:w="100"/>
            </w:tcMar>
          </w:tcPr>
          <w:p>
            <w:pPr>
              <w:spacing w:after="40" w:line="260"/>
            </w:pPr>
            <w:r>
              <w:rPr>
                <w:b/>
                <w:bCs/>
                <w:sz w:val="20"/>
                <w:szCs w:val="20"/>
              </w:rPr>
              <w:t xml:space="preserve">Data protection and record-keeping guidance</w:t>
            </w:r>
          </w:p>
        </w:tc>
        <w:tc>
          <w:tcPr>
            <w:tcW w:type="dxa" w:w="4400"/>
            <w:tcMar>
              <w:top w:type="dxa" w:w="60"/>
              <w:left w:type="dxa" w:w="100"/>
              <w:bottom w:type="dxa" w:w="60"/>
              <w:right w:type="dxa" w:w="100"/>
            </w:tcMar>
          </w:tcPr>
          <w:p>
            <w:pPr>
              <w:spacing w:after="40" w:line="260"/>
            </w:pPr>
            <w:r>
              <w:rPr>
                <w:sz w:val="20"/>
                <w:szCs w:val="20"/>
              </w:rPr>
              <w:t xml:space="preserve">The Personal Mentoring Plan collects DOB, address, occupation and employer with only a confidentiality banner. No retention period, storage rule, or handover protocol is defined.</w:t>
            </w:r>
          </w:p>
        </w:tc>
        <w:tc>
          <w:tcPr>
            <w:tcW w:type="dxa" w:w="2400"/>
            <w:tcMar>
              <w:top w:type="dxa" w:w="60"/>
              <w:left w:type="dxa" w:w="100"/>
              <w:bottom w:type="dxa" w:w="60"/>
              <w:right w:type="dxa" w:w="100"/>
            </w:tcMar>
          </w:tcPr>
          <w:p>
            <w:pPr>
              <w:spacing w:after="40" w:line="260"/>
            </w:pPr>
            <w:r>
              <w:rPr>
                <w:sz w:val="20"/>
                <w:szCs w:val="20"/>
              </w:rPr>
              <w:t xml:space="preserve">2 - High (liability as well as quality).</w:t>
            </w:r>
          </w:p>
        </w:tc>
      </w:tr>
      <w:tr>
        <w:tc>
          <w:tcPr>
            <w:tcW w:type="dxa" w:w="3200"/>
            <w:tcMar>
              <w:top w:type="dxa" w:w="60"/>
              <w:left w:type="dxa" w:w="100"/>
              <w:bottom w:type="dxa" w:w="60"/>
              <w:right w:type="dxa" w:w="100"/>
            </w:tcMar>
          </w:tcPr>
          <w:p>
            <w:pPr>
              <w:spacing w:after="40" w:line="260"/>
            </w:pPr>
            <w:r>
              <w:rPr>
                <w:b/>
                <w:bCs/>
                <w:sz w:val="20"/>
                <w:szCs w:val="20"/>
              </w:rPr>
              <w:t xml:space="preserve">Joining members, re-joiners and dual members</w:t>
            </w:r>
          </w:p>
        </w:tc>
        <w:tc>
          <w:tcPr>
            <w:tcW w:type="dxa" w:w="4400"/>
            <w:tcMar>
              <w:top w:type="dxa" w:w="60"/>
              <w:left w:type="dxa" w:w="100"/>
              <w:bottom w:type="dxa" w:w="60"/>
              <w:right w:type="dxa" w:w="100"/>
            </w:tcMar>
          </w:tcPr>
          <w:p>
            <w:pPr>
              <w:spacing w:after="40" w:line="260"/>
            </w:pPr>
            <w:r>
              <w:rPr>
                <w:sz w:val="20"/>
                <w:szCs w:val="20"/>
              </w:rPr>
              <w:t xml:space="preserve">Every journey document assumes an Initiate. UGLE guidance expects Personal Mentors 'preferably for joining members' too; nothing covers them.</w:t>
            </w:r>
          </w:p>
        </w:tc>
        <w:tc>
          <w:tcPr>
            <w:tcW w:type="dxa" w:w="2400"/>
            <w:tcMar>
              <w:top w:type="dxa" w:w="60"/>
              <w:left w:type="dxa" w:w="100"/>
              <w:bottom w:type="dxa" w:w="60"/>
              <w:right w:type="dxa" w:w="100"/>
            </w:tcMar>
          </w:tcPr>
          <w:p>
            <w:pPr>
              <w:spacing w:after="40" w:line="260"/>
            </w:pPr>
            <w:r>
              <w:rPr>
                <w:sz w:val="20"/>
                <w:szCs w:val="20"/>
              </w:rPr>
              <w:t xml:space="preserve">3 - Medium.</w:t>
            </w:r>
          </w:p>
        </w:tc>
      </w:tr>
      <w:tr>
        <w:tc>
          <w:tcPr>
            <w:tcW w:type="dxa" w:w="3200"/>
            <w:tcMar>
              <w:top w:type="dxa" w:w="60"/>
              <w:left w:type="dxa" w:w="100"/>
              <w:bottom w:type="dxa" w:w="60"/>
              <w:right w:type="dxa" w:w="100"/>
            </w:tcMar>
          </w:tcPr>
          <w:p>
            <w:pPr>
              <w:spacing w:after="40" w:line="260"/>
            </w:pPr>
            <w:r>
              <w:rPr>
                <w:b/>
                <w:bCs/>
                <w:sz w:val="20"/>
                <w:szCs w:val="20"/>
              </w:rPr>
              <w:t xml:space="preserve">Exit interview guidance</w:t>
            </w:r>
          </w:p>
        </w:tc>
        <w:tc>
          <w:tcPr>
            <w:tcW w:type="dxa" w:w="4400"/>
            <w:tcMar>
              <w:top w:type="dxa" w:w="60"/>
              <w:left w:type="dxa" w:w="100"/>
              <w:bottom w:type="dxa" w:w="60"/>
              <w:right w:type="dxa" w:w="100"/>
            </w:tcMar>
          </w:tcPr>
          <w:p>
            <w:pPr>
              <w:spacing w:after="40" w:line="260"/>
            </w:pPr>
            <w:r>
              <w:rPr>
                <w:sz w:val="20"/>
                <w:szCs w:val="20"/>
              </w:rPr>
              <w:t xml:space="preserve">The UGLE RETRIEVE set in the knowledge base is missing its item 2 (the exit-interview document); other documents cross-refer to it. Hertfordshire has no defined exit conversation.</w:t>
            </w:r>
          </w:p>
        </w:tc>
        <w:tc>
          <w:tcPr>
            <w:tcW w:type="dxa" w:w="2400"/>
            <w:tcMar>
              <w:top w:type="dxa" w:w="60"/>
              <w:left w:type="dxa" w:w="100"/>
              <w:bottom w:type="dxa" w:w="60"/>
              <w:right w:type="dxa" w:w="100"/>
            </w:tcMar>
          </w:tcPr>
          <w:p>
            <w:pPr>
              <w:spacing w:after="40" w:line="260"/>
            </w:pPr>
            <w:r>
              <w:rPr>
                <w:sz w:val="20"/>
                <w:szCs w:val="20"/>
              </w:rPr>
              <w:t xml:space="preserve">3 - Medium. Obtain the UGLE original or write our own.</w:t>
            </w:r>
          </w:p>
        </w:tc>
      </w:tr>
      <w:tr>
        <w:tc>
          <w:tcPr>
            <w:tcW w:type="dxa" w:w="3200"/>
            <w:tcMar>
              <w:top w:type="dxa" w:w="60"/>
              <w:left w:type="dxa" w:w="100"/>
              <w:bottom w:type="dxa" w:w="60"/>
              <w:right w:type="dxa" w:w="100"/>
            </w:tcMar>
          </w:tcPr>
          <w:p>
            <w:pPr>
              <w:spacing w:after="40" w:line="260"/>
            </w:pPr>
            <w:r>
              <w:rPr>
                <w:b/>
                <w:bCs/>
                <w:sz w:val="20"/>
                <w:szCs w:val="20"/>
              </w:rPr>
              <w:t xml:space="preserve">Measures of success</w:t>
            </w:r>
          </w:p>
        </w:tc>
        <w:tc>
          <w:tcPr>
            <w:tcW w:type="dxa" w:w="4400"/>
            <w:tcMar>
              <w:top w:type="dxa" w:w="60"/>
              <w:left w:type="dxa" w:w="100"/>
              <w:bottom w:type="dxa" w:w="60"/>
              <w:right w:type="dxa" w:w="100"/>
            </w:tcMar>
          </w:tcPr>
          <w:p>
            <w:pPr>
              <w:spacing w:after="40" w:line="260"/>
            </w:pPr>
            <w:r>
              <w:rPr>
                <w:sz w:val="20"/>
                <w:szCs w:val="20"/>
              </w:rPr>
              <w:t xml:space="preserve">The Framework defines reporting but no measures. Wiltshire states retention at 1, 3, 5 and 10 years as the Lodge Mentor's success measure; UGLE suggests a rolling five-year joiners-vs-leavers view.</w:t>
            </w:r>
          </w:p>
        </w:tc>
        <w:tc>
          <w:tcPr>
            <w:tcW w:type="dxa" w:w="2400"/>
            <w:tcMar>
              <w:top w:type="dxa" w:w="60"/>
              <w:left w:type="dxa" w:w="100"/>
              <w:bottom w:type="dxa" w:w="60"/>
              <w:right w:type="dxa" w:w="100"/>
            </w:tcMar>
          </w:tcPr>
          <w:p>
            <w:pPr>
              <w:spacing w:after="40" w:line="260"/>
            </w:pPr>
            <w:r>
              <w:rPr>
                <w:sz w:val="20"/>
                <w:szCs w:val="20"/>
              </w:rPr>
              <w:t xml:space="preserve">3 - Medium (feeds the annual report).</w:t>
            </w:r>
          </w:p>
        </w:tc>
      </w:tr>
      <w:tr>
        <w:tc>
          <w:tcPr>
            <w:tcW w:type="dxa" w:w="3200"/>
            <w:tcMar>
              <w:top w:type="dxa" w:w="60"/>
              <w:left w:type="dxa" w:w="100"/>
              <w:bottom w:type="dxa" w:w="60"/>
              <w:right w:type="dxa" w:w="100"/>
            </w:tcMar>
          </w:tcPr>
          <w:p>
            <w:pPr>
              <w:spacing w:after="40" w:line="260"/>
            </w:pPr>
            <w:r>
              <w:rPr>
                <w:b/>
                <w:bCs/>
                <w:sz w:val="20"/>
                <w:szCs w:val="20"/>
              </w:rPr>
              <w:t xml:space="preserve">The under-stretched member</w:t>
            </w:r>
          </w:p>
        </w:tc>
        <w:tc>
          <w:tcPr>
            <w:tcW w:type="dxa" w:w="4400"/>
            <w:tcMar>
              <w:top w:type="dxa" w:w="60"/>
              <w:left w:type="dxa" w:w="100"/>
              <w:bottom w:type="dxa" w:w="60"/>
              <w:right w:type="dxa" w:w="100"/>
            </w:tcMar>
          </w:tcPr>
          <w:p>
            <w:pPr>
              <w:spacing w:after="40" w:line="260"/>
            </w:pPr>
            <w:r>
              <w:rPr>
                <w:sz w:val="20"/>
                <w:szCs w:val="20"/>
              </w:rPr>
              <w:t xml:space="preserve">Hertfordshire's pressure-protection sections cover only over-pressure. Devon flags the converse: a Brother demotivated because he is never offered office or ritual he is ready for.</w:t>
            </w:r>
          </w:p>
        </w:tc>
        <w:tc>
          <w:tcPr>
            <w:tcW w:type="dxa" w:w="2400"/>
            <w:tcMar>
              <w:top w:type="dxa" w:w="60"/>
              <w:left w:type="dxa" w:w="100"/>
              <w:bottom w:type="dxa" w:w="60"/>
              <w:right w:type="dxa" w:w="100"/>
            </w:tcMar>
          </w:tcPr>
          <w:p>
            <w:pPr>
              <w:spacing w:after="40" w:line="260"/>
            </w:pPr>
            <w:r>
              <w:rPr>
                <w:sz w:val="20"/>
                <w:szCs w:val="20"/>
              </w:rPr>
              <w:t xml:space="preserve">4 - Enhancement at next issue of the LM Guide.</w:t>
            </w:r>
          </w:p>
        </w:tc>
      </w:tr>
      <w:tr>
        <w:tc>
          <w:tcPr>
            <w:tcW w:type="dxa" w:w="3200"/>
            <w:tcMar>
              <w:top w:type="dxa" w:w="60"/>
              <w:left w:type="dxa" w:w="100"/>
              <w:bottom w:type="dxa" w:w="60"/>
              <w:right w:type="dxa" w:w="100"/>
            </w:tcMar>
          </w:tcPr>
          <w:p>
            <w:pPr>
              <w:spacing w:after="40" w:line="260"/>
            </w:pPr>
            <w:r>
              <w:rPr>
                <w:b/>
                <w:bCs/>
                <w:sz w:val="20"/>
                <w:szCs w:val="20"/>
              </w:rPr>
              <w:t xml:space="preserve">Accessibility, faith and adjustment guidance</w:t>
            </w:r>
          </w:p>
        </w:tc>
        <w:tc>
          <w:tcPr>
            <w:tcW w:type="dxa" w:w="4400"/>
            <w:tcMar>
              <w:top w:type="dxa" w:w="60"/>
              <w:left w:type="dxa" w:w="100"/>
              <w:bottom w:type="dxa" w:w="60"/>
              <w:right w:type="dxa" w:w="100"/>
            </w:tcMar>
          </w:tcPr>
          <w:p>
            <w:pPr>
              <w:spacing w:after="40" w:line="260"/>
            </w:pPr>
            <w:r>
              <w:rPr>
                <w:sz w:val="20"/>
                <w:szCs w:val="20"/>
              </w:rPr>
              <w:t xml:space="preserve">The DC Handbook covers VSL choice, kneeling and infirmity; In That Order tells the stories (the suit, the glasses, the Brother who could not kneel) - but no mentoring document consolidates this.</w:t>
            </w:r>
          </w:p>
        </w:tc>
        <w:tc>
          <w:tcPr>
            <w:tcW w:type="dxa" w:w="2400"/>
            <w:tcMar>
              <w:top w:type="dxa" w:w="60"/>
              <w:left w:type="dxa" w:w="100"/>
              <w:bottom w:type="dxa" w:w="60"/>
              <w:right w:type="dxa" w:w="100"/>
            </w:tcMar>
          </w:tcPr>
          <w:p>
            <w:pPr>
              <w:spacing w:after="40" w:line="260"/>
            </w:pPr>
            <w:r>
              <w:rPr>
                <w:sz w:val="20"/>
                <w:szCs w:val="20"/>
              </w:rPr>
              <w:t xml:space="preserve">4 - Fold into the Personal Mentor's Guide.</w:t>
            </w:r>
          </w:p>
        </w:tc>
      </w:tr>
      <w:tr>
        <w:tc>
          <w:tcPr>
            <w:tcW w:type="dxa" w:w="3200"/>
            <w:tcMar>
              <w:top w:type="dxa" w:w="60"/>
              <w:left w:type="dxa" w:w="100"/>
              <w:bottom w:type="dxa" w:w="60"/>
              <w:right w:type="dxa" w:w="100"/>
            </w:tcMar>
          </w:tcPr>
          <w:p>
            <w:pPr>
              <w:spacing w:after="40" w:line="260"/>
            </w:pPr>
            <w:r>
              <w:rPr>
                <w:b/>
                <w:bCs/>
                <w:sz w:val="20"/>
                <w:szCs w:val="20"/>
              </w:rPr>
              <w:t xml:space="preserve">The Mentor in the Rule 183 window</w:t>
            </w:r>
          </w:p>
        </w:tc>
        <w:tc>
          <w:tcPr>
            <w:tcW w:type="dxa" w:w="4400"/>
            <w:tcMar>
              <w:top w:type="dxa" w:w="60"/>
              <w:left w:type="dxa" w:w="100"/>
              <w:bottom w:type="dxa" w:w="60"/>
              <w:right w:type="dxa" w:w="100"/>
            </w:tcMar>
          </w:tcPr>
          <w:p>
            <w:pPr>
              <w:spacing w:after="40" w:line="260"/>
            </w:pPr>
            <w:r>
              <w:rPr>
                <w:sz w:val="20"/>
                <w:szCs w:val="20"/>
              </w:rPr>
              <w:t xml:space="preserve">The Secretaries' Handbook names the Almoner and Membership Officer in the 60-day resignation window - the Mentor is absent. The mentoring framework should define the mentor's part and the hand-offs.</w:t>
            </w:r>
          </w:p>
        </w:tc>
        <w:tc>
          <w:tcPr>
            <w:tcW w:type="dxa" w:w="2400"/>
            <w:tcMar>
              <w:top w:type="dxa" w:w="60"/>
              <w:left w:type="dxa" w:w="100"/>
              <w:bottom w:type="dxa" w:w="60"/>
              <w:right w:type="dxa" w:w="100"/>
            </w:tcMar>
          </w:tcPr>
          <w:p>
            <w:pPr>
              <w:spacing w:after="40" w:line="260"/>
            </w:pPr>
            <w:r>
              <w:rPr>
                <w:sz w:val="20"/>
                <w:szCs w:val="20"/>
              </w:rPr>
              <w:t xml:space="preserve">4 - Address in retention guidance.</w:t>
            </w:r>
          </w:p>
        </w:tc>
      </w:tr>
    </w:tbl>
    <w:p>
      <w:pPr>
        <w:pStyle w:val="Heading1"/>
        <w:spacing w:after="160" w:before="360"/>
      </w:pPr>
      <w:r>
        <w:t xml:space="preserve">8. The Best Ideas Worth Importing</w:t>
      </w:r>
    </w:p>
    <w:p>
      <w:pPr>
        <w:spacing w:after="140" w:line="300"/>
        <w:jc w:val="both"/>
      </w:pPr>
      <w:r>
        <w:t xml:space="preserve">Selective and concrete - each of these has earned its place in another jurisdiction and fits the Hertfordshire philosophy. All would be credited and localised.</w:t>
      </w:r>
    </w:p>
    <w:p>
      <w:pPr>
        <w:pStyle w:val="Heading3"/>
        <w:spacing w:after="100" w:before="220"/>
      </w:pPr>
      <w:r>
        <w:t xml:space="preserve">From Metropolitan Grand Lodge (2025 - the most current benchmark)</w:t>
      </w:r>
    </w:p>
    <w:p>
      <w:pPr>
        <w:pStyle w:val="ListParagraph"/>
        <w:numPr>
          <w:ilvl w:val="0"/>
          <w:numId w:val="2"/>
        </w:numPr>
        <w:spacing w:after="80" w:line="280"/>
      </w:pPr>
      <w:r>
        <w:t xml:space="preserve">The mentee holds his own copy of the mentoring plan - transparency as a design principle, and the completed plan doubles as the case file if a member later becomes at-risk. (The Hertfordshire Plan is currently mentor-held only.)</w:t>
      </w:r>
    </w:p>
    <w:p>
      <w:pPr>
        <w:pStyle w:val="ListParagraph"/>
        <w:numPr>
          <w:ilvl w:val="0"/>
          <w:numId w:val="2"/>
        </w:numPr>
        <w:spacing w:after="80" w:line="280"/>
      </w:pPr>
      <w:r>
        <w:t xml:space="preserve">The 'three Is' for Past Masters: remain Included, Involved and Interested to remain In the Lodge.</w:t>
      </w:r>
    </w:p>
    <w:p>
      <w:pPr>
        <w:pStyle w:val="ListParagraph"/>
        <w:numPr>
          <w:ilvl w:val="0"/>
          <w:numId w:val="2"/>
        </w:numPr>
        <w:spacing w:after="80" w:line="280"/>
      </w:pPr>
      <w:r>
        <w:t xml:space="preserve">Exit interviews recover roughly one resignation in three - the strongest single statistic for investing in a retrieval conversation.</w:t>
      </w:r>
    </w:p>
    <w:p>
      <w:pPr>
        <w:pStyle w:val="ListParagraph"/>
        <w:numPr>
          <w:ilvl w:val="0"/>
          <w:numId w:val="2"/>
        </w:numPr>
        <w:spacing w:after="80" w:line="280"/>
      </w:pPr>
      <w:r>
        <w:t xml:space="preserve">The Welcome Project (observing an exemplary narrated ceremony at another Lodge soon after your own) - which independently validates Hertfordshire's own Ceremony Spotlight / Visitors' Festival concept.</w:t>
      </w:r>
    </w:p>
    <w:p>
      <w:pPr>
        <w:pStyle w:val="Heading3"/>
        <w:spacing w:after="100" w:before="220"/>
      </w:pPr>
      <w:r>
        <w:t xml:space="preserve">From Wiltshire</w:t>
      </w:r>
    </w:p>
    <w:p>
      <w:pPr>
        <w:pStyle w:val="ListParagraph"/>
        <w:numPr>
          <w:ilvl w:val="0"/>
          <w:numId w:val="2"/>
        </w:numPr>
        <w:spacing w:after="80" w:line="280"/>
      </w:pPr>
      <w:r>
        <w:t xml:space="preserve">The minute-by-minute Initiation-night checklist (spare trousers, printed toast-response card, salute coaching before re-admission, raffle expectation-setting) - the most operational PREPARE material in the knowledge base.</w:t>
      </w:r>
    </w:p>
    <w:p>
      <w:pPr>
        <w:pStyle w:val="ListParagraph"/>
        <w:numPr>
          <w:ilvl w:val="0"/>
          <w:numId w:val="2"/>
        </w:numPr>
        <w:spacing w:after="80" w:line="280"/>
      </w:pPr>
      <w:r>
        <w:t xml:space="preserve">The 'second meeting' checklist - recognising the meeting after Initiation as a neglected danger point.</w:t>
      </w:r>
    </w:p>
    <w:p>
      <w:pPr>
        <w:pStyle w:val="ListParagraph"/>
        <w:numPr>
          <w:ilvl w:val="0"/>
          <w:numId w:val="2"/>
        </w:numPr>
        <w:spacing w:after="80" w:line="280"/>
      </w:pPr>
      <w:r>
        <w:t xml:space="preserve">Retention at 1, 3, 5 and 10 years as the Lodge Mentor's stated measure of success.</w:t>
      </w:r>
    </w:p>
    <w:p>
      <w:pPr>
        <w:pStyle w:val="ListParagraph"/>
        <w:numPr>
          <w:ilvl w:val="0"/>
          <w:numId w:val="2"/>
        </w:numPr>
        <w:spacing w:after="80" w:line="280"/>
      </w:pPr>
      <w:r>
        <w:t xml:space="preserve">“We treat a new Brother as a 'hero' on the night of his Initiation and then neglect him afterwards. We need to be better than that.” - a rallying sentence worth honouring with our own equivalent.</w:t>
      </w:r>
    </w:p>
    <w:p>
      <w:pPr>
        <w:pStyle w:val="Heading3"/>
        <w:spacing w:after="100" w:before="220"/>
      </w:pPr>
      <w:r>
        <w:t xml:space="preserve">From West Lancashire</w:t>
      </w:r>
    </w:p>
    <w:p>
      <w:pPr>
        <w:pStyle w:val="ListParagraph"/>
        <w:numPr>
          <w:ilvl w:val="0"/>
          <w:numId w:val="2"/>
        </w:numPr>
        <w:spacing w:after="80" w:line="280"/>
      </w:pPr>
      <w:r>
        <w:t xml:space="preserve">Opening with a first-person resignation testimony - the single most persuasive device in any document read. Hertfordshire should craft its own true, anonymised equivalent (In That Order's foreword already contains the raw material).</w:t>
      </w:r>
    </w:p>
    <w:p>
      <w:pPr>
        <w:pStyle w:val="ListParagraph"/>
        <w:numPr>
          <w:ilvl w:val="0"/>
          <w:numId w:val="2"/>
        </w:numPr>
        <w:spacing w:after="80" w:line="280"/>
      </w:pPr>
      <w:r>
        <w:t xml:space="preserve">The maturing relationship: teacher → coach → advisor → role model → counsellor; and mentor selection by the compromise principle - friendship potential outranks knowledge, because knowledge can be trained.</w:t>
      </w:r>
    </w:p>
    <w:p>
      <w:pPr>
        <w:pStyle w:val="ListParagraph"/>
        <w:numPr>
          <w:ilvl w:val="0"/>
          <w:numId w:val="2"/>
        </w:numPr>
        <w:spacing w:after="80" w:line="280"/>
      </w:pPr>
      <w:r>
        <w:t xml:space="preserve">Micro-training in open vs closed questions and active listening with Masonic worked examples - ready-made content for the training course. (In That Order, Ch. 12 already teaches this; the training material should draw on both.)</w:t>
      </w:r>
    </w:p>
    <w:p>
      <w:pPr>
        <w:pStyle w:val="ListParagraph"/>
        <w:numPr>
          <w:ilvl w:val="0"/>
          <w:numId w:val="2"/>
        </w:numPr>
        <w:spacing w:after="80" w:line="280"/>
      </w:pPr>
      <w:r>
        <w:t xml:space="preserve">Evaluate the process, not the person - the right caveat for any measurement regime.</w:t>
      </w:r>
    </w:p>
    <w:p>
      <w:pPr>
        <w:pStyle w:val="Heading3"/>
        <w:spacing w:after="100" w:before="220"/>
      </w:pPr>
      <w:r>
        <w:t xml:space="preserve">From East Lancashire</w:t>
      </w:r>
    </w:p>
    <w:p>
      <w:pPr>
        <w:pStyle w:val="ListParagraph"/>
        <w:numPr>
          <w:ilvl w:val="0"/>
          <w:numId w:val="2"/>
        </w:numPr>
        <w:spacing w:after="80" w:line="280"/>
      </w:pPr>
      <w:r>
        <w:t xml:space="preserve">'Finding the Key, Turning the Key, Opening the Door' - a simple, teachable model for understanding a new member before designing his support.</w:t>
      </w:r>
    </w:p>
    <w:p>
      <w:pPr>
        <w:pStyle w:val="ListParagraph"/>
        <w:numPr>
          <w:ilvl w:val="0"/>
          <w:numId w:val="2"/>
        </w:numPr>
        <w:spacing w:after="80" w:line="280"/>
      </w:pPr>
      <w:r>
        <w:t xml:space="preserve">The one-page distillation: “Make every Mason count. Make every Meeting count. Make it fun. Make it repeatable.” - the format (a one-page role summary) is worth adopting for every Hertfordshire role.</w:t>
      </w:r>
    </w:p>
    <w:p>
      <w:pPr>
        <w:pStyle w:val="ListParagraph"/>
        <w:numPr>
          <w:ilvl w:val="0"/>
          <w:numId w:val="2"/>
        </w:numPr>
        <w:spacing w:after="80" w:line="280"/>
      </w:pPr>
      <w:r>
        <w:t xml:space="preserve">'Time, Talent and Temperament' as the Personal Mentor selection test.</w:t>
      </w:r>
    </w:p>
    <w:p>
      <w:pPr>
        <w:pStyle w:val="Heading3"/>
        <w:spacing w:after="100" w:before="220"/>
      </w:pPr>
      <w:r>
        <w:t xml:space="preserve">From Devon</w:t>
      </w:r>
    </w:p>
    <w:p>
      <w:pPr>
        <w:pStyle w:val="ListParagraph"/>
        <w:numPr>
          <w:ilvl w:val="0"/>
          <w:numId w:val="2"/>
        </w:numPr>
        <w:spacing w:after="80" w:line="280"/>
      </w:pPr>
      <w:r>
        <w:t xml:space="preserve">The under-stretched member risk (see §7) and the five-year Lodge succession plan held jointly by Mentor and DC.</w:t>
      </w:r>
    </w:p>
    <w:p>
      <w:pPr>
        <w:pStyle w:val="ListParagraph"/>
        <w:numPr>
          <w:ilvl w:val="0"/>
          <w:numId w:val="2"/>
        </w:numPr>
        <w:spacing w:after="80" w:line="280"/>
      </w:pPr>
      <w:r>
        <w:t xml:space="preserve">Public recognition of Solomon achievements (certificates and Diploma reported to the Provincial team).</w:t>
      </w:r>
    </w:p>
    <w:p>
      <w:pPr>
        <w:pStyle w:val="Heading3"/>
        <w:spacing w:after="100" w:before="220"/>
      </w:pPr>
      <w:r>
        <w:t xml:space="preserve">From the UGLE ENGAGE/RETRIEVE set</w:t>
      </w:r>
    </w:p>
    <w:p>
      <w:pPr>
        <w:pStyle w:val="ListParagraph"/>
        <w:numPr>
          <w:ilvl w:val="0"/>
          <w:numId w:val="2"/>
        </w:numPr>
        <w:spacing w:after="80" w:line="280"/>
      </w:pPr>
      <w:r>
        <w:t xml:space="preserve">The encouragement-versus-coercion principle stated as a value: the difference lies in how things are conveyed and perceived.</w:t>
      </w:r>
    </w:p>
    <w:p>
      <w:pPr>
        <w:pStyle w:val="ListParagraph"/>
        <w:numPr>
          <w:ilvl w:val="0"/>
          <w:numId w:val="2"/>
        </w:numPr>
        <w:spacing w:after="80" w:line="280"/>
      </w:pPr>
      <w:r>
        <w:t xml:space="preserve">The 26-topic first-year conversation list (Understanding) - the natural backbone of the Personal Mentor's Guide.</w:t>
      </w:r>
    </w:p>
    <w:p>
      <w:pPr>
        <w:pStyle w:val="ListParagraph"/>
        <w:numPr>
          <w:ilvl w:val="0"/>
          <w:numId w:val="2"/>
        </w:numPr>
        <w:spacing w:after="80" w:line="280"/>
      </w:pPr>
      <w:r>
        <w:t xml:space="preserve">The two-misses / seven-day contact trigger, and the seasonal finding that January-June initiates retain worse than September-December initiates (the summer gap) - directly actionable in Lodge programme planning.</w:t>
      </w:r>
    </w:p>
    <w:p>
      <w:pPr>
        <w:pStyle w:val="ListParagraph"/>
        <w:numPr>
          <w:ilvl w:val="0"/>
          <w:numId w:val="2"/>
        </w:numPr>
        <w:spacing w:after="80" w:line="280"/>
      </w:pPr>
      <w:r>
        <w:t xml:space="preserve">The ritual-learning method (start 3-6 months ahead; committed time; record and replay) and its permission-giving stance: the minimum ask is only the questions and answers, and a member who learns no more remains a valued member.</w:t>
      </w:r>
    </w:p>
    <w:p>
      <w:pPr>
        <w:pStyle w:val="Heading3"/>
        <w:spacing w:after="100" w:before="220"/>
      </w:pPr>
      <w:r>
        <w:t xml:space="preserve">From the officer guides</w:t>
      </w:r>
    </w:p>
    <w:p>
      <w:pPr>
        <w:pStyle w:val="ListParagraph"/>
        <w:numPr>
          <w:ilvl w:val="0"/>
          <w:numId w:val="2"/>
        </w:numPr>
        <w:spacing w:after="80" w:line="280"/>
      </w:pPr>
      <w:r>
        <w:t xml:space="preserve">The Almoner-Mentor joint welcome of new members (Almoner's Guide) and the DC's explicit duty to support younger members at LoI - both are named integration points to formalise.</w:t>
      </w:r>
    </w:p>
    <w:p>
      <w:pPr>
        <w:pStyle w:val="ListParagraph"/>
        <w:numPr>
          <w:ilvl w:val="0"/>
          <w:numId w:val="2"/>
        </w:numPr>
        <w:spacing w:after="80" w:line="280"/>
      </w:pPr>
      <w:r>
        <w:t xml:space="preserve">The Treasurer as early-warning sensor: subscription arrears are often the first hard signal of disengagement, well before Rule 148/181 action.</w:t>
      </w:r>
    </w:p>
    <w:p>
      <w:pPr>
        <w:pStyle w:val="Heading1"/>
        <w:spacing w:after="160" w:before="360"/>
      </w:pPr>
      <w:r>
        <w:t xml:space="preserve">9. House Style and Consistency Observations</w:t>
      </w:r>
    </w:p>
    <w:p>
      <w:pPr>
        <w:spacing w:after="140" w:line="300"/>
        <w:jc w:val="both"/>
      </w:pPr>
      <w:r>
        <w:t xml:space="preserve">Two house styles are in play across the knowledge base. The Hertfordshire Provincial guides (DC, Treasurer, Secretary) use a cover page with 'Issue n, Month Year' versioning, a contents page, rules quoted with plain-English commentary, checklists, specimen wordings, appendices, and the Provincial Office contact block. The UGLE/MCF booklets (Almoner, Charity Steward) are designed, skills-based and heavily signposted, with 'quick tips' panels and conversation-starter lists.</w:t>
      </w:r>
    </w:p>
    <w:p>
      <w:pPr>
        <w:spacing w:after="140" w:line="300"/>
        <w:jc w:val="both"/>
      </w:pPr>
      <w:r>
        <w:t xml:space="preserve">Recommendation: Hertfordshire mentoring documents should follow the </w:t>
      </w:r>
      <w:r>
        <w:rPr>
          <w:b/>
          <w:bCs/>
        </w:rPr>
        <w:t xml:space="preserve">Provincial house style for authority</w:t>
      </w:r>
      <w:r>
        <w:t xml:space="preserve"> (cover, issue-numbering, contents, contact block - the Treasurers' Guide 'Issue 1, February 2026' convention is the newest and best) while </w:t>
      </w:r>
      <w:r>
        <w:rPr>
          <w:b/>
          <w:bCs/>
        </w:rPr>
        <w:t xml:space="preserve">borrowing the UGLE/MCF skills-teaching techniques</w:t>
      </w:r>
      <w:r>
        <w:t xml:space="preserve"> (tips panels, conversation starters, DO/DON'T boxes) for the interpersonal content. The existing Lodge Mentor's Guide already does this well and should be treated as the style benchmark.</w:t>
      </w:r>
    </w:p>
    <w:p>
      <w:pPr>
        <w:spacing w:after="140" w:line="300"/>
        <w:jc w:val="both"/>
      </w:pPr>
      <w:r>
        <w:t xml:space="preserve">One further standard to adopt from the officer suite: reciprocal cross-referencing. The Almoner's and Charity Steward's guides each contain a 'working with…' section describing the other role. Every mentoring document should carry the same for the Almoner, Membership Officer, DC and Secretary - and, at next issue, those officer guides should be invited to reference the Mentor in return (the Mentor is currently absent from the Secretaries' Handbook's Rule 183 retention narrative).</w:t>
      </w:r>
    </w:p>
    <w:p>
      <w:pPr>
        <w:spacing w:after="140" w:line="300"/>
        <w:jc w:val="both"/>
      </w:pPr>
      <w:r>
        <w:t xml:space="preserve">A note on ritual content: the East Lancashire EA guide reproduces test questions and the Charge verbatim. Hertfordshire's standard - never reveal ritual, prepare without spoiling - is stricter and should be stated explicitly in the style sheet so member-facing guides never drift toward reproduction.</w:t>
      </w:r>
    </w:p>
    <w:p>
      <w:pPr>
        <w:pStyle w:val="Heading1"/>
        <w:spacing w:after="160" w:before="360"/>
      </w:pPr>
      <w:r>
        <w:t xml:space="preserve">10. Knowledge Management Actions</w:t>
      </w:r>
    </w:p>
    <w:p>
      <w:pPr>
        <w:pStyle w:val="ListParagraph"/>
        <w:numPr>
          <w:ilvl w:val="0"/>
          <w:numId w:val="2"/>
        </w:numPr>
        <w:spacing w:after="80" w:line="280"/>
      </w:pPr>
      <w:r>
        <w:rPr>
          <w:b/>
          <w:bCs/>
        </w:rPr>
        <w:t xml:space="preserve">PersonalMentorsHandbook.pdf is unreadable </w:t>
      </w:r>
      <w:r>
        <w:t xml:space="preserve"> - it is an image-only scan; only the title survives extraction. Please re-upload a text-based version (or the source document) if it should inform the framework. Until then it cannot be cited.</w:t>
      </w:r>
    </w:p>
    <w:p>
      <w:pPr>
        <w:pStyle w:val="ListParagraph"/>
        <w:numPr>
          <w:ilvl w:val="0"/>
          <w:numId w:val="2"/>
        </w:numPr>
        <w:spacing w:after="80" w:line="280"/>
      </w:pPr>
      <w:r>
        <w:rPr>
          <w:b/>
          <w:bCs/>
        </w:rPr>
        <w:t xml:space="preserve">Obtain the missing UGLE RETRIEVE item 2 </w:t>
      </w:r>
      <w:r>
        <w:t xml:space="preserve">(exit interviews / understanding the real reasons for losses) if it exists, from b.ugle.org.uk/membership.</w:t>
      </w:r>
    </w:p>
    <w:p>
      <w:pPr>
        <w:pStyle w:val="ListParagraph"/>
        <w:numPr>
          <w:ilvl w:val="0"/>
          <w:numId w:val="2"/>
        </w:numPr>
        <w:spacing w:after="80" w:line="280"/>
      </w:pPr>
      <w:r>
        <w:rPr>
          <w:b/>
          <w:bCs/>
        </w:rPr>
        <w:t xml:space="preserve">Keep the individual ENGAGE/RETRIEVE files </w:t>
      </w:r>
      <w:r>
        <w:t xml:space="preserve">as the citable sources; treat Complete Set Combined.pdf as a convenience copy only (it omits RETRIEVE 2a).</w:t>
      </w:r>
    </w:p>
    <w:p>
      <w:pPr>
        <w:pStyle w:val="ListParagraph"/>
        <w:numPr>
          <w:ilvl w:val="0"/>
          <w:numId w:val="2"/>
        </w:numPr>
        <w:spacing w:after="80" w:line="280"/>
      </w:pPr>
      <w:r>
        <w:rPr>
          <w:b/>
          <w:bCs/>
        </w:rPr>
        <w:t xml:space="preserve">Date-stamp external sources when cited </w:t>
      </w:r>
      <w:r>
        <w:t xml:space="preserve"> - several (migration, Hermes references) describe processes explicitly in transition and must be verified before Hertfordshire publication.</w:t>
      </w:r>
    </w:p>
    <w:p>
      <w:pPr>
        <w:pStyle w:val="ListParagraph"/>
        <w:numPr>
          <w:ilvl w:val="0"/>
          <w:numId w:val="2"/>
        </w:numPr>
        <w:spacing w:after="80" w:line="280"/>
      </w:pPr>
      <w:r>
        <w:rPr>
          <w:b/>
          <w:bCs/>
        </w:rPr>
        <w:t xml:space="preserve">Version-control the Hertfordshire suite </w:t>
      </w:r>
      <w:r>
        <w:t xml:space="preserve"> - adopt 'Issue n, Month Year' plus a revision-history table (the Framework v2.2a already has one) for every document in the library.</w:t>
      </w:r>
    </w:p>
    <w:p>
      <w:pPr>
        <w:pStyle w:val="ListParagraph"/>
        <w:numPr>
          <w:ilvl w:val="0"/>
          <w:numId w:val="2"/>
        </w:numPr>
        <w:spacing w:after="80" w:line="280"/>
      </w:pPr>
      <w:r>
        <w:rPr>
          <w:b/>
          <w:bCs/>
        </w:rPr>
        <w:t xml:space="preserve">Complete the Project knowledge base from the Provincial shared drive </w:t>
      </w:r>
      <w:r>
        <w:t xml:space="preserve"> - the Personal Mentor's Guide (Issue 1, 2026) and the Guiding Principles of Mentoring artwork exist on the shared drive but not in the Project. Upload both. Note two typos in the Guiding Principles artwork for its next print run: 'provisional website' (should be 'provincial') and 'puncuality'.</w:t>
      </w:r>
    </w:p>
    <w:p>
      <w:pPr>
        <w:pStyle w:val="Heading1"/>
        <w:spacing w:after="160" w:before="360"/>
      </w:pPr>
      <w:r>
        <w:t xml:space="preserve">11. Summary of Decisions Required</w:t>
      </w:r>
    </w:p>
    <w:p>
      <w:pPr>
        <w:spacing w:after="140" w:line="300"/>
        <w:jc w:val="both"/>
      </w:pPr>
      <w:r>
        <w:t xml:space="preserve">Seven decisions unlock everything else. Three were settled in July 2026 and are recorded here; four remain open:</w:t>
      </w:r>
    </w:p>
    <w:p>
      <w:pPr>
        <w:pStyle w:val="ListParagraph"/>
        <w:numPr>
          <w:ilvl w:val="0"/>
          <w:numId w:val="2"/>
        </w:numPr>
        <w:spacing w:after="80" w:line="280"/>
      </w:pPr>
      <w:r>
        <w:rPr>
          <w:b/>
          <w:bCs/>
        </w:rPr>
        <w:t xml:space="preserve">SETTLED - </w:t>
      </w:r>
      <w:r>
        <w:t xml:space="preserve">Canonical order of the four principles: Prepare, Guide, Support, Enlighten.</w:t>
      </w:r>
    </w:p>
    <w:p>
      <w:pPr>
        <w:pStyle w:val="ListParagraph"/>
        <w:numPr>
          <w:ilvl w:val="0"/>
          <w:numId w:val="2"/>
        </w:numPr>
        <w:spacing w:after="80" w:line="280"/>
      </w:pPr>
      <w:r>
        <w:rPr>
          <w:b/>
          <w:bCs/>
        </w:rPr>
        <w:t xml:space="preserve">SETTLED - </w:t>
      </w:r>
      <w:r>
        <w:t xml:space="preserve">Canonical titles: Wes Pierce is Deputy Provincial Grand Mentor, becoming Provincial Grand Mentor in 2027; documents to be corrected accordingly.</w:t>
      </w:r>
    </w:p>
    <w:p>
      <w:pPr>
        <w:pStyle w:val="ListParagraph"/>
        <w:numPr>
          <w:ilvl w:val="0"/>
          <w:numId w:val="2"/>
        </w:numPr>
        <w:spacing w:after="80" w:line="280"/>
      </w:pPr>
      <w:r>
        <w:rPr>
          <w:b/>
          <w:bCs/>
        </w:rPr>
        <w:t xml:space="preserve">SETTLED - </w:t>
      </w:r>
      <w:r>
        <w:t xml:space="preserve">UGLE framing: Building Together (confirmed by the Provincial September Conference material).</w:t>
      </w:r>
    </w:p>
    <w:p>
      <w:pPr>
        <w:pStyle w:val="ListParagraph"/>
        <w:numPr>
          <w:ilvl w:val="0"/>
          <w:numId w:val="2"/>
        </w:numPr>
        <w:spacing w:after="80" w:line="280"/>
      </w:pPr>
      <w:r>
        <w:t xml:space="preserve">The single standard for post-ceremony contact timing (recommended: 48 hours / two weeks / before next meeting).</w:t>
      </w:r>
    </w:p>
    <w:p>
      <w:pPr>
        <w:pStyle w:val="ListParagraph"/>
        <w:numPr>
          <w:ilvl w:val="0"/>
          <w:numId w:val="2"/>
        </w:numPr>
        <w:spacing w:after="80" w:line="280"/>
      </w:pPr>
      <w:r>
        <w:t xml:space="preserve">Whether the member holds a copy of (part of) his Personal Mentoring Plan (recommended: yes - a member-facing companion version).</w:t>
      </w:r>
    </w:p>
    <w:p>
      <w:pPr>
        <w:pStyle w:val="ListParagraph"/>
        <w:numPr>
          <w:ilvl w:val="0"/>
          <w:numId w:val="2"/>
        </w:numPr>
        <w:spacing w:after="80" w:line="280"/>
      </w:pPr>
      <w:r>
        <w:t xml:space="preserve">Data protection rules for mentoring records (what is collected, where held, for how long, handover protocol).</w:t>
      </w:r>
    </w:p>
    <w:p>
      <w:pPr>
        <w:pStyle w:val="ListParagraph"/>
        <w:numPr>
          <w:ilvl w:val="0"/>
          <w:numId w:val="2"/>
        </w:numPr>
        <w:spacing w:after="80" w:line="280"/>
      </w:pPr>
      <w:r>
        <w:t xml:space="preserve">Confirmation of the library architecture and build sequence proposed in the companion Master Framework document.</w:t>
      </w:r>
    </w:p>
    <w:p>
      <w:pPr>
        <w:spacing w:after="160"/>
      </w:pPr>
    </w:p>
    <w:p>
      <w:pPr>
        <w:spacing w:after="140" w:line="300"/>
        <w:jc w:val="both"/>
      </w:pPr>
      <w:r>
        <w:t xml:space="preserve">The strongest conclusion of this analysis is a positive one: the Hertfordshire suite is already the most coherent and philosophically distinctive of any Province represented in the knowledge base. The inconsistencies are small, recent and fixable; the gaps are known and mostly already referenced by the existing documents. The foundation is sound. What is needed now is the canon - one authoritative statement everything else quotes - and a disciplined build sequence.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Provincial Grand Mentor, Province of Hertfordshire, 2026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lvl w:ilvl="1" w15:tentative="1">
      <w:start w:val="1"/>
      <w:numFmt w:val="bullet"/>
      <w:lvlText w:val="–"/>
      <w:lvlJc w:val="left"/>
      <w:pPr>
        <w:ind w:left="8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2026-07-16T07:18:01.043Z</dcterms:created>
  <dcterms:modified xsi:type="dcterms:W3CDTF">2026-07-16T07:18:01.044Z</dcterms:modified>
</cp:coreProperties>
</file>

<file path=docProps/custom.xml><?xml version="1.0" encoding="utf-8"?>
<Properties xmlns="http://schemas.openxmlformats.org/officeDocument/2006/custom-properties" xmlns:vt="http://schemas.openxmlformats.org/officeDocument/2006/docPropsVTypes"/>
</file>