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aps/>
          <w:color w:val="595959"/>
          <w:sz w:val="26"/>
          <w:szCs w:val="26"/>
        </w:rPr>
        <w:t xml:space="preserve">HERTFORDSHIRE FREEMASONS</w:t>
      </w:r>
    </w:p>
    <w:p>
      <w:pPr>
        <w:spacing w:after="120"/>
        <w:jc w:val="center"/>
      </w:pPr>
      <w:r>
        <w:rPr>
          <w:b/>
          <w:bCs/>
          <w:color w:val="1F3864"/>
          <w:sz w:val="56"/>
          <w:szCs w:val="56"/>
        </w:rPr>
        <w:t xml:space="preserve">The Hertfordshire Mentoring Framework</w:t>
      </w:r>
    </w:p>
    <w:p>
      <w:pPr>
        <w:spacing w:after="300"/>
        <w:jc w:val="center"/>
      </w:pPr>
      <w:r>
        <w:rPr>
          <w:color w:val="2E5395"/>
          <w:sz w:val="30"/>
          <w:szCs w:val="30"/>
        </w:rPr>
        <w:t xml:space="preserve">Master Framework and Library Architecture</w:t>
      </w:r>
    </w:p>
    <w:p>
      <w:pPr>
        <w:spacing w:after="500"/>
        <w:jc w:val="center"/>
      </w:pPr>
      <w:r>
        <w:rPr>
          <w:i/>
          <w:iCs/>
          <w:color w:val="1F3864"/>
          <w:sz w:val="26"/>
          <w:szCs w:val="26"/>
        </w:rPr>
        <w:t xml:space="preserve">Prepare  •  Guide  •  Support  •  Enlighten</w:t>
      </w:r>
    </w:p>
    <w:p>
      <w:pPr>
        <w:spacing w:after="80"/>
        <w:jc w:val="center"/>
      </w:pPr>
      <w:r>
        <w:rPr>
          <w:b/>
          <w:bCs/>
          <w:sz w:val="24"/>
          <w:szCs w:val="24"/>
        </w:rPr>
        <w:t xml:space="preserve">Issue 1a (Draft for Review - decisions of July 2026 recorded)</w:t>
      </w:r>
    </w:p>
    <w:p>
      <w:pPr>
        <w:spacing w:after="80"/>
        <w:jc w:val="center"/>
      </w:pPr>
      <w:r>
        <w:rPr>
          <w:sz w:val="24"/>
          <w:szCs w:val="24"/>
        </w:rPr>
        <w:t xml:space="preserve">July 2026</w:t>
      </w:r>
    </w:p>
    <w:p>
      <w:pPr>
        <w:spacing w:before="400"/>
        <w:jc w:val="center"/>
      </w:pPr>
      <w:r>
        <w:rPr>
          <w:i/>
          <w:iCs/>
          <w:color w:val="595959"/>
          <w:sz w:val="20"/>
          <w:szCs w:val="20"/>
        </w:rPr>
        <w:t xml:space="preserve">Proposed structure for the complete mentoring library of the Province of Hertfordshire</w:t>
      </w:r>
    </w:p>
    <w:p>
      <w:r>
        <w:br w:type="page"/>
      </w:r>
    </w:p>
    <w:p>
      <w:pPr>
        <w:spacing w:after="20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Purpose</w:t>
      </w:r>
    </w:p>
    <w:p>
      <w:pPr>
        <w:spacing w:after="140" w:line="300"/>
        <w:jc w:val="both"/>
      </w:pPr>
      <w:r>
        <w:t xml:space="preserve">This document proposes the master framework for the complete Hertfordshire mentoring library: the single structure into which every existing and future handbook, guide, plan, presentation, training course, article and book fits. It is the map of the whole estate. Once agreed, every new document will know its place, its audience, its relationship to its neighbours, and the canon it must be consistent with - before a word of it is written.</w:t>
      </w:r>
    </w:p>
    <w:p>
      <w:pPr>
        <w:spacing w:after="140" w:line="300"/>
        <w:jc w:val="both"/>
      </w:pPr>
      <w:r>
        <w:t xml:space="preserve">It is built directly on the full analysis of the forty-one documents in the Project knowledge base (see the companion Knowledge Base Analysis) and on the four principles established in the Province's existing guidance.</w:t>
      </w:r>
    </w:p>
    <w:p>
      <w:pPr>
        <w:pStyle w:val="Heading1"/>
        <w:spacing w:after="160" w:before="360"/>
      </w:pPr>
      <w:r>
        <w:t xml:space="preserve">2. Vision and Philosophy</w:t>
      </w:r>
    </w:p>
    <w:p>
      <w:pPr>
        <w:spacing w:after="40" w:before="120" w:line="300"/>
        <w:ind w:left="567" w:right="567"/>
      </w:pPr>
      <w:r>
        <w:rPr>
          <w:i/>
          <w:iCs/>
          <w:color w:val="1F3864"/>
        </w:rPr>
        <w:t xml:space="preserve">Every member, in every Lodge, experiences Freemasonry as welcoming, supportive, engaging, and personally rewarding.</w:t>
      </w:r>
    </w:p>
    <w:p>
      <w:pPr>
        <w:spacing w:after="160"/>
        <w:ind w:left="567"/>
      </w:pPr>
      <w:r>
        <w:rPr>
          <w:color w:val="595959"/>
          <w:sz w:val="20"/>
          <w:szCs w:val="20"/>
        </w:rPr>
        <w:t xml:space="preserve">- Lodge Mentor's Guide, Section 3</w:t>
      </w:r>
    </w:p>
    <w:p>
      <w:pPr>
        <w:spacing w:after="140" w:line="300"/>
        <w:jc w:val="both"/>
      </w:pPr>
      <w:r>
        <w:t xml:space="preserve">The framework serves one ambition: that a Brother is supported from his first enquiry into Freemasonry through every stage of his Masonic journey - properly prepared, thoughtfully guided, actively supported, and continuously enlightened - so that no Brother walks alone.</w:t>
      </w:r>
    </w:p>
    <w:p>
      <w:pPr>
        <w:spacing w:after="140" w:line="300"/>
        <w:jc w:val="both"/>
      </w:pPr>
      <w:r>
        <w:t xml:space="preserve">Its philosophical foundations are already established in the Provincial suite: </w:t>
      </w:r>
      <w:r>
        <w:rPr>
          <w:i/>
          <w:iCs/>
        </w:rPr>
        <w:t xml:space="preserve">Freemasonry must be fun</w:t>
      </w:r>
      <w:r>
        <w:t xml:space="preserve"> (enjoyment as the floor, not the ceiling); retention as the natural outcome of culture rather than a target; mentoring as a culture, not a programme; the member setting the pace; and </w:t>
      </w:r>
      <w:r>
        <w:rPr>
          <w:i/>
          <w:iCs/>
        </w:rPr>
        <w:t xml:space="preserve">Family, Work, Masonry - in that order, always</w:t>
      </w:r>
      <w:r>
        <w:t xml:space="preserve">. Every document in the library expresses these foundations for its own audience.</w:t>
      </w:r>
    </w:p>
    <w:p>
      <w:pPr>
        <w:pStyle w:val="Heading1"/>
        <w:spacing w:after="160" w:before="360"/>
      </w:pPr>
      <w:r>
        <w:t xml:space="preserve">3. The Four Principles - the Organising Framework</w:t>
      </w:r>
    </w:p>
    <w:p>
      <w:pPr>
        <w:spacing w:after="140" w:line="300"/>
        <w:jc w:val="both"/>
      </w:pPr>
      <w:r>
        <w:t xml:space="preserve">Everything in the library is organised by the Hertfordshire Mentoring Principles. The canonical order - settled by the Deputy Provincial Grand Mentor, July 2026 - is </w:t>
      </w:r>
      <w:r>
        <w:rPr>
          <w:b/>
          <w:bCs/>
        </w:rPr>
        <w:t xml:space="preserve">Prepare • Guide • Support • Enlighten</w:t>
      </w:r>
      <w:r>
        <w:t xml:space="preserve">, as expressed in the Guiding Principles of Mentoring artwork and the majority of the suite. Canonical definitions, drawn from the Lodge Mentor's Guide: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8300"/>
      </w:tblGrid>
      <w:tr>
        <w:trPr>
          <w:tblHeader/>
        </w:trPr>
        <w:tc>
          <w:tcPr>
            <w:tcW w:type="dxa" w:w="1700"/>
            <w:shd w:fill="1F3864" w:val="clear"/>
            <w:tcMar>
              <w:top w:type="dxa" w:w="60"/>
              <w:left w:type="dxa" w:w="100"/>
              <w:bottom w:type="dxa" w:w="60"/>
              <w:right w:type="dxa" w:w="100"/>
            </w:tcMar>
          </w:tcPr>
          <w:p>
            <w:pPr>
              <w:spacing w:after="40" w:line="260"/>
            </w:pPr>
            <w:r>
              <w:rPr>
                <w:b/>
                <w:bCs/>
                <w:color w:val="FFFFFF"/>
                <w:sz w:val="20"/>
                <w:szCs w:val="20"/>
              </w:rPr>
              <w:t xml:space="preserve">Principle</w:t>
            </w:r>
          </w:p>
        </w:tc>
        <w:tc>
          <w:tcPr>
            <w:tcW w:type="dxa" w:w="8300"/>
            <w:shd w:fill="1F3864" w:val="clear"/>
            <w:tcMar>
              <w:top w:type="dxa" w:w="60"/>
              <w:left w:type="dxa" w:w="100"/>
              <w:bottom w:type="dxa" w:w="60"/>
              <w:right w:type="dxa" w:w="100"/>
            </w:tcMar>
          </w:tcPr>
          <w:p>
            <w:pPr>
              <w:spacing w:after="40" w:line="260"/>
            </w:pPr>
            <w:r>
              <w:rPr>
                <w:b/>
                <w:bCs/>
                <w:color w:val="FFFFFF"/>
                <w:sz w:val="20"/>
                <w:szCs w:val="20"/>
              </w:rPr>
              <w:t xml:space="preserve">Canonical definition</w:t>
            </w:r>
          </w:p>
        </w:tc>
      </w:tr>
      <w:tr>
        <w:tc>
          <w:tcPr>
            <w:tcW w:type="dxa" w:w="1700"/>
            <w:shd w:fill="D9E2F3" w:val="clear"/>
            <w:tcMar>
              <w:top w:type="dxa" w:w="60"/>
              <w:left w:type="dxa" w:w="100"/>
              <w:bottom w:type="dxa" w:w="60"/>
              <w:right w:type="dxa" w:w="100"/>
            </w:tcMar>
          </w:tcPr>
          <w:p>
            <w:pPr>
              <w:spacing w:after="40" w:line="260"/>
            </w:pPr>
            <w:r>
              <w:rPr>
                <w:b/>
                <w:bCs/>
                <w:sz w:val="20"/>
                <w:szCs w:val="20"/>
              </w:rPr>
              <w:t xml:space="preserve">PREPARE</w:t>
            </w:r>
          </w:p>
        </w:tc>
        <w:tc>
          <w:tcPr>
            <w:tcW w:type="dxa" w:w="8300"/>
            <w:tcMar>
              <w:top w:type="dxa" w:w="60"/>
              <w:left w:type="dxa" w:w="100"/>
              <w:bottom w:type="dxa" w:w="60"/>
              <w:right w:type="dxa" w:w="100"/>
            </w:tcMar>
          </w:tcPr>
          <w:p>
            <w:pPr>
              <w:spacing w:after="40" w:line="260"/>
            </w:pPr>
            <w:r>
              <w:rPr>
                <w:sz w:val="20"/>
                <w:szCs w:val="20"/>
              </w:rPr>
              <w:t xml:space="preserve">Ensuring members are ready for each stage of their Masonic journey - before interview, before each ceremony, before office, before progression - so that they understand what to expect before it happens. There should never be any surprises.</w:t>
            </w:r>
          </w:p>
        </w:tc>
      </w:tr>
      <w:tr>
        <w:tc>
          <w:tcPr>
            <w:tcW w:type="dxa" w:w="1700"/>
            <w:shd w:fill="D9E2F3" w:val="clear"/>
            <w:tcMar>
              <w:top w:type="dxa" w:w="60"/>
              <w:left w:type="dxa" w:w="100"/>
              <w:bottom w:type="dxa" w:w="60"/>
              <w:right w:type="dxa" w:w="100"/>
            </w:tcMar>
          </w:tcPr>
          <w:p>
            <w:pPr>
              <w:spacing w:after="40" w:line="260"/>
            </w:pPr>
            <w:r>
              <w:rPr>
                <w:b/>
                <w:bCs/>
                <w:sz w:val="20"/>
                <w:szCs w:val="20"/>
              </w:rPr>
              <w:t xml:space="preserve">GUIDE</w:t>
            </w:r>
          </w:p>
        </w:tc>
        <w:tc>
          <w:tcPr>
            <w:tcW w:type="dxa" w:w="8300"/>
            <w:tcMar>
              <w:top w:type="dxa" w:w="60"/>
              <w:left w:type="dxa" w:w="100"/>
              <w:bottom w:type="dxa" w:w="60"/>
              <w:right w:type="dxa" w:w="100"/>
            </w:tcMar>
          </w:tcPr>
          <w:p>
            <w:pPr>
              <w:spacing w:after="40" w:line="260"/>
            </w:pPr>
            <w:r>
              <w:rPr>
                <w:sz w:val="20"/>
                <w:szCs w:val="20"/>
              </w:rPr>
              <w:t xml:space="preserve">Providing accurate, clear and timely information and support, grounded in authoritative sources. Good guidance dispels myths, answers questions openly, and helps members navigate an unfamiliar world with confidence - without creating dependency.</w:t>
            </w:r>
          </w:p>
        </w:tc>
      </w:tr>
      <w:tr>
        <w:tc>
          <w:tcPr>
            <w:tcW w:type="dxa" w:w="1700"/>
            <w:shd w:fill="D9E2F3" w:val="clear"/>
            <w:tcMar>
              <w:top w:type="dxa" w:w="60"/>
              <w:left w:type="dxa" w:w="100"/>
              <w:bottom w:type="dxa" w:w="60"/>
              <w:right w:type="dxa" w:w="100"/>
            </w:tcMar>
          </w:tcPr>
          <w:p>
            <w:pPr>
              <w:spacing w:after="40" w:line="260"/>
            </w:pPr>
            <w:r>
              <w:rPr>
                <w:b/>
                <w:bCs/>
                <w:sz w:val="20"/>
                <w:szCs w:val="20"/>
              </w:rPr>
              <w:t xml:space="preserve">SUPPORT</w:t>
            </w:r>
          </w:p>
        </w:tc>
        <w:tc>
          <w:tcPr>
            <w:tcW w:type="dxa" w:w="8300"/>
            <w:tcMar>
              <w:top w:type="dxa" w:w="60"/>
              <w:left w:type="dxa" w:w="100"/>
              <w:bottom w:type="dxa" w:w="60"/>
              <w:right w:type="dxa" w:w="100"/>
            </w:tcMar>
          </w:tcPr>
          <w:p>
            <w:pPr>
              <w:spacing w:after="40" w:line="260"/>
            </w:pPr>
            <w:r>
              <w:rPr>
                <w:sz w:val="20"/>
                <w:szCs w:val="20"/>
              </w:rPr>
              <w:t xml:space="preserve">Being present, responsive and compassionate throughout. Support is relational, not only practical: members who feel cared for and valued are far more likely to remain engaged and committed.</w:t>
            </w:r>
          </w:p>
        </w:tc>
      </w:tr>
      <w:tr>
        <w:tc>
          <w:tcPr>
            <w:tcW w:type="dxa" w:w="1700"/>
            <w:shd w:fill="D9E2F3" w:val="clear"/>
            <w:tcMar>
              <w:top w:type="dxa" w:w="60"/>
              <w:left w:type="dxa" w:w="100"/>
              <w:bottom w:type="dxa" w:w="60"/>
              <w:right w:type="dxa" w:w="100"/>
            </w:tcMar>
          </w:tcPr>
          <w:p>
            <w:pPr>
              <w:spacing w:after="40" w:line="260"/>
            </w:pPr>
            <w:r>
              <w:rPr>
                <w:b/>
                <w:bCs/>
                <w:sz w:val="20"/>
                <w:szCs w:val="20"/>
              </w:rPr>
              <w:t xml:space="preserve">ENLIGHTEN</w:t>
            </w:r>
          </w:p>
        </w:tc>
        <w:tc>
          <w:tcPr>
            <w:tcW w:type="dxa" w:w="8300"/>
            <w:tcMar>
              <w:top w:type="dxa" w:w="60"/>
              <w:left w:type="dxa" w:w="100"/>
              <w:bottom w:type="dxa" w:w="60"/>
              <w:right w:type="dxa" w:w="100"/>
            </w:tcMar>
          </w:tcPr>
          <w:p>
            <w:pPr>
              <w:spacing w:after="40" w:line="260"/>
            </w:pPr>
            <w:r>
              <w:rPr>
                <w:sz w:val="20"/>
                <w:szCs w:val="20"/>
              </w:rPr>
              <w:t xml:space="preserve">Deepening understanding, curiosity and enjoyment of Freemasonry. Mentoring does not end with the Third Degree - it is a lifelong opportunity to help Brethren appreciate Freemasonry rather than simply learn information.</w:t>
            </w:r>
          </w:p>
        </w:tc>
      </w:tr>
    </w:tbl>
    <w:p>
      <w:pPr>
        <w:spacing w:after="160"/>
      </w:pPr>
    </w:p>
    <w:p>
      <w:pPr>
        <w:spacing w:after="140" w:line="300"/>
        <w:jc w:val="both"/>
      </w:pPr>
      <w:r>
        <w:t xml:space="preserve">Two rules protect the principles across the whole library. First: they are </w:t>
      </w:r>
      <w:r>
        <w:rPr>
          <w:b/>
          <w:bCs/>
        </w:rPr>
        <w:t xml:space="preserve">continuous and simultaneous, not sequential stages</w:t>
      </w:r>
      <w:r>
        <w:t xml:space="preserve"> - every document must preserve this framing. Second: they are </w:t>
      </w:r>
      <w:r>
        <w:rPr>
          <w:b/>
          <w:bCs/>
        </w:rPr>
        <w:t xml:space="preserve">quoted from one canonical source, never restated from memory</w:t>
      </w:r>
      <w:r>
        <w:t xml:space="preserve">. The proposed canon is a one-page document - The Hertfordshire Mentoring Principles (Tier A below) - which every other document cites verbatim. This is the structural cure for the drift the analysis found.</w:t>
      </w:r>
    </w:p>
    <w:p>
      <w:pPr>
        <w:pStyle w:val="Heading1"/>
        <w:spacing w:after="160" w:before="360"/>
      </w:pPr>
      <w:r>
        <w:t xml:space="preserve">4. The Member Journey - the Framework's Backbone</w:t>
      </w:r>
    </w:p>
    <w:p>
      <w:pPr>
        <w:spacing w:after="140" w:line="300"/>
        <w:jc w:val="both"/>
      </w:pPr>
      <w:r>
        <w:t xml:space="preserve">The library is organised around one canonical member journey. It extends the seven stages of the existing Lodge Mentor's Guide and Personal Mentoring Plan to include the point of first enquiry (where mentoring truly begins) and the Royal Arch (One Journey), giving nine stages plus two cross-cutting lanes: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800"/>
      </w:tblGrid>
      <w:tr>
        <w:trPr>
          <w:tblHeader/>
        </w:trPr>
        <w:tc>
          <w:tcPr>
            <w:tcW w:type="dxa" w:w="900"/>
            <w:shd w:fill="1F3864" w:val="clear"/>
            <w:tcMar>
              <w:top w:type="dxa" w:w="60"/>
              <w:left w:type="dxa" w:w="100"/>
              <w:bottom w:type="dxa" w:w="60"/>
              <w:right w:type="dxa" w:w="100"/>
            </w:tcMar>
          </w:tcPr>
          <w:p>
            <w:pPr>
              <w:spacing w:after="40" w:line="260"/>
            </w:pPr>
            <w:r>
              <w:rPr>
                <w:b/>
                <w:bCs/>
                <w:color w:val="FFFFFF"/>
                <w:sz w:val="20"/>
                <w:szCs w:val="20"/>
              </w:rPr>
              <w:t xml:space="preserve">Stage</w:t>
            </w:r>
          </w:p>
        </w:tc>
        <w:tc>
          <w:tcPr>
            <w:tcW w:type="dxa" w:w="3300"/>
            <w:shd w:fill="1F3864" w:val="clear"/>
            <w:tcMar>
              <w:top w:type="dxa" w:w="60"/>
              <w:left w:type="dxa" w:w="100"/>
              <w:bottom w:type="dxa" w:w="60"/>
              <w:right w:type="dxa" w:w="100"/>
            </w:tcMar>
          </w:tcPr>
          <w:p>
            <w:pPr>
              <w:spacing w:after="40" w:line="260"/>
            </w:pPr>
            <w:r>
              <w:rPr>
                <w:b/>
                <w:bCs/>
                <w:color w:val="FFFFFF"/>
                <w:sz w:val="20"/>
                <w:szCs w:val="20"/>
              </w:rPr>
              <w:t xml:space="preserve">Name</w:t>
            </w:r>
          </w:p>
        </w:tc>
        <w:tc>
          <w:tcPr>
            <w:tcW w:type="dxa" w:w="5800"/>
            <w:shd w:fill="1F3864" w:val="clear"/>
            <w:tcMar>
              <w:top w:type="dxa" w:w="60"/>
              <w:left w:type="dxa" w:w="100"/>
              <w:bottom w:type="dxa" w:w="60"/>
              <w:right w:type="dxa" w:w="100"/>
            </w:tcMar>
          </w:tcPr>
          <w:p>
            <w:pPr>
              <w:spacing w:after="40" w:line="260"/>
            </w:pPr>
            <w:r>
              <w:rPr>
                <w:b/>
                <w:bCs/>
                <w:color w:val="FFFFFF"/>
                <w:sz w:val="20"/>
                <w:szCs w:val="20"/>
              </w:rPr>
              <w:t xml:space="preserve">Mentoring emphasis</w:t>
            </w:r>
          </w:p>
        </w:tc>
      </w:tr>
      <w:tr>
        <w:tc>
          <w:tcPr>
            <w:tcW w:type="dxa" w:w="900"/>
            <w:tcMar>
              <w:top w:type="dxa" w:w="60"/>
              <w:left w:type="dxa" w:w="100"/>
              <w:bottom w:type="dxa" w:w="60"/>
              <w:right w:type="dxa" w:w="100"/>
            </w:tcMar>
          </w:tcPr>
          <w:p>
            <w:pPr>
              <w:spacing w:after="40" w:line="260"/>
            </w:pPr>
            <w:r>
              <w:rPr>
                <w:sz w:val="20"/>
                <w:szCs w:val="20"/>
              </w:rPr>
              <w:t xml:space="preserve">1</w:t>
            </w:r>
          </w:p>
        </w:tc>
        <w:tc>
          <w:tcPr>
            <w:tcW w:type="dxa" w:w="3300"/>
            <w:tcMar>
              <w:top w:type="dxa" w:w="60"/>
              <w:left w:type="dxa" w:w="100"/>
              <w:bottom w:type="dxa" w:w="60"/>
              <w:right w:type="dxa" w:w="100"/>
            </w:tcMar>
          </w:tcPr>
          <w:p>
            <w:pPr>
              <w:spacing w:after="40" w:line="260"/>
            </w:pPr>
            <w:r>
              <w:rPr>
                <w:b/>
                <w:bCs/>
                <w:sz w:val="20"/>
                <w:szCs w:val="20"/>
              </w:rPr>
              <w:t xml:space="preserve">Enquiry and application</w:t>
            </w:r>
          </w:p>
        </w:tc>
        <w:tc>
          <w:tcPr>
            <w:tcW w:type="dxa" w:w="5800"/>
            <w:tcMar>
              <w:top w:type="dxa" w:w="60"/>
              <w:left w:type="dxa" w:w="100"/>
              <w:bottom w:type="dxa" w:w="60"/>
              <w:right w:type="dxa" w:w="100"/>
            </w:tcMar>
          </w:tcPr>
          <w:p>
            <w:pPr>
              <w:spacing w:after="40" w:line="260"/>
            </w:pPr>
            <w:r>
              <w:rPr>
                <w:sz w:val="20"/>
                <w:szCs w:val="20"/>
              </w:rPr>
              <w:t xml:space="preserve">Honest expectation-setting; is the Lodge right for the candidate?; interview preparation; costs and time stated plainly.</w:t>
            </w:r>
          </w:p>
        </w:tc>
      </w:tr>
      <w:tr>
        <w:tc>
          <w:tcPr>
            <w:tcW w:type="dxa" w:w="900"/>
            <w:tcMar>
              <w:top w:type="dxa" w:w="60"/>
              <w:left w:type="dxa" w:w="100"/>
              <w:bottom w:type="dxa" w:w="60"/>
              <w:right w:type="dxa" w:w="100"/>
            </w:tcMar>
          </w:tcPr>
          <w:p>
            <w:pPr>
              <w:spacing w:after="40" w:line="260"/>
            </w:pPr>
            <w:r>
              <w:rPr>
                <w:sz w:val="20"/>
                <w:szCs w:val="20"/>
              </w:rPr>
              <w:t xml:space="preserve">2</w:t>
            </w:r>
          </w:p>
        </w:tc>
        <w:tc>
          <w:tcPr>
            <w:tcW w:type="dxa" w:w="3300"/>
            <w:tcMar>
              <w:top w:type="dxa" w:w="60"/>
              <w:left w:type="dxa" w:w="100"/>
              <w:bottom w:type="dxa" w:w="60"/>
              <w:right w:type="dxa" w:w="100"/>
            </w:tcMar>
          </w:tcPr>
          <w:p>
            <w:pPr>
              <w:spacing w:after="40" w:line="260"/>
            </w:pPr>
            <w:r>
              <w:rPr>
                <w:b/>
                <w:bCs/>
                <w:sz w:val="20"/>
                <w:szCs w:val="20"/>
              </w:rPr>
              <w:t xml:space="preserve">Before Initiation</w:t>
            </w:r>
          </w:p>
        </w:tc>
        <w:tc>
          <w:tcPr>
            <w:tcW w:type="dxa" w:w="5800"/>
            <w:tcMar>
              <w:top w:type="dxa" w:w="60"/>
              <w:left w:type="dxa" w:w="100"/>
              <w:bottom w:type="dxa" w:w="60"/>
              <w:right w:type="dxa" w:w="100"/>
            </w:tcMar>
          </w:tcPr>
          <w:p>
            <w:pPr>
              <w:spacing w:after="40" w:line="260"/>
            </w:pPr>
            <w:r>
              <w:rPr>
                <w:sz w:val="20"/>
                <w:szCs w:val="20"/>
              </w:rPr>
              <w:t xml:space="preserve">Personal Mentor assigned promptly after ballot; practical preparation; contact the day before; introductions on the night.</w:t>
            </w:r>
          </w:p>
        </w:tc>
      </w:tr>
      <w:tr>
        <w:tc>
          <w:tcPr>
            <w:tcW w:type="dxa" w:w="900"/>
            <w:tcMar>
              <w:top w:type="dxa" w:w="60"/>
              <w:left w:type="dxa" w:w="100"/>
              <w:bottom w:type="dxa" w:w="60"/>
              <w:right w:type="dxa" w:w="100"/>
            </w:tcMar>
          </w:tcPr>
          <w:p>
            <w:pPr>
              <w:spacing w:after="40" w:line="260"/>
            </w:pPr>
            <w:r>
              <w:rPr>
                <w:sz w:val="20"/>
                <w:szCs w:val="20"/>
              </w:rPr>
              <w:t xml:space="preserve">3</w:t>
            </w:r>
          </w:p>
        </w:tc>
        <w:tc>
          <w:tcPr>
            <w:tcW w:type="dxa" w:w="3300"/>
            <w:tcMar>
              <w:top w:type="dxa" w:w="60"/>
              <w:left w:type="dxa" w:w="100"/>
              <w:bottom w:type="dxa" w:w="60"/>
              <w:right w:type="dxa" w:w="100"/>
            </w:tcMar>
          </w:tcPr>
          <w:p>
            <w:pPr>
              <w:spacing w:after="40" w:line="260"/>
            </w:pPr>
            <w:r>
              <w:rPr>
                <w:b/>
                <w:bCs/>
                <w:sz w:val="20"/>
                <w:szCs w:val="20"/>
              </w:rPr>
              <w:t xml:space="preserve">Entered Apprentice</w:t>
            </w:r>
          </w:p>
        </w:tc>
        <w:tc>
          <w:tcPr>
            <w:tcW w:type="dxa" w:w="5800"/>
            <w:tcMar>
              <w:top w:type="dxa" w:w="60"/>
              <w:left w:type="dxa" w:w="100"/>
              <w:bottom w:type="dxa" w:w="60"/>
              <w:right w:type="dxa" w:w="100"/>
            </w:tcMar>
          </w:tcPr>
          <w:p>
            <w:pPr>
              <w:spacing w:after="40" w:line="260"/>
            </w:pPr>
            <w:r>
              <w:rPr>
                <w:sz w:val="20"/>
                <w:szCs w:val="20"/>
              </w:rPr>
              <w:t xml:space="preserve">The critical window. Check-in within 48 hours; first one-to-one within two weeks; reflection on the ceremony; belonging before knowledge.</w:t>
            </w:r>
          </w:p>
        </w:tc>
      </w:tr>
      <w:tr>
        <w:tc>
          <w:tcPr>
            <w:tcW w:type="dxa" w:w="900"/>
            <w:tcMar>
              <w:top w:type="dxa" w:w="60"/>
              <w:left w:type="dxa" w:w="100"/>
              <w:bottom w:type="dxa" w:w="60"/>
              <w:right w:type="dxa" w:w="100"/>
            </w:tcMar>
          </w:tcPr>
          <w:p>
            <w:pPr>
              <w:spacing w:after="40" w:line="260"/>
            </w:pPr>
            <w:r>
              <w:rPr>
                <w:sz w:val="20"/>
                <w:szCs w:val="20"/>
              </w:rPr>
              <w:t xml:space="preserve">4</w:t>
            </w:r>
          </w:p>
        </w:tc>
        <w:tc>
          <w:tcPr>
            <w:tcW w:type="dxa" w:w="3300"/>
            <w:tcMar>
              <w:top w:type="dxa" w:w="60"/>
              <w:left w:type="dxa" w:w="100"/>
              <w:bottom w:type="dxa" w:w="60"/>
              <w:right w:type="dxa" w:w="100"/>
            </w:tcMar>
          </w:tcPr>
          <w:p>
            <w:pPr>
              <w:spacing w:after="40" w:line="260"/>
            </w:pPr>
            <w:r>
              <w:rPr>
                <w:b/>
                <w:bCs/>
                <w:sz w:val="20"/>
                <w:szCs w:val="20"/>
              </w:rPr>
              <w:t xml:space="preserve">Fellow Craft</w:t>
            </w:r>
          </w:p>
        </w:tc>
        <w:tc>
          <w:tcPr>
            <w:tcW w:type="dxa" w:w="5800"/>
            <w:tcMar>
              <w:top w:type="dxa" w:w="60"/>
              <w:left w:type="dxa" w:w="100"/>
              <w:bottom w:type="dxa" w:w="60"/>
              <w:right w:type="dxa" w:w="100"/>
            </w:tcMar>
          </w:tcPr>
          <w:p>
            <w:pPr>
              <w:spacing w:after="40" w:line="260"/>
            </w:pPr>
            <w:r>
              <w:rPr>
                <w:sz w:val="20"/>
                <w:szCs w:val="20"/>
              </w:rPr>
              <w:t xml:space="preserve">The 'forgotten degree' given its due: knowledge, learning, readiness for the Third - at the member's pace, never the calendar's.</w:t>
            </w:r>
          </w:p>
        </w:tc>
      </w:tr>
      <w:tr>
        <w:tc>
          <w:tcPr>
            <w:tcW w:type="dxa" w:w="900"/>
            <w:tcMar>
              <w:top w:type="dxa" w:w="60"/>
              <w:left w:type="dxa" w:w="100"/>
              <w:bottom w:type="dxa" w:w="60"/>
              <w:right w:type="dxa" w:w="100"/>
            </w:tcMar>
          </w:tcPr>
          <w:p>
            <w:pPr>
              <w:spacing w:after="40" w:line="260"/>
            </w:pPr>
            <w:r>
              <w:rPr>
                <w:sz w:val="20"/>
                <w:szCs w:val="20"/>
              </w:rPr>
              <w:t xml:space="preserve">5</w:t>
            </w:r>
          </w:p>
        </w:tc>
        <w:tc>
          <w:tcPr>
            <w:tcW w:type="dxa" w:w="3300"/>
            <w:tcMar>
              <w:top w:type="dxa" w:w="60"/>
              <w:left w:type="dxa" w:w="100"/>
              <w:bottom w:type="dxa" w:w="60"/>
              <w:right w:type="dxa" w:w="100"/>
            </w:tcMar>
          </w:tcPr>
          <w:p>
            <w:pPr>
              <w:spacing w:after="40" w:line="260"/>
            </w:pPr>
            <w:r>
              <w:rPr>
                <w:b/>
                <w:bCs/>
                <w:sz w:val="20"/>
                <w:szCs w:val="20"/>
              </w:rPr>
              <w:t xml:space="preserve">Master Mason</w:t>
            </w:r>
          </w:p>
        </w:tc>
        <w:tc>
          <w:tcPr>
            <w:tcW w:type="dxa" w:w="5800"/>
            <w:tcMar>
              <w:top w:type="dxa" w:w="60"/>
              <w:left w:type="dxa" w:w="100"/>
              <w:bottom w:type="dxa" w:w="60"/>
              <w:right w:type="dxa" w:w="100"/>
            </w:tcMar>
          </w:tcPr>
          <w:p>
            <w:pPr>
              <w:spacing w:after="40" w:line="260"/>
            </w:pPr>
            <w:r>
              <w:rPr>
                <w:sz w:val="20"/>
                <w:szCs w:val="20"/>
              </w:rPr>
              <w:t xml:space="preserve">The beginning, not the summit: visiting, participation, wider structure - and the highest-risk drop-out point after the Third Degree.</w:t>
            </w:r>
          </w:p>
        </w:tc>
      </w:tr>
      <w:tr>
        <w:tc>
          <w:tcPr>
            <w:tcW w:type="dxa" w:w="900"/>
            <w:tcMar>
              <w:top w:type="dxa" w:w="60"/>
              <w:left w:type="dxa" w:w="100"/>
              <w:bottom w:type="dxa" w:w="60"/>
              <w:right w:type="dxa" w:w="100"/>
            </w:tcMar>
          </w:tcPr>
          <w:p>
            <w:pPr>
              <w:spacing w:after="40" w:line="260"/>
            </w:pPr>
            <w:r>
              <w:rPr>
                <w:sz w:val="20"/>
                <w:szCs w:val="20"/>
              </w:rPr>
              <w:t xml:space="preserve">6</w:t>
            </w:r>
          </w:p>
        </w:tc>
        <w:tc>
          <w:tcPr>
            <w:tcW w:type="dxa" w:w="3300"/>
            <w:tcMar>
              <w:top w:type="dxa" w:w="60"/>
              <w:left w:type="dxa" w:w="100"/>
              <w:bottom w:type="dxa" w:w="60"/>
              <w:right w:type="dxa" w:w="100"/>
            </w:tcMar>
          </w:tcPr>
          <w:p>
            <w:pPr>
              <w:spacing w:after="40" w:line="260"/>
            </w:pPr>
            <w:r>
              <w:rPr>
                <w:b/>
                <w:bCs/>
                <w:sz w:val="20"/>
                <w:szCs w:val="20"/>
              </w:rPr>
              <w:t xml:space="preserve">The Royal Arch - One Journey</w:t>
            </w:r>
          </w:p>
        </w:tc>
        <w:tc>
          <w:tcPr>
            <w:tcW w:type="dxa" w:w="5800"/>
            <w:tcMar>
              <w:top w:type="dxa" w:w="60"/>
              <w:left w:type="dxa" w:w="100"/>
              <w:bottom w:type="dxa" w:w="60"/>
              <w:right w:type="dxa" w:w="100"/>
            </w:tcMar>
          </w:tcPr>
          <w:p>
            <w:pPr>
              <w:spacing w:after="40" w:line="260"/>
            </w:pPr>
            <w:r>
              <w:rPr>
                <w:sz w:val="20"/>
                <w:szCs w:val="20"/>
              </w:rPr>
              <w:t xml:space="preserve">Completion, on the member's timing. Never a surprise, never a sales pitch. Information from Initiation onwards; decision his alone.</w:t>
            </w:r>
          </w:p>
        </w:tc>
      </w:tr>
      <w:tr>
        <w:tc>
          <w:tcPr>
            <w:tcW w:type="dxa" w:w="900"/>
            <w:tcMar>
              <w:top w:type="dxa" w:w="60"/>
              <w:left w:type="dxa" w:w="100"/>
              <w:bottom w:type="dxa" w:w="60"/>
              <w:right w:type="dxa" w:w="100"/>
            </w:tcMar>
          </w:tcPr>
          <w:p>
            <w:pPr>
              <w:spacing w:after="40" w:line="260"/>
            </w:pPr>
            <w:r>
              <w:rPr>
                <w:sz w:val="20"/>
                <w:szCs w:val="20"/>
              </w:rPr>
              <w:t xml:space="preserve">7</w:t>
            </w:r>
          </w:p>
        </w:tc>
        <w:tc>
          <w:tcPr>
            <w:tcW w:type="dxa" w:w="3300"/>
            <w:tcMar>
              <w:top w:type="dxa" w:w="60"/>
              <w:left w:type="dxa" w:w="100"/>
              <w:bottom w:type="dxa" w:w="60"/>
              <w:right w:type="dxa" w:w="100"/>
            </w:tcMar>
          </w:tcPr>
          <w:p>
            <w:pPr>
              <w:spacing w:after="40" w:line="260"/>
            </w:pPr>
            <w:r>
              <w:rPr>
                <w:b/>
                <w:bCs/>
                <w:sz w:val="20"/>
                <w:szCs w:val="20"/>
              </w:rPr>
              <w:t xml:space="preserve">Into office</w:t>
            </w:r>
          </w:p>
        </w:tc>
        <w:tc>
          <w:tcPr>
            <w:tcW w:type="dxa" w:w="5800"/>
            <w:tcMar>
              <w:top w:type="dxa" w:w="60"/>
              <w:left w:type="dxa" w:w="100"/>
              <w:bottom w:type="dxa" w:w="60"/>
              <w:right w:type="dxa" w:w="100"/>
            </w:tcMar>
          </w:tcPr>
          <w:p>
            <w:pPr>
              <w:spacing w:after="40" w:line="260"/>
            </w:pPr>
            <w:r>
              <w:rPr>
                <w:sz w:val="20"/>
                <w:szCs w:val="20"/>
              </w:rPr>
              <w:t xml:space="preserve">Readiness, not pressure - in either direction (neither pushed early nor left under-stretched). Ritual support without fear.</w:t>
            </w:r>
          </w:p>
        </w:tc>
      </w:tr>
      <w:tr>
        <w:tc>
          <w:tcPr>
            <w:tcW w:type="dxa" w:w="900"/>
            <w:tcMar>
              <w:top w:type="dxa" w:w="60"/>
              <w:left w:type="dxa" w:w="100"/>
              <w:bottom w:type="dxa" w:w="60"/>
              <w:right w:type="dxa" w:w="100"/>
            </w:tcMar>
          </w:tcPr>
          <w:p>
            <w:pPr>
              <w:spacing w:after="40" w:line="260"/>
            </w:pPr>
            <w:r>
              <w:rPr>
                <w:sz w:val="20"/>
                <w:szCs w:val="20"/>
              </w:rPr>
              <w:t xml:space="preserve">8</w:t>
            </w:r>
          </w:p>
        </w:tc>
        <w:tc>
          <w:tcPr>
            <w:tcW w:type="dxa" w:w="3300"/>
            <w:tcMar>
              <w:top w:type="dxa" w:w="60"/>
              <w:left w:type="dxa" w:w="100"/>
              <w:bottom w:type="dxa" w:w="60"/>
              <w:right w:type="dxa" w:w="100"/>
            </w:tcMar>
          </w:tcPr>
          <w:p>
            <w:pPr>
              <w:spacing w:after="40" w:line="260"/>
            </w:pPr>
            <w:r>
              <w:rPr>
                <w:b/>
                <w:bCs/>
                <w:sz w:val="20"/>
                <w:szCs w:val="20"/>
              </w:rPr>
              <w:t xml:space="preserve">The Chair</w:t>
            </w:r>
          </w:p>
        </w:tc>
        <w:tc>
          <w:tcPr>
            <w:tcW w:type="dxa" w:w="5800"/>
            <w:tcMar>
              <w:top w:type="dxa" w:w="60"/>
              <w:left w:type="dxa" w:w="100"/>
              <w:bottom w:type="dxa" w:w="60"/>
              <w:right w:type="dxa" w:w="100"/>
            </w:tcMar>
          </w:tcPr>
          <w:p>
            <w:pPr>
              <w:spacing w:after="40" w:line="260"/>
            </w:pPr>
            <w:r>
              <w:rPr>
                <w:sz w:val="20"/>
                <w:szCs w:val="20"/>
              </w:rPr>
              <w:t xml:space="preserve">Preparation for the year; support through it; and preparation, from Installation day, for what follows it.</w:t>
            </w:r>
          </w:p>
        </w:tc>
      </w:tr>
      <w:tr>
        <w:tc>
          <w:tcPr>
            <w:tcW w:type="dxa" w:w="900"/>
            <w:tcMar>
              <w:top w:type="dxa" w:w="60"/>
              <w:left w:type="dxa" w:w="100"/>
              <w:bottom w:type="dxa" w:w="60"/>
              <w:right w:type="dxa" w:w="100"/>
            </w:tcMar>
          </w:tcPr>
          <w:p>
            <w:pPr>
              <w:spacing w:after="40" w:line="260"/>
            </w:pPr>
            <w:r>
              <w:rPr>
                <w:sz w:val="20"/>
                <w:szCs w:val="20"/>
              </w:rPr>
              <w:t xml:space="preserve">9</w:t>
            </w:r>
          </w:p>
        </w:tc>
        <w:tc>
          <w:tcPr>
            <w:tcW w:type="dxa" w:w="3300"/>
            <w:tcMar>
              <w:top w:type="dxa" w:w="60"/>
              <w:left w:type="dxa" w:w="100"/>
              <w:bottom w:type="dxa" w:w="60"/>
              <w:right w:type="dxa" w:w="100"/>
            </w:tcMar>
          </w:tcPr>
          <w:p>
            <w:pPr>
              <w:spacing w:after="40" w:line="260"/>
            </w:pPr>
            <w:r>
              <w:rPr>
                <w:b/>
                <w:bCs/>
                <w:sz w:val="20"/>
                <w:szCs w:val="20"/>
              </w:rPr>
              <w:t xml:space="preserve">Beyond the Chair</w:t>
            </w:r>
          </w:p>
        </w:tc>
        <w:tc>
          <w:tcPr>
            <w:tcW w:type="dxa" w:w="5800"/>
            <w:tcMar>
              <w:top w:type="dxa" w:w="60"/>
              <w:left w:type="dxa" w:w="100"/>
              <w:bottom w:type="dxa" w:w="60"/>
              <w:right w:type="dxa" w:w="100"/>
            </w:tcMar>
          </w:tcPr>
          <w:p>
            <w:pPr>
              <w:spacing w:after="40" w:line="260"/>
            </w:pPr>
            <w:r>
              <w:rPr>
                <w:sz w:val="20"/>
                <w:szCs w:val="20"/>
              </w:rPr>
              <w:t xml:space="preserve">Purpose after office: Included, Involved, Interested. Past Masters become Personal Mentors. The risk of loss does not end at the Chair.</w:t>
            </w:r>
          </w:p>
        </w:tc>
      </w:tr>
      <w:tr>
        <w:tc>
          <w:tcPr>
            <w:tcW w:type="dxa" w:w="900"/>
            <w:tcMar>
              <w:top w:type="dxa" w:w="60"/>
              <w:left w:type="dxa" w:w="100"/>
              <w:bottom w:type="dxa" w:w="60"/>
              <w:right w:type="dxa" w:w="100"/>
            </w:tcMar>
          </w:tcPr>
          <w:p>
            <w:pPr>
              <w:spacing w:after="40" w:line="260"/>
            </w:pPr>
            <w:r>
              <w:rPr>
                <w:sz w:val="20"/>
                <w:szCs w:val="20"/>
              </w:rPr>
              <w:t xml:space="preserve">A</w:t>
            </w:r>
          </w:p>
        </w:tc>
        <w:tc>
          <w:tcPr>
            <w:tcW w:type="dxa" w:w="3300"/>
            <w:tcMar>
              <w:top w:type="dxa" w:w="60"/>
              <w:left w:type="dxa" w:w="100"/>
              <w:bottom w:type="dxa" w:w="60"/>
              <w:right w:type="dxa" w:w="100"/>
            </w:tcMar>
          </w:tcPr>
          <w:p>
            <w:pPr>
              <w:spacing w:after="40" w:line="260"/>
            </w:pPr>
            <w:r>
              <w:rPr>
                <w:b/>
                <w:bCs/>
                <w:sz w:val="20"/>
                <w:szCs w:val="20"/>
              </w:rPr>
              <w:t xml:space="preserve">At risk (cross-cutting)</w:t>
            </w:r>
          </w:p>
        </w:tc>
        <w:tc>
          <w:tcPr>
            <w:tcW w:type="dxa" w:w="5800"/>
            <w:tcMar>
              <w:top w:type="dxa" w:w="60"/>
              <w:left w:type="dxa" w:w="100"/>
              <w:bottom w:type="dxa" w:w="60"/>
              <w:right w:type="dxa" w:w="100"/>
            </w:tcMar>
          </w:tcPr>
          <w:p>
            <w:pPr>
              <w:spacing w:after="40" w:line="260"/>
            </w:pPr>
            <w:r>
              <w:rPr>
                <w:sz w:val="20"/>
                <w:szCs w:val="20"/>
              </w:rPr>
              <w:t xml:space="preserve">Warning signs, pattern-break monitoring, four-step intervention, the Rule 183 sixty-day window, retrieval and reconsideration.</w:t>
            </w:r>
          </w:p>
        </w:tc>
      </w:tr>
      <w:tr>
        <w:tc>
          <w:tcPr>
            <w:tcW w:type="dxa" w:w="900"/>
            <w:tcMar>
              <w:top w:type="dxa" w:w="60"/>
              <w:left w:type="dxa" w:w="100"/>
              <w:bottom w:type="dxa" w:w="60"/>
              <w:right w:type="dxa" w:w="100"/>
            </w:tcMar>
          </w:tcPr>
          <w:p>
            <w:pPr>
              <w:spacing w:after="40" w:line="260"/>
            </w:pPr>
            <w:r>
              <w:rPr>
                <w:sz w:val="20"/>
                <w:szCs w:val="20"/>
              </w:rPr>
              <w:t xml:space="preserve">B</w:t>
            </w:r>
          </w:p>
        </w:tc>
        <w:tc>
          <w:tcPr>
            <w:tcW w:type="dxa" w:w="3300"/>
            <w:tcMar>
              <w:top w:type="dxa" w:w="60"/>
              <w:left w:type="dxa" w:w="100"/>
              <w:bottom w:type="dxa" w:w="60"/>
              <w:right w:type="dxa" w:w="100"/>
            </w:tcMar>
          </w:tcPr>
          <w:p>
            <w:pPr>
              <w:spacing w:after="40" w:line="260"/>
            </w:pPr>
            <w:r>
              <w:rPr>
                <w:b/>
                <w:bCs/>
                <w:sz w:val="20"/>
                <w:szCs w:val="20"/>
              </w:rPr>
              <w:t xml:space="preserve">Relocation (cross-cutting)</w:t>
            </w:r>
          </w:p>
        </w:tc>
        <w:tc>
          <w:tcPr>
            <w:tcW w:type="dxa" w:w="5800"/>
            <w:tcMar>
              <w:top w:type="dxa" w:w="60"/>
              <w:left w:type="dxa" w:w="100"/>
              <w:bottom w:type="dxa" w:w="60"/>
              <w:right w:type="dxa" w:w="100"/>
            </w:tcMar>
          </w:tcPr>
          <w:p>
            <w:pPr>
              <w:spacing w:after="40" w:line="260"/>
            </w:pPr>
            <w:r>
              <w:rPr>
                <w:sz w:val="20"/>
                <w:szCs w:val="20"/>
              </w:rPr>
              <w:t xml:space="preserve">Migration as a continuation of mentoring: early identification, the Provincial migration process, contact until settled.</w:t>
            </w:r>
          </w:p>
        </w:tc>
      </w:tr>
    </w:tbl>
    <w:p>
      <w:pPr>
        <w:spacing w:after="160"/>
      </w:pPr>
    </w:p>
    <w:p>
      <w:pPr>
        <w:spacing w:after="140" w:line="300"/>
        <w:jc w:val="both"/>
      </w:pPr>
      <w:r>
        <w:t xml:space="preserve">The four principles run through every stage; the stages define what each principle means at that moment. This two-axis grid - principles × journey - is the design template for all stage-specific content, and it is already proven: In That Order's appendices A-F apply exactly this pattern.</w:t>
      </w:r>
    </w:p>
    <w:p>
      <w:pPr>
        <w:pStyle w:val="Heading1"/>
        <w:spacing w:after="160" w:before="360"/>
      </w:pPr>
      <w:r>
        <w:t xml:space="preserve">5. The Mentoring Structure the Library Serves</w:t>
      </w:r>
    </w:p>
    <w:p>
      <w:pPr>
        <w:spacing w:after="140" w:line="300"/>
        <w:jc w:val="both"/>
      </w:pPr>
      <w:r>
        <w:t xml:space="preserve">The library serves four audiences, matching the established structure:</w:t>
      </w:r>
    </w:p>
    <w:p>
      <w:pPr>
        <w:pStyle w:val="ListParagraph"/>
        <w:numPr>
          <w:ilvl w:val="0"/>
          <w:numId w:val="2"/>
        </w:numPr>
        <w:spacing w:after="80" w:line="280"/>
      </w:pPr>
      <w:r>
        <w:rPr>
          <w:b/>
          <w:bCs/>
        </w:rPr>
        <w:t xml:space="preserve">The member </w:t>
      </w:r>
      <w:r>
        <w:t xml:space="preserve"> - at the centre; his needs for information, personal contact and one-to-one support drive everything.</w:t>
      </w:r>
    </w:p>
    <w:p>
      <w:pPr>
        <w:pStyle w:val="ListParagraph"/>
        <w:numPr>
          <w:ilvl w:val="0"/>
          <w:numId w:val="2"/>
        </w:numPr>
        <w:spacing w:after="80" w:line="280"/>
      </w:pPr>
      <w:r>
        <w:rPr>
          <w:b/>
          <w:bCs/>
        </w:rPr>
        <w:t xml:space="preserve">The Personal Mentor </w:t>
      </w:r>
      <w:r>
        <w:t xml:space="preserve"> - the one-to-one friend and guide, selected for time, temperament and friendship potential rather than seniority.</w:t>
      </w:r>
    </w:p>
    <w:p>
      <w:pPr>
        <w:pStyle w:val="ListParagraph"/>
        <w:numPr>
          <w:ilvl w:val="0"/>
          <w:numId w:val="2"/>
        </w:numPr>
        <w:spacing w:after="80" w:line="280"/>
      </w:pPr>
      <w:r>
        <w:rPr>
          <w:b/>
          <w:bCs/>
        </w:rPr>
        <w:t xml:space="preserve">The Lodge Mentor </w:t>
      </w:r>
      <w:r>
        <w:t xml:space="preserve"> - the co-ordinator: assigns and supports Personal Mentors, monitors progress, keeps simple records, escalates, and develops his successor. Recommended tenure 3-5 years.</w:t>
      </w:r>
    </w:p>
    <w:p>
      <w:pPr>
        <w:pStyle w:val="ListParagraph"/>
        <w:numPr>
          <w:ilvl w:val="0"/>
          <w:numId w:val="2"/>
        </w:numPr>
        <w:spacing w:after="80" w:line="280"/>
      </w:pPr>
      <w:r>
        <w:rPr>
          <w:b/>
          <w:bCs/>
        </w:rPr>
        <w:t xml:space="preserve">The Provincial Mentoring Team </w:t>
      </w:r>
      <w:r>
        <w:t xml:space="preserve"> - Provincial Grand Mentor, Deputy, and five Assistant Provincial Grand Mentors (one per APGM area): strategy, induction, training, the monthly mentoring call, quarterly returns and the annual report.</w:t>
      </w:r>
    </w:p>
    <w:p>
      <w:pPr>
        <w:spacing w:after="140" w:line="300"/>
        <w:jc w:val="both"/>
      </w:pPr>
      <w:r>
        <w:t xml:space="preserve">The framework also formalises the named integration points the analysis surfaced with other Lodge offices - the Almoner (joint welcome of new members; welfare referral; lead in the Rule 183 window), the Membership Officer (attraction and the membership pipeline), the DC (ceremony preparation, LoI culture, involvement of junior Brethren), the Secretary (candidate administration and the timeline mentoring hangs from), the Treasurer (arrears as an early disengagement signal), and the Royal Arch Representative (One Journey's bridge in every Lodge). Each practitioner document carries a 'working with…' section for its neighbours, mirroring the UGLE officer-guide convention.</w:t>
      </w:r>
    </w:p>
    <w:p>
      <w:pPr>
        <w:pStyle w:val="Heading1"/>
        <w:spacing w:after="160" w:before="360"/>
      </w:pPr>
      <w:r>
        <w:t xml:space="preserve">6. The Library Architecture</w:t>
      </w:r>
    </w:p>
    <w:p>
      <w:pPr>
        <w:spacing w:after="140" w:line="300"/>
        <w:jc w:val="both"/>
      </w:pPr>
      <w:r>
        <w:t xml:space="preserve">Six tiers. Tier A is the canon - small, stable, quoted by everything. Tiers B-F are the working library. Status codes: EXISTS (in the knowledge base), REVISE (exists, needs the canonical corrections), PLANNED (agreed intent), NEW (proposed by this framework).</w:t>
      </w:r>
    </w:p>
    <w:p>
      <w:pPr>
        <w:pStyle w:val="Heading2"/>
        <w:spacing w:after="120" w:before="280"/>
      </w:pPr>
      <w:r>
        <w:t xml:space="preserve">Tier A - The Canon (foundation documents)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900"/>
      </w:tblGrid>
      <w:tr>
        <w:trPr>
          <w:tblHeader/>
        </w:trPr>
        <w:tc>
          <w:tcPr>
            <w:tcW w:type="dxa" w:w="3600"/>
            <w:shd w:fill="1F3864" w:val="clear"/>
            <w:tcMar>
              <w:top w:type="dxa" w:w="60"/>
              <w:left w:type="dxa" w:w="100"/>
              <w:bottom w:type="dxa" w:w="60"/>
              <w:right w:type="dxa" w:w="100"/>
            </w:tcMar>
          </w:tcPr>
          <w:p>
            <w:pPr>
              <w:spacing w:after="40" w:line="260"/>
            </w:pPr>
            <w:r>
              <w:rPr>
                <w:b/>
                <w:bCs/>
                <w:color w:val="FFFFFF"/>
                <w:sz w:val="20"/>
                <w:szCs w:val="20"/>
              </w:rPr>
              <w:t xml:space="preserve">Document</w:t>
            </w:r>
          </w:p>
        </w:tc>
        <w:tc>
          <w:tcPr>
            <w:tcW w:type="dxa" w:w="1500"/>
            <w:shd w:fill="1F3864" w:val="clear"/>
            <w:tcMar>
              <w:top w:type="dxa" w:w="60"/>
              <w:left w:type="dxa" w:w="100"/>
              <w:bottom w:type="dxa" w:w="60"/>
              <w:right w:type="dxa" w:w="100"/>
            </w:tcMar>
          </w:tcPr>
          <w:p>
            <w:pPr>
              <w:spacing w:after="40" w:line="260"/>
            </w:pPr>
            <w:r>
              <w:rPr>
                <w:b/>
                <w:bCs/>
                <w:color w:val="FFFFFF"/>
                <w:sz w:val="20"/>
                <w:szCs w:val="20"/>
              </w:rPr>
              <w:t xml:space="preserve">Status</w:t>
            </w:r>
          </w:p>
        </w:tc>
        <w:tc>
          <w:tcPr>
            <w:tcW w:type="dxa" w:w="4900"/>
            <w:shd w:fill="1F3864" w:val="clear"/>
            <w:tcMar>
              <w:top w:type="dxa" w:w="60"/>
              <w:left w:type="dxa" w:w="100"/>
              <w:bottom w:type="dxa" w:w="60"/>
              <w:right w:type="dxa" w:w="100"/>
            </w:tcMar>
          </w:tcPr>
          <w:p>
            <w:pPr>
              <w:spacing w:after="40" w:line="260"/>
            </w:pPr>
            <w:r>
              <w:rPr>
                <w:b/>
                <w:bCs/>
                <w:color w:val="FFFFFF"/>
                <w:sz w:val="20"/>
                <w:szCs w:val="20"/>
              </w:rPr>
              <w:t xml:space="preserve">Notes</w:t>
            </w:r>
          </w:p>
        </w:tc>
      </w:tr>
      <w:tr>
        <w:tc>
          <w:tcPr>
            <w:tcW w:type="dxa" w:w="3600"/>
            <w:tcMar>
              <w:top w:type="dxa" w:w="60"/>
              <w:left w:type="dxa" w:w="100"/>
              <w:bottom w:type="dxa" w:w="60"/>
              <w:right w:type="dxa" w:w="100"/>
            </w:tcMar>
          </w:tcPr>
          <w:p>
            <w:pPr>
              <w:spacing w:after="40" w:line="260"/>
            </w:pPr>
            <w:r>
              <w:rPr>
                <w:b/>
                <w:bCs/>
                <w:sz w:val="20"/>
                <w:szCs w:val="20"/>
              </w:rPr>
              <w:t xml:space="preserve">A1. The Hertfordshire Mentoring Principles (one page)</w:t>
            </w:r>
          </w:p>
        </w:tc>
        <w:tc>
          <w:tcPr>
            <w:tcW w:type="dxa" w:w="1500"/>
            <w:tcMar>
              <w:top w:type="dxa" w:w="60"/>
              <w:left w:type="dxa" w:w="100"/>
              <w:bottom w:type="dxa" w:w="60"/>
              <w:right w:type="dxa" w:w="100"/>
            </w:tcMar>
          </w:tcPr>
          <w:p>
            <w:pPr>
              <w:spacing w:after="40" w:line="260"/>
            </w:pPr>
            <w:r>
              <w:rPr>
                <w:sz w:val="20"/>
                <w:szCs w:val="20"/>
              </w:rPr>
              <w:t xml:space="preserve">NEW</w:t>
            </w:r>
          </w:p>
        </w:tc>
        <w:tc>
          <w:tcPr>
            <w:tcW w:type="dxa" w:w="4900"/>
            <w:tcMar>
              <w:top w:type="dxa" w:w="60"/>
              <w:left w:type="dxa" w:w="100"/>
              <w:bottom w:type="dxa" w:w="60"/>
              <w:right w:type="dxa" w:w="100"/>
            </w:tcMar>
          </w:tcPr>
          <w:p>
            <w:pPr>
              <w:spacing w:after="40" w:line="260"/>
            </w:pPr>
            <w:r>
              <w:rPr>
                <w:sz w:val="20"/>
                <w:szCs w:val="20"/>
              </w:rPr>
              <w:t xml:space="preserve">The canonical statement of the four principles, their order, their definitions, and the vision sentence. Every other document quotes it verbatim.</w:t>
            </w:r>
          </w:p>
        </w:tc>
      </w:tr>
      <w:tr>
        <w:tc>
          <w:tcPr>
            <w:tcW w:type="dxa" w:w="3600"/>
            <w:tcMar>
              <w:top w:type="dxa" w:w="60"/>
              <w:left w:type="dxa" w:w="100"/>
              <w:bottom w:type="dxa" w:w="60"/>
              <w:right w:type="dxa" w:w="100"/>
            </w:tcMar>
          </w:tcPr>
          <w:p>
            <w:pPr>
              <w:spacing w:after="40" w:line="260"/>
            </w:pPr>
            <w:r>
              <w:rPr>
                <w:b/>
                <w:bCs/>
                <w:sz w:val="20"/>
                <w:szCs w:val="20"/>
              </w:rPr>
              <w:t xml:space="preserve">A2. Provincial Mentoring Framework</w:t>
            </w:r>
          </w:p>
        </w:tc>
        <w:tc>
          <w:tcPr>
            <w:tcW w:type="dxa" w:w="1500"/>
            <w:tcMar>
              <w:top w:type="dxa" w:w="60"/>
              <w:left w:type="dxa" w:w="100"/>
              <w:bottom w:type="dxa" w:w="60"/>
              <w:right w:type="dxa" w:w="100"/>
            </w:tcMar>
          </w:tcPr>
          <w:p>
            <w:pPr>
              <w:spacing w:after="40" w:line="260"/>
            </w:pPr>
            <w:r>
              <w:rPr>
                <w:sz w:val="20"/>
                <w:szCs w:val="20"/>
              </w:rPr>
              <w:t xml:space="preserve">REVISE (v2.2a exists)</w:t>
            </w:r>
          </w:p>
        </w:tc>
        <w:tc>
          <w:tcPr>
            <w:tcW w:type="dxa" w:w="4900"/>
            <w:tcMar>
              <w:top w:type="dxa" w:w="60"/>
              <w:left w:type="dxa" w:w="100"/>
              <w:bottom w:type="dxa" w:w="60"/>
              <w:right w:type="dxa" w:w="100"/>
            </w:tcMar>
          </w:tcPr>
          <w:p>
            <w:pPr>
              <w:spacing w:after="40" w:line="260"/>
            </w:pPr>
            <w:r>
              <w:rPr>
                <w:sz w:val="20"/>
                <w:szCs w:val="20"/>
              </w:rPr>
              <w:t xml:space="preserve">The strategy: team structure, roles, New Initiate Pathway, One Journey, retention approach, reporting. Corrections: principle order, titles, per-area figures, measures of success.</w:t>
            </w:r>
          </w:p>
        </w:tc>
      </w:tr>
      <w:tr>
        <w:tc>
          <w:tcPr>
            <w:tcW w:type="dxa" w:w="3600"/>
            <w:tcMar>
              <w:top w:type="dxa" w:w="60"/>
              <w:left w:type="dxa" w:w="100"/>
              <w:bottom w:type="dxa" w:w="60"/>
              <w:right w:type="dxa" w:w="100"/>
            </w:tcMar>
          </w:tcPr>
          <w:p>
            <w:pPr>
              <w:spacing w:after="40" w:line="260"/>
            </w:pPr>
            <w:r>
              <w:rPr>
                <w:b/>
                <w:bCs/>
                <w:sz w:val="20"/>
                <w:szCs w:val="20"/>
              </w:rPr>
              <w:t xml:space="preserve">A3. Style, Terminology and Data Guide</w:t>
            </w:r>
          </w:p>
        </w:tc>
        <w:tc>
          <w:tcPr>
            <w:tcW w:type="dxa" w:w="1500"/>
            <w:tcMar>
              <w:top w:type="dxa" w:w="60"/>
              <w:left w:type="dxa" w:w="100"/>
              <w:bottom w:type="dxa" w:w="60"/>
              <w:right w:type="dxa" w:w="100"/>
            </w:tcMar>
          </w:tcPr>
          <w:p>
            <w:pPr>
              <w:spacing w:after="40" w:line="260"/>
            </w:pPr>
            <w:r>
              <w:rPr>
                <w:sz w:val="20"/>
                <w:szCs w:val="20"/>
              </w:rPr>
              <w:t xml:space="preserve">NEW</w:t>
            </w:r>
          </w:p>
        </w:tc>
        <w:tc>
          <w:tcPr>
            <w:tcW w:type="dxa" w:w="4900"/>
            <w:tcMar>
              <w:top w:type="dxa" w:w="60"/>
              <w:left w:type="dxa" w:w="100"/>
              <w:bottom w:type="dxa" w:w="60"/>
              <w:right w:type="dxa" w:w="100"/>
            </w:tcMar>
          </w:tcPr>
          <w:p>
            <w:pPr>
              <w:spacing w:after="40" w:line="260"/>
            </w:pPr>
            <w:r>
              <w:rPr>
                <w:sz w:val="20"/>
                <w:szCs w:val="20"/>
              </w:rPr>
              <w:t xml:space="preserve">House style (Issue n, Month Year; cover; contact block), the terminology sheet (titles, document names, spellings), the never-reveal-ritual standard, and data-protection rules for mentoring records.</w:t>
            </w:r>
          </w:p>
        </w:tc>
      </w:tr>
    </w:tbl>
    <w:p>
      <w:pPr>
        <w:spacing w:after="160"/>
      </w:pPr>
    </w:p>
    <w:p>
      <w:pPr>
        <w:pStyle w:val="Heading2"/>
        <w:spacing w:after="120" w:before="280"/>
      </w:pPr>
      <w:r>
        <w:t xml:space="preserve">Tier B - Practitioner Handbooks (mentor-facing)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900"/>
      </w:tblGrid>
      <w:tr>
        <w:trPr>
          <w:tblHeader/>
        </w:trPr>
        <w:tc>
          <w:tcPr>
            <w:tcW w:type="dxa" w:w="3600"/>
            <w:shd w:fill="1F3864" w:val="clear"/>
            <w:tcMar>
              <w:top w:type="dxa" w:w="60"/>
              <w:left w:type="dxa" w:w="100"/>
              <w:bottom w:type="dxa" w:w="60"/>
              <w:right w:type="dxa" w:w="100"/>
            </w:tcMar>
          </w:tcPr>
          <w:p>
            <w:pPr>
              <w:spacing w:after="40" w:line="260"/>
            </w:pPr>
            <w:r>
              <w:rPr>
                <w:b/>
                <w:bCs/>
                <w:color w:val="FFFFFF"/>
                <w:sz w:val="20"/>
                <w:szCs w:val="20"/>
              </w:rPr>
              <w:t xml:space="preserve">Document</w:t>
            </w:r>
          </w:p>
        </w:tc>
        <w:tc>
          <w:tcPr>
            <w:tcW w:type="dxa" w:w="1500"/>
            <w:shd w:fill="1F3864" w:val="clear"/>
            <w:tcMar>
              <w:top w:type="dxa" w:w="60"/>
              <w:left w:type="dxa" w:w="100"/>
              <w:bottom w:type="dxa" w:w="60"/>
              <w:right w:type="dxa" w:w="100"/>
            </w:tcMar>
          </w:tcPr>
          <w:p>
            <w:pPr>
              <w:spacing w:after="40" w:line="260"/>
            </w:pPr>
            <w:r>
              <w:rPr>
                <w:b/>
                <w:bCs/>
                <w:color w:val="FFFFFF"/>
                <w:sz w:val="20"/>
                <w:szCs w:val="20"/>
              </w:rPr>
              <w:t xml:space="preserve">Status</w:t>
            </w:r>
          </w:p>
        </w:tc>
        <w:tc>
          <w:tcPr>
            <w:tcW w:type="dxa" w:w="4900"/>
            <w:shd w:fill="1F3864" w:val="clear"/>
            <w:tcMar>
              <w:top w:type="dxa" w:w="60"/>
              <w:left w:type="dxa" w:w="100"/>
              <w:bottom w:type="dxa" w:w="60"/>
              <w:right w:type="dxa" w:w="100"/>
            </w:tcMar>
          </w:tcPr>
          <w:p>
            <w:pPr>
              <w:spacing w:after="40" w:line="260"/>
            </w:pPr>
            <w:r>
              <w:rPr>
                <w:b/>
                <w:bCs/>
                <w:color w:val="FFFFFF"/>
                <w:sz w:val="20"/>
                <w:szCs w:val="20"/>
              </w:rPr>
              <w:t xml:space="preserve">Notes</w:t>
            </w:r>
          </w:p>
        </w:tc>
      </w:tr>
      <w:tr>
        <w:tc>
          <w:tcPr>
            <w:tcW w:type="dxa" w:w="3600"/>
            <w:tcMar>
              <w:top w:type="dxa" w:w="60"/>
              <w:left w:type="dxa" w:w="100"/>
              <w:bottom w:type="dxa" w:w="60"/>
              <w:right w:type="dxa" w:w="100"/>
            </w:tcMar>
          </w:tcPr>
          <w:p>
            <w:pPr>
              <w:spacing w:after="40" w:line="260"/>
            </w:pPr>
            <w:r>
              <w:rPr>
                <w:b/>
                <w:bCs/>
                <w:sz w:val="20"/>
                <w:szCs w:val="20"/>
              </w:rPr>
              <w:t xml:space="preserve">B1. Lodge Mentor's Guide</w:t>
            </w:r>
          </w:p>
        </w:tc>
        <w:tc>
          <w:tcPr>
            <w:tcW w:type="dxa" w:w="1500"/>
            <w:tcMar>
              <w:top w:type="dxa" w:w="60"/>
              <w:left w:type="dxa" w:w="100"/>
              <w:bottom w:type="dxa" w:w="60"/>
              <w:right w:type="dxa" w:w="100"/>
            </w:tcMar>
          </w:tcPr>
          <w:p>
            <w:pPr>
              <w:spacing w:after="40" w:line="260"/>
            </w:pPr>
            <w:r>
              <w:rPr>
                <w:sz w:val="20"/>
                <w:szCs w:val="20"/>
              </w:rPr>
              <w:t xml:space="preserve">EXISTS (Issue 1, 2026)</w:t>
            </w:r>
          </w:p>
        </w:tc>
        <w:tc>
          <w:tcPr>
            <w:tcW w:type="dxa" w:w="4900"/>
            <w:tcMar>
              <w:top w:type="dxa" w:w="60"/>
              <w:left w:type="dxa" w:w="100"/>
              <w:bottom w:type="dxa" w:w="60"/>
              <w:right w:type="dxa" w:w="100"/>
            </w:tcMar>
          </w:tcPr>
          <w:p>
            <w:pPr>
              <w:spacing w:after="40" w:line="260"/>
            </w:pPr>
            <w:r>
              <w:rPr>
                <w:sz w:val="20"/>
                <w:szCs w:val="20"/>
              </w:rPr>
              <w:t xml:space="preserve">The style benchmark for the suite. Next issue: align Royal Arch section with One Journey; add joining members, the under-stretched member, and 'working with…' sections.</w:t>
            </w:r>
          </w:p>
        </w:tc>
      </w:tr>
      <w:tr>
        <w:tc>
          <w:tcPr>
            <w:tcW w:type="dxa" w:w="3600"/>
            <w:tcMar>
              <w:top w:type="dxa" w:w="60"/>
              <w:left w:type="dxa" w:w="100"/>
              <w:bottom w:type="dxa" w:w="60"/>
              <w:right w:type="dxa" w:w="100"/>
            </w:tcMar>
          </w:tcPr>
          <w:p>
            <w:pPr>
              <w:spacing w:after="40" w:line="260"/>
            </w:pPr>
            <w:r>
              <w:rPr>
                <w:b/>
                <w:bCs/>
                <w:sz w:val="20"/>
                <w:szCs w:val="20"/>
              </w:rPr>
              <w:t xml:space="preserve">B2. Personal Mentor's Guide</w:t>
            </w:r>
          </w:p>
        </w:tc>
        <w:tc>
          <w:tcPr>
            <w:tcW w:type="dxa" w:w="1500"/>
            <w:tcMar>
              <w:top w:type="dxa" w:w="60"/>
              <w:left w:type="dxa" w:w="100"/>
              <w:bottom w:type="dxa" w:w="60"/>
              <w:right w:type="dxa" w:w="100"/>
            </w:tcMar>
          </w:tcPr>
          <w:p>
            <w:pPr>
              <w:spacing w:after="40" w:line="260"/>
            </w:pPr>
            <w:r>
              <w:rPr>
                <w:sz w:val="20"/>
                <w:szCs w:val="20"/>
              </w:rPr>
              <w:t xml:space="preserve">EXISTS (Issue 1, 2026) - Priority 1 to align</w:t>
            </w:r>
          </w:p>
        </w:tc>
        <w:tc>
          <w:tcPr>
            <w:tcW w:type="dxa" w:w="4900"/>
            <w:tcMar>
              <w:top w:type="dxa" w:w="60"/>
              <w:left w:type="dxa" w:w="100"/>
              <w:bottom w:type="dxa" w:w="60"/>
              <w:right w:type="dxa" w:w="100"/>
            </w:tcMar>
          </w:tcPr>
          <w:p>
            <w:pPr>
              <w:spacing w:after="40" w:line="260"/>
            </w:pPr>
            <w:r>
              <w:rPr>
                <w:sz w:val="20"/>
                <w:szCs w:val="20"/>
              </w:rPr>
              <w:t xml:space="preserve">Located on the Provincial shared drive (July 2026); to be added to the Project knowledge base. The one-to-one companion: the relationship, first meeting, stage-by-stage topics, conversations that matter, warning signs, support for the mentor. Review for alignment with the canon; correct the foreword title; consider adding the 26-topic first-year list and accessibility guidance.</w:t>
            </w:r>
          </w:p>
        </w:tc>
      </w:tr>
      <w:tr>
        <w:tc>
          <w:tcPr>
            <w:tcW w:type="dxa" w:w="3600"/>
            <w:tcMar>
              <w:top w:type="dxa" w:w="60"/>
              <w:left w:type="dxa" w:w="100"/>
              <w:bottom w:type="dxa" w:w="60"/>
              <w:right w:type="dxa" w:w="100"/>
            </w:tcMar>
          </w:tcPr>
          <w:p>
            <w:pPr>
              <w:spacing w:after="40" w:line="260"/>
            </w:pPr>
            <w:r>
              <w:rPr>
                <w:b/>
                <w:bCs/>
                <w:sz w:val="20"/>
                <w:szCs w:val="20"/>
              </w:rPr>
              <w:t xml:space="preserve">B3. Provincial Mentor Handbook</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For the Provincial team and APGMs: induction, Lodge visits, coaching Lodge Mentors, returns and reporting, the six Provincial support tools.</w:t>
            </w:r>
          </w:p>
        </w:tc>
      </w:tr>
      <w:tr>
        <w:tc>
          <w:tcPr>
            <w:tcW w:type="dxa" w:w="3600"/>
            <w:tcMar>
              <w:top w:type="dxa" w:w="60"/>
              <w:left w:type="dxa" w:w="100"/>
              <w:bottom w:type="dxa" w:w="60"/>
              <w:right w:type="dxa" w:w="100"/>
            </w:tcMar>
          </w:tcPr>
          <w:p>
            <w:pPr>
              <w:spacing w:after="40" w:line="260"/>
            </w:pPr>
            <w:r>
              <w:rPr>
                <w:b/>
                <w:bCs/>
                <w:sz w:val="20"/>
                <w:szCs w:val="20"/>
              </w:rPr>
              <w:t xml:space="preserve">B4. Officer and Experienced Mason Mentoring Guide</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Stages 7-9: office readiness, the Chair, beyond the Chair, mentoring seniors (partnership not hierarchy; cross-Lodge mentor sourcing; the 'three Is'; legacy and renewal).</w:t>
            </w:r>
          </w:p>
        </w:tc>
      </w:tr>
      <w:tr>
        <w:tc>
          <w:tcPr>
            <w:tcW w:type="dxa" w:w="3600"/>
            <w:tcMar>
              <w:top w:type="dxa" w:w="60"/>
              <w:left w:type="dxa" w:w="100"/>
              <w:bottom w:type="dxa" w:w="60"/>
              <w:right w:type="dxa" w:w="100"/>
            </w:tcMar>
          </w:tcPr>
          <w:p>
            <w:pPr>
              <w:spacing w:after="40" w:line="260"/>
            </w:pPr>
            <w:r>
              <w:rPr>
                <w:b/>
                <w:bCs/>
                <w:sz w:val="20"/>
                <w:szCs w:val="20"/>
              </w:rPr>
              <w:t xml:space="preserve">B5. Royal Arch Mentoring Guide</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Operationalises One Journey, jointly badged with Provincial Grand Chapter ('a bridge built from only one side does not meet in the middle'): the four bridging points, the Royal Arch Representative's role, Archway resources, mentoring before and after Exaltation.</w:t>
            </w:r>
          </w:p>
        </w:tc>
      </w:tr>
      <w:tr>
        <w:tc>
          <w:tcPr>
            <w:tcW w:type="dxa" w:w="3600"/>
            <w:tcMar>
              <w:top w:type="dxa" w:w="60"/>
              <w:left w:type="dxa" w:w="100"/>
              <w:bottom w:type="dxa" w:w="60"/>
              <w:right w:type="dxa" w:w="100"/>
            </w:tcMar>
          </w:tcPr>
          <w:p>
            <w:pPr>
              <w:spacing w:after="40" w:line="260"/>
            </w:pPr>
            <w:r>
              <w:rPr>
                <w:b/>
                <w:bCs/>
                <w:sz w:val="20"/>
                <w:szCs w:val="20"/>
              </w:rPr>
              <w:t xml:space="preserve">B6. Retention, Retrieval and Migration Guide</w:t>
            </w:r>
          </w:p>
        </w:tc>
        <w:tc>
          <w:tcPr>
            <w:tcW w:type="dxa" w:w="1500"/>
            <w:tcMar>
              <w:top w:type="dxa" w:w="60"/>
              <w:left w:type="dxa" w:w="100"/>
              <w:bottom w:type="dxa" w:w="60"/>
              <w:right w:type="dxa" w:w="100"/>
            </w:tcMar>
          </w:tcPr>
          <w:p>
            <w:pPr>
              <w:spacing w:after="40" w:line="260"/>
            </w:pPr>
            <w:r>
              <w:rPr>
                <w:sz w:val="20"/>
                <w:szCs w:val="20"/>
              </w:rPr>
              <w:t xml:space="preserve">NEW</w:t>
            </w:r>
          </w:p>
        </w:tc>
        <w:tc>
          <w:tcPr>
            <w:tcW w:type="dxa" w:w="4900"/>
            <w:tcMar>
              <w:top w:type="dxa" w:w="60"/>
              <w:left w:type="dxa" w:w="100"/>
              <w:bottom w:type="dxa" w:w="60"/>
              <w:right w:type="dxa" w:w="100"/>
            </w:tcMar>
          </w:tcPr>
          <w:p>
            <w:pPr>
              <w:spacing w:after="40" w:line="260"/>
            </w:pPr>
            <w:r>
              <w:rPr>
                <w:sz w:val="20"/>
                <w:szCs w:val="20"/>
              </w:rPr>
              <w:t xml:space="preserve">Single owner-document for lanes A and B: warning signs, the two-misses/seven-day trigger, the four steps, Rule 183 and Rule 127 fact-boxes, exit conversations, the mentor-Almoner-Secretary hand-offs, migration. Other documents cross-refer instead of duplicating.</w:t>
            </w:r>
          </w:p>
        </w:tc>
      </w:tr>
    </w:tbl>
    <w:p>
      <w:pPr>
        <w:spacing w:after="160"/>
      </w:pPr>
    </w:p>
    <w:p>
      <w:pPr>
        <w:pStyle w:val="Heading2"/>
        <w:spacing w:after="120" w:before="280"/>
      </w:pPr>
      <w:r>
        <w:t xml:space="preserve">Tier C - Member-Facing Journey Guides</w:t>
      </w:r>
    </w:p>
    <w:p>
      <w:pPr>
        <w:spacing w:after="140" w:line="300"/>
        <w:jc w:val="both"/>
      </w:pPr>
      <w:r>
        <w:t xml:space="preserve">Design decision recommended: complement the national UGLE guides (Initiate's, Fellow Craft's, Master Mason's) rather than duplicate them. Hertfordshire's member-facing guides are short, warm, Province-specific companions - what to expect here, who is who here, Fleet House Light Blues Club, DAWG, Provincial events - wrapped around the national material.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900"/>
      </w:tblGrid>
      <w:tr>
        <w:trPr>
          <w:tblHeader/>
        </w:trPr>
        <w:tc>
          <w:tcPr>
            <w:tcW w:type="dxa" w:w="3600"/>
            <w:shd w:fill="1F3864" w:val="clear"/>
            <w:tcMar>
              <w:top w:type="dxa" w:w="60"/>
              <w:left w:type="dxa" w:w="100"/>
              <w:bottom w:type="dxa" w:w="60"/>
              <w:right w:type="dxa" w:w="100"/>
            </w:tcMar>
          </w:tcPr>
          <w:p>
            <w:pPr>
              <w:spacing w:after="40" w:line="260"/>
            </w:pPr>
            <w:r>
              <w:rPr>
                <w:b/>
                <w:bCs/>
                <w:color w:val="FFFFFF"/>
                <w:sz w:val="20"/>
                <w:szCs w:val="20"/>
              </w:rPr>
              <w:t xml:space="preserve">Document</w:t>
            </w:r>
          </w:p>
        </w:tc>
        <w:tc>
          <w:tcPr>
            <w:tcW w:type="dxa" w:w="1500"/>
            <w:shd w:fill="1F3864" w:val="clear"/>
            <w:tcMar>
              <w:top w:type="dxa" w:w="60"/>
              <w:left w:type="dxa" w:w="100"/>
              <w:bottom w:type="dxa" w:w="60"/>
              <w:right w:type="dxa" w:w="100"/>
            </w:tcMar>
          </w:tcPr>
          <w:p>
            <w:pPr>
              <w:spacing w:after="40" w:line="260"/>
            </w:pPr>
            <w:r>
              <w:rPr>
                <w:b/>
                <w:bCs/>
                <w:color w:val="FFFFFF"/>
                <w:sz w:val="20"/>
                <w:szCs w:val="20"/>
              </w:rPr>
              <w:t xml:space="preserve">Status</w:t>
            </w:r>
          </w:p>
        </w:tc>
        <w:tc>
          <w:tcPr>
            <w:tcW w:type="dxa" w:w="4900"/>
            <w:shd w:fill="1F3864" w:val="clear"/>
            <w:tcMar>
              <w:top w:type="dxa" w:w="60"/>
              <w:left w:type="dxa" w:w="100"/>
              <w:bottom w:type="dxa" w:w="60"/>
              <w:right w:type="dxa" w:w="100"/>
            </w:tcMar>
          </w:tcPr>
          <w:p>
            <w:pPr>
              <w:spacing w:after="40" w:line="260"/>
            </w:pPr>
            <w:r>
              <w:rPr>
                <w:b/>
                <w:bCs/>
                <w:color w:val="FFFFFF"/>
                <w:sz w:val="20"/>
                <w:szCs w:val="20"/>
              </w:rPr>
              <w:t xml:space="preserve">Notes</w:t>
            </w:r>
          </w:p>
        </w:tc>
      </w:tr>
      <w:tr>
        <w:tc>
          <w:tcPr>
            <w:tcW w:type="dxa" w:w="3600"/>
            <w:tcMar>
              <w:top w:type="dxa" w:w="60"/>
              <w:left w:type="dxa" w:w="100"/>
              <w:bottom w:type="dxa" w:w="60"/>
              <w:right w:type="dxa" w:w="100"/>
            </w:tcMar>
          </w:tcPr>
          <w:p>
            <w:pPr>
              <w:spacing w:after="40" w:line="260"/>
            </w:pPr>
            <w:r>
              <w:rPr>
                <w:b/>
                <w:bCs/>
                <w:sz w:val="20"/>
                <w:szCs w:val="20"/>
              </w:rPr>
              <w:t xml:space="preserve">C1. Considering Freemasonry - the Candidate's Guide</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Stages 1-2: what to expect from enquiry to Initiation; the interview; costs and time honestly stated; who will support you.</w:t>
            </w:r>
          </w:p>
        </w:tc>
      </w:tr>
      <w:tr>
        <w:tc>
          <w:tcPr>
            <w:tcW w:type="dxa" w:w="3600"/>
            <w:tcMar>
              <w:top w:type="dxa" w:w="60"/>
              <w:left w:type="dxa" w:w="100"/>
              <w:bottom w:type="dxa" w:w="60"/>
              <w:right w:type="dxa" w:w="100"/>
            </w:tcMar>
          </w:tcPr>
          <w:p>
            <w:pPr>
              <w:spacing w:after="40" w:line="260"/>
            </w:pPr>
            <w:r>
              <w:rPr>
                <w:b/>
                <w:bCs/>
                <w:sz w:val="20"/>
                <w:szCs w:val="20"/>
              </w:rPr>
              <w:t xml:space="preserve">C2. The New Brother's Guide (Entered Apprentice)</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Stage 3: reassurance-first tone ('please do not worry unduly'); interpretive humility on symbolism; no ritual reproduction.</w:t>
            </w:r>
          </w:p>
        </w:tc>
      </w:tr>
      <w:tr>
        <w:tc>
          <w:tcPr>
            <w:tcW w:type="dxa" w:w="3600"/>
            <w:tcMar>
              <w:top w:type="dxa" w:w="60"/>
              <w:left w:type="dxa" w:w="100"/>
              <w:bottom w:type="dxa" w:w="60"/>
              <w:right w:type="dxa" w:w="100"/>
            </w:tcMar>
          </w:tcPr>
          <w:p>
            <w:pPr>
              <w:spacing w:after="40" w:line="260"/>
            </w:pPr>
            <w:r>
              <w:rPr>
                <w:b/>
                <w:bCs/>
                <w:sz w:val="20"/>
                <w:szCs w:val="20"/>
              </w:rPr>
              <w:t xml:space="preserve">C3. The Fellow Craft's Companion</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Stage 4.</w:t>
            </w:r>
          </w:p>
        </w:tc>
      </w:tr>
      <w:tr>
        <w:tc>
          <w:tcPr>
            <w:tcW w:type="dxa" w:w="3600"/>
            <w:tcMar>
              <w:top w:type="dxa" w:w="60"/>
              <w:left w:type="dxa" w:w="100"/>
              <w:bottom w:type="dxa" w:w="60"/>
              <w:right w:type="dxa" w:w="100"/>
            </w:tcMar>
          </w:tcPr>
          <w:p>
            <w:pPr>
              <w:spacing w:after="40" w:line="260"/>
            </w:pPr>
            <w:r>
              <w:rPr>
                <w:b/>
                <w:bCs/>
                <w:sz w:val="20"/>
                <w:szCs w:val="20"/>
              </w:rPr>
              <w:t xml:space="preserve">C4. The Master Mason's Companion</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Stage 5, including the journey ahead: visiting, office (or not - both valid), One Journey.</w:t>
            </w:r>
          </w:p>
        </w:tc>
      </w:tr>
      <w:tr>
        <w:tc>
          <w:tcPr>
            <w:tcW w:type="dxa" w:w="3600"/>
            <w:tcMar>
              <w:top w:type="dxa" w:w="60"/>
              <w:left w:type="dxa" w:w="100"/>
              <w:bottom w:type="dxa" w:w="60"/>
              <w:right w:type="dxa" w:w="100"/>
            </w:tcMar>
          </w:tcPr>
          <w:p>
            <w:pPr>
              <w:spacing w:after="40" w:line="260"/>
            </w:pPr>
            <w:r>
              <w:rPr>
                <w:b/>
                <w:bCs/>
                <w:sz w:val="20"/>
                <w:szCs w:val="20"/>
              </w:rPr>
              <w:t xml:space="preserve">C5. The Royal Arch Companion</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Stage 6, with Provincial Grand Chapter; builds on UGLE's 2023 'Introduction to the Royal Arch'.</w:t>
            </w:r>
          </w:p>
        </w:tc>
      </w:tr>
      <w:tr>
        <w:tc>
          <w:tcPr>
            <w:tcW w:type="dxa" w:w="3600"/>
            <w:tcMar>
              <w:top w:type="dxa" w:w="60"/>
              <w:left w:type="dxa" w:w="100"/>
              <w:bottom w:type="dxa" w:w="60"/>
              <w:right w:type="dxa" w:w="100"/>
            </w:tcMar>
          </w:tcPr>
          <w:p>
            <w:pPr>
              <w:spacing w:after="40" w:line="260"/>
            </w:pPr>
            <w:r>
              <w:rPr>
                <w:b/>
                <w:bCs/>
                <w:sz w:val="20"/>
                <w:szCs w:val="20"/>
              </w:rPr>
              <w:t xml:space="preserve">C6. Into Office and Beyond the Chair (member-facing)</w:t>
            </w:r>
          </w:p>
        </w:tc>
        <w:tc>
          <w:tcPr>
            <w:tcW w:type="dxa" w:w="1500"/>
            <w:tcMar>
              <w:top w:type="dxa" w:w="60"/>
              <w:left w:type="dxa" w:w="100"/>
              <w:bottom w:type="dxa" w:w="60"/>
              <w:right w:type="dxa" w:w="100"/>
            </w:tcMar>
          </w:tcPr>
          <w:p>
            <w:pPr>
              <w:spacing w:after="40" w:line="260"/>
            </w:pPr>
            <w:r>
              <w:rPr>
                <w:sz w:val="20"/>
                <w:szCs w:val="20"/>
              </w:rPr>
              <w:t xml:space="preserve">NEW</w:t>
            </w:r>
          </w:p>
        </w:tc>
        <w:tc>
          <w:tcPr>
            <w:tcW w:type="dxa" w:w="4900"/>
            <w:tcMar>
              <w:top w:type="dxa" w:w="60"/>
              <w:left w:type="dxa" w:w="100"/>
              <w:bottom w:type="dxa" w:w="60"/>
              <w:right w:type="dxa" w:w="100"/>
            </w:tcMar>
          </w:tcPr>
          <w:p>
            <w:pPr>
              <w:spacing w:after="40" w:line="260"/>
            </w:pPr>
            <w:r>
              <w:rPr>
                <w:sz w:val="20"/>
                <w:szCs w:val="20"/>
              </w:rPr>
              <w:t xml:space="preserve">Stages 7-9 for the member himself: what office asks, what support exists, life after the Chair.</w:t>
            </w:r>
          </w:p>
        </w:tc>
      </w:tr>
    </w:tbl>
    <w:p>
      <w:pPr>
        <w:spacing w:after="160"/>
      </w:pPr>
    </w:p>
    <w:p>
      <w:pPr>
        <w:pStyle w:val="Heading2"/>
        <w:spacing w:after="120" w:before="280"/>
      </w:pPr>
      <w:r>
        <w:t xml:space="preserve">Tier D - Working Tools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900"/>
      </w:tblGrid>
      <w:tr>
        <w:trPr>
          <w:tblHeader/>
        </w:trPr>
        <w:tc>
          <w:tcPr>
            <w:tcW w:type="dxa" w:w="3600"/>
            <w:shd w:fill="1F3864" w:val="clear"/>
            <w:tcMar>
              <w:top w:type="dxa" w:w="60"/>
              <w:left w:type="dxa" w:w="100"/>
              <w:bottom w:type="dxa" w:w="60"/>
              <w:right w:type="dxa" w:w="100"/>
            </w:tcMar>
          </w:tcPr>
          <w:p>
            <w:pPr>
              <w:spacing w:after="40" w:line="260"/>
            </w:pPr>
            <w:r>
              <w:rPr>
                <w:b/>
                <w:bCs/>
                <w:color w:val="FFFFFF"/>
                <w:sz w:val="20"/>
                <w:szCs w:val="20"/>
              </w:rPr>
              <w:t xml:space="preserve">Document</w:t>
            </w:r>
          </w:p>
        </w:tc>
        <w:tc>
          <w:tcPr>
            <w:tcW w:type="dxa" w:w="1500"/>
            <w:shd w:fill="1F3864" w:val="clear"/>
            <w:tcMar>
              <w:top w:type="dxa" w:w="60"/>
              <w:left w:type="dxa" w:w="100"/>
              <w:bottom w:type="dxa" w:w="60"/>
              <w:right w:type="dxa" w:w="100"/>
            </w:tcMar>
          </w:tcPr>
          <w:p>
            <w:pPr>
              <w:spacing w:after="40" w:line="260"/>
            </w:pPr>
            <w:r>
              <w:rPr>
                <w:b/>
                <w:bCs/>
                <w:color w:val="FFFFFF"/>
                <w:sz w:val="20"/>
                <w:szCs w:val="20"/>
              </w:rPr>
              <w:t xml:space="preserve">Status</w:t>
            </w:r>
          </w:p>
        </w:tc>
        <w:tc>
          <w:tcPr>
            <w:tcW w:type="dxa" w:w="4900"/>
            <w:shd w:fill="1F3864" w:val="clear"/>
            <w:tcMar>
              <w:top w:type="dxa" w:w="60"/>
              <w:left w:type="dxa" w:w="100"/>
              <w:bottom w:type="dxa" w:w="60"/>
              <w:right w:type="dxa" w:w="100"/>
            </w:tcMar>
          </w:tcPr>
          <w:p>
            <w:pPr>
              <w:spacing w:after="40" w:line="260"/>
            </w:pPr>
            <w:r>
              <w:rPr>
                <w:b/>
                <w:bCs/>
                <w:color w:val="FFFFFF"/>
                <w:sz w:val="20"/>
                <w:szCs w:val="20"/>
              </w:rPr>
              <w:t xml:space="preserve">Notes</w:t>
            </w:r>
          </w:p>
        </w:tc>
      </w:tr>
      <w:tr>
        <w:tc>
          <w:tcPr>
            <w:tcW w:type="dxa" w:w="3600"/>
            <w:tcMar>
              <w:top w:type="dxa" w:w="60"/>
              <w:left w:type="dxa" w:w="100"/>
              <w:bottom w:type="dxa" w:w="60"/>
              <w:right w:type="dxa" w:w="100"/>
            </w:tcMar>
          </w:tcPr>
          <w:p>
            <w:pPr>
              <w:spacing w:after="40" w:line="260"/>
            </w:pPr>
            <w:r>
              <w:rPr>
                <w:b/>
                <w:bCs/>
                <w:sz w:val="20"/>
                <w:szCs w:val="20"/>
              </w:rPr>
              <w:t xml:space="preserve">D1. Personal Mentoring Plan</w:t>
            </w:r>
          </w:p>
        </w:tc>
        <w:tc>
          <w:tcPr>
            <w:tcW w:type="dxa" w:w="1500"/>
            <w:tcMar>
              <w:top w:type="dxa" w:w="60"/>
              <w:left w:type="dxa" w:w="100"/>
              <w:bottom w:type="dxa" w:w="60"/>
              <w:right w:type="dxa" w:w="100"/>
            </w:tcMar>
          </w:tcPr>
          <w:p>
            <w:pPr>
              <w:spacing w:after="40" w:line="260"/>
            </w:pPr>
            <w:r>
              <w:rPr>
                <w:sz w:val="20"/>
                <w:szCs w:val="20"/>
              </w:rPr>
              <w:t xml:space="preserve">EXISTS (Issue 1, 2026)</w:t>
            </w:r>
          </w:p>
        </w:tc>
        <w:tc>
          <w:tcPr>
            <w:tcW w:type="dxa" w:w="4900"/>
            <w:tcMar>
              <w:top w:type="dxa" w:w="60"/>
              <w:left w:type="dxa" w:w="100"/>
              <w:bottom w:type="dxa" w:w="60"/>
              <w:right w:type="dxa" w:w="100"/>
            </w:tcMar>
          </w:tcPr>
          <w:p>
            <w:pPr>
              <w:spacing w:after="40" w:line="260"/>
            </w:pPr>
            <w:r>
              <w:rPr>
                <w:sz w:val="20"/>
                <w:szCs w:val="20"/>
              </w:rPr>
              <w:t xml:space="preserve">The per-member record and action checklist. Next issue: data-protection block, review/sign-off fields, joining-member route - and a member-held companion version (decision required).</w:t>
            </w:r>
          </w:p>
        </w:tc>
      </w:tr>
      <w:tr>
        <w:tc>
          <w:tcPr>
            <w:tcW w:type="dxa" w:w="3600"/>
            <w:tcMar>
              <w:top w:type="dxa" w:w="60"/>
              <w:left w:type="dxa" w:w="100"/>
              <w:bottom w:type="dxa" w:w="60"/>
              <w:right w:type="dxa" w:w="100"/>
            </w:tcMar>
          </w:tcPr>
          <w:p>
            <w:pPr>
              <w:spacing w:after="40" w:line="260"/>
            </w:pPr>
            <w:r>
              <w:rPr>
                <w:b/>
                <w:bCs/>
                <w:sz w:val="20"/>
                <w:szCs w:val="20"/>
              </w:rPr>
              <w:t xml:space="preserve">D2. Mentor Meeting Guide (conversation guide)</w:t>
            </w:r>
          </w:p>
        </w:tc>
        <w:tc>
          <w:tcPr>
            <w:tcW w:type="dxa" w:w="1500"/>
            <w:tcMar>
              <w:top w:type="dxa" w:w="60"/>
              <w:left w:type="dxa" w:w="100"/>
              <w:bottom w:type="dxa" w:w="60"/>
              <w:right w:type="dxa" w:w="100"/>
            </w:tcMar>
          </w:tcPr>
          <w:p>
            <w:pPr>
              <w:spacing w:after="40" w:line="260"/>
            </w:pPr>
            <w:r>
              <w:rPr>
                <w:sz w:val="20"/>
                <w:szCs w:val="20"/>
              </w:rPr>
              <w:t xml:space="preserve">NEW</w:t>
            </w:r>
          </w:p>
        </w:tc>
        <w:tc>
          <w:tcPr>
            <w:tcW w:type="dxa" w:w="4900"/>
            <w:tcMar>
              <w:top w:type="dxa" w:w="60"/>
              <w:left w:type="dxa" w:w="100"/>
              <w:bottom w:type="dxa" w:w="60"/>
              <w:right w:type="dxa" w:w="100"/>
            </w:tcMar>
          </w:tcPr>
          <w:p>
            <w:pPr>
              <w:spacing w:after="40" w:line="260"/>
            </w:pPr>
            <w:r>
              <w:rPr>
                <w:sz w:val="20"/>
                <w:szCs w:val="20"/>
              </w:rPr>
              <w:t xml:space="preserve">Extracted as a standalone from In That Order Ch. 13: before / opening / Prepare / Guide / Support / Enlighten / closing, with 'What did you make of tonight?' at its heart.</w:t>
            </w:r>
          </w:p>
        </w:tc>
      </w:tr>
      <w:tr>
        <w:tc>
          <w:tcPr>
            <w:tcW w:type="dxa" w:w="3600"/>
            <w:tcMar>
              <w:top w:type="dxa" w:w="60"/>
              <w:left w:type="dxa" w:w="100"/>
              <w:bottom w:type="dxa" w:w="60"/>
              <w:right w:type="dxa" w:w="100"/>
            </w:tcMar>
          </w:tcPr>
          <w:p>
            <w:pPr>
              <w:spacing w:after="40" w:line="260"/>
            </w:pPr>
            <w:r>
              <w:rPr>
                <w:b/>
                <w:bCs/>
                <w:sz w:val="20"/>
                <w:szCs w:val="20"/>
              </w:rPr>
              <w:t xml:space="preserve">D3. Ceremony-night and stage checklists</w:t>
            </w:r>
          </w:p>
        </w:tc>
        <w:tc>
          <w:tcPr>
            <w:tcW w:type="dxa" w:w="1500"/>
            <w:tcMar>
              <w:top w:type="dxa" w:w="60"/>
              <w:left w:type="dxa" w:w="100"/>
              <w:bottom w:type="dxa" w:w="60"/>
              <w:right w:type="dxa" w:w="100"/>
            </w:tcMar>
          </w:tcPr>
          <w:p>
            <w:pPr>
              <w:spacing w:after="40" w:line="260"/>
            </w:pPr>
            <w:r>
              <w:rPr>
                <w:sz w:val="20"/>
                <w:szCs w:val="20"/>
              </w:rPr>
              <w:t xml:space="preserve">NEW</w:t>
            </w:r>
          </w:p>
        </w:tc>
        <w:tc>
          <w:tcPr>
            <w:tcW w:type="dxa" w:w="4900"/>
            <w:tcMar>
              <w:top w:type="dxa" w:w="60"/>
              <w:left w:type="dxa" w:w="100"/>
              <w:bottom w:type="dxa" w:w="60"/>
              <w:right w:type="dxa" w:w="100"/>
            </w:tcMar>
          </w:tcPr>
          <w:p>
            <w:pPr>
              <w:spacing w:after="40" w:line="260"/>
            </w:pPr>
            <w:r>
              <w:rPr>
                <w:sz w:val="20"/>
                <w:szCs w:val="20"/>
              </w:rPr>
              <w:t xml:space="preserve">One page per moment: Initiation night (Wiltshire-grade practical detail), the second meeting, before Passing/Raising, Installation, first LoI.</w:t>
            </w:r>
          </w:p>
        </w:tc>
      </w:tr>
      <w:tr>
        <w:tc>
          <w:tcPr>
            <w:tcW w:type="dxa" w:w="3600"/>
            <w:tcMar>
              <w:top w:type="dxa" w:w="60"/>
              <w:left w:type="dxa" w:w="100"/>
              <w:bottom w:type="dxa" w:w="60"/>
              <w:right w:type="dxa" w:w="100"/>
            </w:tcMar>
          </w:tcPr>
          <w:p>
            <w:pPr>
              <w:spacing w:after="40" w:line="260"/>
            </w:pPr>
            <w:r>
              <w:rPr>
                <w:b/>
                <w:bCs/>
                <w:sz w:val="20"/>
                <w:szCs w:val="20"/>
              </w:rPr>
              <w:t xml:space="preserve">D4. Warning Signs and Early Intervention quick reference</w:t>
            </w:r>
          </w:p>
        </w:tc>
        <w:tc>
          <w:tcPr>
            <w:tcW w:type="dxa" w:w="1500"/>
            <w:tcMar>
              <w:top w:type="dxa" w:w="60"/>
              <w:left w:type="dxa" w:w="100"/>
              <w:bottom w:type="dxa" w:w="60"/>
              <w:right w:type="dxa" w:w="100"/>
            </w:tcMar>
          </w:tcPr>
          <w:p>
            <w:pPr>
              <w:spacing w:after="40" w:line="260"/>
            </w:pPr>
            <w:r>
              <w:rPr>
                <w:sz w:val="20"/>
                <w:szCs w:val="20"/>
              </w:rPr>
              <w:t xml:space="preserve">NEW</w:t>
            </w:r>
          </w:p>
        </w:tc>
        <w:tc>
          <w:tcPr>
            <w:tcW w:type="dxa" w:w="4900"/>
            <w:tcMar>
              <w:top w:type="dxa" w:w="60"/>
              <w:left w:type="dxa" w:w="100"/>
              <w:bottom w:type="dxa" w:w="60"/>
              <w:right w:type="dxa" w:w="100"/>
            </w:tcMar>
          </w:tcPr>
          <w:p>
            <w:pPr>
              <w:spacing w:after="40" w:line="260"/>
            </w:pPr>
            <w:r>
              <w:rPr>
                <w:sz w:val="20"/>
                <w:szCs w:val="20"/>
              </w:rPr>
              <w:t xml:space="preserve">A one-page card distilled from B6 for every mentor's pocket.</w:t>
            </w:r>
          </w:p>
        </w:tc>
      </w:tr>
      <w:tr>
        <w:tc>
          <w:tcPr>
            <w:tcW w:type="dxa" w:w="3600"/>
            <w:tcMar>
              <w:top w:type="dxa" w:w="60"/>
              <w:left w:type="dxa" w:w="100"/>
              <w:bottom w:type="dxa" w:w="60"/>
              <w:right w:type="dxa" w:w="100"/>
            </w:tcMar>
          </w:tcPr>
          <w:p>
            <w:pPr>
              <w:spacing w:after="40" w:line="260"/>
            </w:pPr>
            <w:r>
              <w:rPr>
                <w:b/>
                <w:bCs/>
                <w:sz w:val="20"/>
                <w:szCs w:val="20"/>
              </w:rPr>
              <w:t xml:space="preserve">D5. Reflection journal and worksheets</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Member-facing reflection prompts per stage - the learning-design element the external guides lack.</w:t>
            </w:r>
          </w:p>
        </w:tc>
      </w:tr>
      <w:tr>
        <w:tc>
          <w:tcPr>
            <w:tcW w:type="dxa" w:w="3600"/>
            <w:tcMar>
              <w:top w:type="dxa" w:w="60"/>
              <w:left w:type="dxa" w:w="100"/>
              <w:bottom w:type="dxa" w:w="60"/>
              <w:right w:type="dxa" w:w="100"/>
            </w:tcMar>
          </w:tcPr>
          <w:p>
            <w:pPr>
              <w:spacing w:after="40" w:line="260"/>
            </w:pPr>
            <w:r>
              <w:rPr>
                <w:b/>
                <w:bCs/>
                <w:sz w:val="20"/>
                <w:szCs w:val="20"/>
              </w:rPr>
              <w:t xml:space="preserve">D6. Mentor's Jewel presentation</w:t>
            </w:r>
          </w:p>
        </w:tc>
        <w:tc>
          <w:tcPr>
            <w:tcW w:type="dxa" w:w="1500"/>
            <w:tcMar>
              <w:top w:type="dxa" w:w="60"/>
              <w:left w:type="dxa" w:w="100"/>
              <w:bottom w:type="dxa" w:w="60"/>
              <w:right w:type="dxa" w:w="100"/>
            </w:tcMar>
          </w:tcPr>
          <w:p>
            <w:pPr>
              <w:spacing w:after="40" w:line="260"/>
            </w:pPr>
            <w:r>
              <w:rPr>
                <w:sz w:val="20"/>
                <w:szCs w:val="20"/>
              </w:rPr>
              <w:t xml:space="preserve">REVISE (draft exists)</w:t>
            </w:r>
          </w:p>
        </w:tc>
        <w:tc>
          <w:tcPr>
            <w:tcW w:type="dxa" w:w="4900"/>
            <w:tcMar>
              <w:top w:type="dxa" w:w="60"/>
              <w:left w:type="dxa" w:w="100"/>
              <w:bottom w:type="dxa" w:w="60"/>
              <w:right w:type="dxa" w:w="100"/>
            </w:tcMar>
          </w:tcPr>
          <w:p>
            <w:pPr>
              <w:spacing w:after="40" w:line="260"/>
            </w:pPr>
            <w:r>
              <w:rPr>
                <w:sz w:val="20"/>
                <w:szCs w:val="20"/>
              </w:rPr>
              <w:t xml:space="preserve">Light editorial polish; align principle order; confirm delivery context. The address and toast also live in the book.</w:t>
            </w:r>
          </w:p>
        </w:tc>
      </w:tr>
    </w:tbl>
    <w:p>
      <w:pPr>
        <w:spacing w:after="160"/>
      </w:pPr>
    </w:p>
    <w:p>
      <w:pPr>
        <w:pStyle w:val="Heading2"/>
        <w:spacing w:after="120" w:before="280"/>
      </w:pPr>
      <w:r>
        <w:t xml:space="preserve">Tier E - Training and Development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900"/>
      </w:tblGrid>
      <w:tr>
        <w:trPr>
          <w:tblHeader/>
        </w:trPr>
        <w:tc>
          <w:tcPr>
            <w:tcW w:type="dxa" w:w="3600"/>
            <w:shd w:fill="1F3864" w:val="clear"/>
            <w:tcMar>
              <w:top w:type="dxa" w:w="60"/>
              <w:left w:type="dxa" w:w="100"/>
              <w:bottom w:type="dxa" w:w="60"/>
              <w:right w:type="dxa" w:w="100"/>
            </w:tcMar>
          </w:tcPr>
          <w:p>
            <w:pPr>
              <w:spacing w:after="40" w:line="260"/>
            </w:pPr>
            <w:r>
              <w:rPr>
                <w:b/>
                <w:bCs/>
                <w:color w:val="FFFFFF"/>
                <w:sz w:val="20"/>
                <w:szCs w:val="20"/>
              </w:rPr>
              <w:t xml:space="preserve">Document</w:t>
            </w:r>
          </w:p>
        </w:tc>
        <w:tc>
          <w:tcPr>
            <w:tcW w:type="dxa" w:w="1500"/>
            <w:shd w:fill="1F3864" w:val="clear"/>
            <w:tcMar>
              <w:top w:type="dxa" w:w="60"/>
              <w:left w:type="dxa" w:w="100"/>
              <w:bottom w:type="dxa" w:w="60"/>
              <w:right w:type="dxa" w:w="100"/>
            </w:tcMar>
          </w:tcPr>
          <w:p>
            <w:pPr>
              <w:spacing w:after="40" w:line="260"/>
            </w:pPr>
            <w:r>
              <w:rPr>
                <w:b/>
                <w:bCs/>
                <w:color w:val="FFFFFF"/>
                <w:sz w:val="20"/>
                <w:szCs w:val="20"/>
              </w:rPr>
              <w:t xml:space="preserve">Status</w:t>
            </w:r>
          </w:p>
        </w:tc>
        <w:tc>
          <w:tcPr>
            <w:tcW w:type="dxa" w:w="4900"/>
            <w:shd w:fill="1F3864" w:val="clear"/>
            <w:tcMar>
              <w:top w:type="dxa" w:w="60"/>
              <w:left w:type="dxa" w:w="100"/>
              <w:bottom w:type="dxa" w:w="60"/>
              <w:right w:type="dxa" w:w="100"/>
            </w:tcMar>
          </w:tcPr>
          <w:p>
            <w:pPr>
              <w:spacing w:after="40" w:line="260"/>
            </w:pPr>
            <w:r>
              <w:rPr>
                <w:b/>
                <w:bCs/>
                <w:color w:val="FFFFFF"/>
                <w:sz w:val="20"/>
                <w:szCs w:val="20"/>
              </w:rPr>
              <w:t xml:space="preserve">Notes</w:t>
            </w:r>
          </w:p>
        </w:tc>
      </w:tr>
      <w:tr>
        <w:tc>
          <w:tcPr>
            <w:tcW w:type="dxa" w:w="3600"/>
            <w:tcMar>
              <w:top w:type="dxa" w:w="60"/>
              <w:left w:type="dxa" w:w="100"/>
              <w:bottom w:type="dxa" w:w="60"/>
              <w:right w:type="dxa" w:w="100"/>
            </w:tcMar>
          </w:tcPr>
          <w:p>
            <w:pPr>
              <w:spacing w:after="40" w:line="260"/>
            </w:pPr>
            <w:r>
              <w:rPr>
                <w:b/>
                <w:bCs/>
                <w:sz w:val="20"/>
                <w:szCs w:val="20"/>
              </w:rPr>
              <w:t xml:space="preserve">E1. Lodge Mentor induction course (+ slides)</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Delivers B1; includes the appointment letter/charge handed to every new Lodge Mentor (modelled on the UGLE letter, written afresh).</w:t>
            </w:r>
          </w:p>
        </w:tc>
      </w:tr>
      <w:tr>
        <w:tc>
          <w:tcPr>
            <w:tcW w:type="dxa" w:w="3600"/>
            <w:tcMar>
              <w:top w:type="dxa" w:w="60"/>
              <w:left w:type="dxa" w:w="100"/>
              <w:bottom w:type="dxa" w:w="60"/>
              <w:right w:type="dxa" w:w="100"/>
            </w:tcMar>
          </w:tcPr>
          <w:p>
            <w:pPr>
              <w:spacing w:after="40" w:line="260"/>
            </w:pPr>
            <w:r>
              <w:rPr>
                <w:b/>
                <w:bCs/>
                <w:sz w:val="20"/>
                <w:szCs w:val="20"/>
              </w:rPr>
              <w:t xml:space="preserve">E2. Personal Mentor skills workshop</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Open/closed questions, active listening, silence, the maturing relationship (teacher → coach → advisor → counsellor), scenario practice. Draws on West Lancashire and In That Order Ch. 12.</w:t>
            </w:r>
          </w:p>
        </w:tc>
      </w:tr>
      <w:tr>
        <w:tc>
          <w:tcPr>
            <w:tcW w:type="dxa" w:w="3600"/>
            <w:tcMar>
              <w:top w:type="dxa" w:w="60"/>
              <w:left w:type="dxa" w:w="100"/>
              <w:bottom w:type="dxa" w:w="60"/>
              <w:right w:type="dxa" w:w="100"/>
            </w:tcMar>
          </w:tcPr>
          <w:p>
            <w:pPr>
              <w:spacing w:after="40" w:line="260"/>
            </w:pPr>
            <w:r>
              <w:rPr>
                <w:b/>
                <w:bCs/>
                <w:sz w:val="20"/>
                <w:szCs w:val="20"/>
              </w:rPr>
              <w:t xml:space="preserve">E3. Competency framework and self-assessment</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What good looks like per role; evaluates the process, not the person.</w:t>
            </w:r>
          </w:p>
        </w:tc>
      </w:tr>
      <w:tr>
        <w:tc>
          <w:tcPr>
            <w:tcW w:type="dxa" w:w="3600"/>
            <w:tcMar>
              <w:top w:type="dxa" w:w="60"/>
              <w:left w:type="dxa" w:w="100"/>
              <w:bottom w:type="dxa" w:w="60"/>
              <w:right w:type="dxa" w:w="100"/>
            </w:tcMar>
          </w:tcPr>
          <w:p>
            <w:pPr>
              <w:spacing w:after="40" w:line="260"/>
            </w:pPr>
            <w:r>
              <w:rPr>
                <w:b/>
                <w:bCs/>
                <w:sz w:val="20"/>
                <w:szCs w:val="20"/>
              </w:rPr>
              <w:t xml:space="preserve">E4. Case studies and workshop exercises</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True, anonymised Hertfordshire stories - the Gosport evening, the returned LoI absentee, the resignation recovered - as discussion scenarios.</w:t>
            </w:r>
          </w:p>
        </w:tc>
      </w:tr>
    </w:tbl>
    <w:p>
      <w:pPr>
        <w:spacing w:after="160"/>
      </w:pPr>
    </w:p>
    <w:p>
      <w:pPr>
        <w:pStyle w:val="Heading2"/>
        <w:spacing w:after="120" w:before="280"/>
      </w:pPr>
      <w:r>
        <w:t xml:space="preserve">Tier F - Culture and Communications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900"/>
      </w:tblGrid>
      <w:tr>
        <w:trPr>
          <w:tblHeader/>
        </w:trPr>
        <w:tc>
          <w:tcPr>
            <w:tcW w:type="dxa" w:w="3600"/>
            <w:shd w:fill="1F3864" w:val="clear"/>
            <w:tcMar>
              <w:top w:type="dxa" w:w="60"/>
              <w:left w:type="dxa" w:w="100"/>
              <w:bottom w:type="dxa" w:w="60"/>
              <w:right w:type="dxa" w:w="100"/>
            </w:tcMar>
          </w:tcPr>
          <w:p>
            <w:pPr>
              <w:spacing w:after="40" w:line="260"/>
            </w:pPr>
            <w:r>
              <w:rPr>
                <w:b/>
                <w:bCs/>
                <w:color w:val="FFFFFF"/>
                <w:sz w:val="20"/>
                <w:szCs w:val="20"/>
              </w:rPr>
              <w:t xml:space="preserve">Document</w:t>
            </w:r>
          </w:p>
        </w:tc>
        <w:tc>
          <w:tcPr>
            <w:tcW w:type="dxa" w:w="1500"/>
            <w:shd w:fill="1F3864" w:val="clear"/>
            <w:tcMar>
              <w:top w:type="dxa" w:w="60"/>
              <w:left w:type="dxa" w:w="100"/>
              <w:bottom w:type="dxa" w:w="60"/>
              <w:right w:type="dxa" w:w="100"/>
            </w:tcMar>
          </w:tcPr>
          <w:p>
            <w:pPr>
              <w:spacing w:after="40" w:line="260"/>
            </w:pPr>
            <w:r>
              <w:rPr>
                <w:b/>
                <w:bCs/>
                <w:color w:val="FFFFFF"/>
                <w:sz w:val="20"/>
                <w:szCs w:val="20"/>
              </w:rPr>
              <w:t xml:space="preserve">Status</w:t>
            </w:r>
          </w:p>
        </w:tc>
        <w:tc>
          <w:tcPr>
            <w:tcW w:type="dxa" w:w="4900"/>
            <w:shd w:fill="1F3864" w:val="clear"/>
            <w:tcMar>
              <w:top w:type="dxa" w:w="60"/>
              <w:left w:type="dxa" w:w="100"/>
              <w:bottom w:type="dxa" w:w="60"/>
              <w:right w:type="dxa" w:w="100"/>
            </w:tcMar>
          </w:tcPr>
          <w:p>
            <w:pPr>
              <w:spacing w:after="40" w:line="260"/>
            </w:pPr>
            <w:r>
              <w:rPr>
                <w:b/>
                <w:bCs/>
                <w:color w:val="FFFFFF"/>
                <w:sz w:val="20"/>
                <w:szCs w:val="20"/>
              </w:rPr>
              <w:t xml:space="preserve">Notes</w:t>
            </w:r>
          </w:p>
        </w:tc>
      </w:tr>
      <w:tr>
        <w:tc>
          <w:tcPr>
            <w:tcW w:type="dxa" w:w="3600"/>
            <w:tcMar>
              <w:top w:type="dxa" w:w="60"/>
              <w:left w:type="dxa" w:w="100"/>
              <w:bottom w:type="dxa" w:w="60"/>
              <w:right w:type="dxa" w:w="100"/>
            </w:tcMar>
          </w:tcPr>
          <w:p>
            <w:pPr>
              <w:spacing w:after="40" w:line="260"/>
            </w:pPr>
            <w:r>
              <w:rPr>
                <w:b/>
                <w:bCs/>
                <w:sz w:val="20"/>
                <w:szCs w:val="20"/>
              </w:rPr>
              <w:t xml:space="preserve">F1. In That Order (the book)</w:t>
            </w:r>
          </w:p>
        </w:tc>
        <w:tc>
          <w:tcPr>
            <w:tcW w:type="dxa" w:w="1500"/>
            <w:tcMar>
              <w:top w:type="dxa" w:w="60"/>
              <w:left w:type="dxa" w:w="100"/>
              <w:bottom w:type="dxa" w:w="60"/>
              <w:right w:type="dxa" w:w="100"/>
            </w:tcMar>
          </w:tcPr>
          <w:p>
            <w:pPr>
              <w:spacing w:after="40" w:line="260"/>
            </w:pPr>
            <w:r>
              <w:rPr>
                <w:sz w:val="20"/>
                <w:szCs w:val="20"/>
              </w:rPr>
              <w:t xml:space="preserve">EXISTS (Draft 2)</w:t>
            </w:r>
          </w:p>
        </w:tc>
        <w:tc>
          <w:tcPr>
            <w:tcW w:type="dxa" w:w="4900"/>
            <w:tcMar>
              <w:top w:type="dxa" w:w="60"/>
              <w:left w:type="dxa" w:w="100"/>
              <w:bottom w:type="dxa" w:w="60"/>
              <w:right w:type="dxa" w:w="100"/>
            </w:tcMar>
          </w:tcPr>
          <w:p>
            <w:pPr>
              <w:spacing w:after="40" w:line="260"/>
            </w:pPr>
            <w:r>
              <w:rPr>
                <w:sz w:val="20"/>
                <w:szCs w:val="20"/>
              </w:rPr>
              <w:t xml:space="preserve">The narrative expression of the whole framework - philosophy, stories, and the appendices that seeded Tiers B and D. The guidance suite is the operational master; the book expresses it.</w:t>
            </w:r>
          </w:p>
        </w:tc>
      </w:tr>
      <w:tr>
        <w:tc>
          <w:tcPr>
            <w:tcW w:type="dxa" w:w="3600"/>
            <w:tcMar>
              <w:top w:type="dxa" w:w="60"/>
              <w:left w:type="dxa" w:w="100"/>
              <w:bottom w:type="dxa" w:w="60"/>
              <w:right w:type="dxa" w:w="100"/>
            </w:tcMar>
          </w:tcPr>
          <w:p>
            <w:pPr>
              <w:spacing w:after="40" w:line="260"/>
            </w:pPr>
            <w:r>
              <w:rPr>
                <w:b/>
                <w:bCs/>
                <w:sz w:val="20"/>
                <w:szCs w:val="20"/>
              </w:rPr>
              <w:t xml:space="preserve">F2. Articles, newsletters, DAWG content</w:t>
            </w:r>
          </w:p>
        </w:tc>
        <w:tc>
          <w:tcPr>
            <w:tcW w:type="dxa" w:w="1500"/>
            <w:tcMar>
              <w:top w:type="dxa" w:w="60"/>
              <w:left w:type="dxa" w:w="100"/>
              <w:bottom w:type="dxa" w:w="60"/>
              <w:right w:type="dxa" w:w="100"/>
            </w:tcMar>
          </w:tcPr>
          <w:p>
            <w:pPr>
              <w:spacing w:after="40" w:line="260"/>
            </w:pPr>
            <w:r>
              <w:rPr>
                <w:sz w:val="20"/>
                <w:szCs w:val="20"/>
              </w:rPr>
              <w:t xml:space="preserve">ONGOING</w:t>
            </w:r>
          </w:p>
        </w:tc>
        <w:tc>
          <w:tcPr>
            <w:tcW w:type="dxa" w:w="4900"/>
            <w:tcMar>
              <w:top w:type="dxa" w:w="60"/>
              <w:left w:type="dxa" w:w="100"/>
              <w:bottom w:type="dxa" w:w="60"/>
              <w:right w:type="dxa" w:w="100"/>
            </w:tcMar>
          </w:tcPr>
          <w:p>
            <w:pPr>
              <w:spacing w:after="40" w:line="260"/>
            </w:pPr>
            <w:r>
              <w:rPr>
                <w:sz w:val="20"/>
                <w:szCs w:val="20"/>
              </w:rPr>
              <w:t xml:space="preserve">Short-form derivations from the library - never new doctrine.</w:t>
            </w:r>
          </w:p>
        </w:tc>
      </w:tr>
      <w:tr>
        <w:tc>
          <w:tcPr>
            <w:tcW w:type="dxa" w:w="3600"/>
            <w:tcMar>
              <w:top w:type="dxa" w:w="60"/>
              <w:left w:type="dxa" w:w="100"/>
              <w:bottom w:type="dxa" w:w="60"/>
              <w:right w:type="dxa" w:w="100"/>
            </w:tcMar>
          </w:tcPr>
          <w:p>
            <w:pPr>
              <w:spacing w:after="40" w:line="260"/>
            </w:pPr>
            <w:r>
              <w:rPr>
                <w:b/>
                <w:bCs/>
                <w:sz w:val="20"/>
                <w:szCs w:val="20"/>
              </w:rPr>
              <w:t xml:space="preserve">F3. Lodge presentations</w:t>
            </w:r>
          </w:p>
        </w:tc>
        <w:tc>
          <w:tcPr>
            <w:tcW w:type="dxa" w:w="1500"/>
            <w:tcMar>
              <w:top w:type="dxa" w:w="60"/>
              <w:left w:type="dxa" w:w="100"/>
              <w:bottom w:type="dxa" w:w="60"/>
              <w:right w:type="dxa" w:w="100"/>
            </w:tcMar>
          </w:tcPr>
          <w:p>
            <w:pPr>
              <w:spacing w:after="40" w:line="260"/>
            </w:pPr>
            <w:r>
              <w:rPr>
                <w:sz w:val="20"/>
                <w:szCs w:val="20"/>
              </w:rPr>
              <w:t xml:space="preserve">PLANNED</w:t>
            </w:r>
          </w:p>
        </w:tc>
        <w:tc>
          <w:tcPr>
            <w:tcW w:type="dxa" w:w="4900"/>
            <w:tcMar>
              <w:top w:type="dxa" w:w="60"/>
              <w:left w:type="dxa" w:w="100"/>
              <w:bottom w:type="dxa" w:w="60"/>
              <w:right w:type="dxa" w:w="100"/>
            </w:tcMar>
          </w:tcPr>
          <w:p>
            <w:pPr>
              <w:spacing w:after="40" w:line="260"/>
            </w:pPr>
            <w:r>
              <w:rPr>
                <w:sz w:val="20"/>
                <w:szCs w:val="20"/>
              </w:rPr>
              <w:t xml:space="preserve">A short deck for delivery in open Lodge introducing the framework and the Mentor's role - the 'brief the whole Lodge' duty.</w:t>
            </w:r>
          </w:p>
        </w:tc>
      </w:tr>
    </w:tbl>
    <w:p>
      <w:pPr>
        <w:spacing w:after="160"/>
      </w:pPr>
    </w:p>
    <w:p>
      <w:pPr>
        <w:pStyle w:val="Heading1"/>
        <w:spacing w:after="160" w:before="360"/>
      </w:pPr>
      <w:r>
        <w:t xml:space="preserve">7. The Document Map - Journey Stage by Audience</w:t>
      </w:r>
    </w:p>
    <w:p>
      <w:pPr>
        <w:spacing w:after="140" w:line="300"/>
        <w:jc w:val="both"/>
      </w:pPr>
      <w:r>
        <w:t xml:space="preserve">How the tiers cover the journey. Reading down a column shows everything supporting a member at that stage; reading across a row shows a document's span.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100"/>
        <w:gridCol w:w="3500"/>
        <w:gridCol w:w="3100"/>
      </w:tblGrid>
      <w:tr>
        <w:trPr>
          <w:tblHeader/>
        </w:trPr>
        <w:tc>
          <w:tcPr>
            <w:tcW w:type="dxa" w:w="3100"/>
            <w:shd w:fill="1F3864" w:val="clear"/>
            <w:tcMar>
              <w:top w:type="dxa" w:w="60"/>
              <w:left w:type="dxa" w:w="100"/>
              <w:bottom w:type="dxa" w:w="60"/>
              <w:right w:type="dxa" w:w="100"/>
            </w:tcMar>
          </w:tcPr>
          <w:p>
            <w:pPr>
              <w:spacing w:after="40" w:line="260"/>
            </w:pPr>
            <w:r>
              <w:rPr>
                <w:b/>
                <w:bCs/>
                <w:color w:val="FFFFFF"/>
                <w:sz w:val="20"/>
                <w:szCs w:val="20"/>
              </w:rPr>
              <w:t xml:space="preserve">Journey stage</w:t>
            </w:r>
          </w:p>
        </w:tc>
        <w:tc>
          <w:tcPr>
            <w:tcW w:type="dxa" w:w="3500"/>
            <w:shd w:fill="1F3864" w:val="clear"/>
            <w:tcMar>
              <w:top w:type="dxa" w:w="60"/>
              <w:left w:type="dxa" w:w="100"/>
              <w:bottom w:type="dxa" w:w="60"/>
              <w:right w:type="dxa" w:w="100"/>
            </w:tcMar>
          </w:tcPr>
          <w:p>
            <w:pPr>
              <w:spacing w:after="40" w:line="260"/>
            </w:pPr>
            <w:r>
              <w:rPr>
                <w:b/>
                <w:bCs/>
                <w:color w:val="FFFFFF"/>
                <w:sz w:val="20"/>
                <w:szCs w:val="20"/>
              </w:rPr>
              <w:t xml:space="preserve">Member-facing</w:t>
            </w:r>
          </w:p>
        </w:tc>
        <w:tc>
          <w:tcPr>
            <w:tcW w:type="dxa" w:w="3100"/>
            <w:shd w:fill="1F3864" w:val="clear"/>
            <w:tcMar>
              <w:top w:type="dxa" w:w="60"/>
              <w:left w:type="dxa" w:w="100"/>
              <w:bottom w:type="dxa" w:w="60"/>
              <w:right w:type="dxa" w:w="100"/>
            </w:tcMar>
          </w:tcPr>
          <w:p>
            <w:pPr>
              <w:spacing w:after="40" w:line="260"/>
            </w:pPr>
            <w:r>
              <w:rPr>
                <w:b/>
                <w:bCs/>
                <w:color w:val="FFFFFF"/>
                <w:sz w:val="20"/>
                <w:szCs w:val="20"/>
              </w:rPr>
              <w:t xml:space="preserve">Mentor-facing</w:t>
            </w:r>
          </w:p>
        </w:tc>
      </w:tr>
      <w:tr>
        <w:tc>
          <w:tcPr>
            <w:tcW w:type="dxa" w:w="3100"/>
            <w:tcMar>
              <w:top w:type="dxa" w:w="60"/>
              <w:left w:type="dxa" w:w="100"/>
              <w:bottom w:type="dxa" w:w="60"/>
              <w:right w:type="dxa" w:w="100"/>
            </w:tcMar>
          </w:tcPr>
          <w:p>
            <w:pPr>
              <w:spacing w:after="40" w:line="260"/>
            </w:pPr>
            <w:r>
              <w:rPr>
                <w:b/>
                <w:bCs/>
                <w:sz w:val="20"/>
                <w:szCs w:val="20"/>
              </w:rPr>
              <w:t xml:space="preserve">1-2  Enquiry to Initiation</w:t>
            </w:r>
          </w:p>
        </w:tc>
        <w:tc>
          <w:tcPr>
            <w:tcW w:type="dxa" w:w="3500"/>
            <w:tcMar>
              <w:top w:type="dxa" w:w="60"/>
              <w:left w:type="dxa" w:w="100"/>
              <w:bottom w:type="dxa" w:w="60"/>
              <w:right w:type="dxa" w:w="100"/>
            </w:tcMar>
          </w:tcPr>
          <w:p>
            <w:pPr>
              <w:spacing w:after="40" w:line="260"/>
            </w:pPr>
            <w:r>
              <w:rPr>
                <w:sz w:val="20"/>
                <w:szCs w:val="20"/>
              </w:rPr>
              <w:t xml:space="preserve">C1 Candidate's Guide</w:t>
            </w:r>
          </w:p>
        </w:tc>
        <w:tc>
          <w:tcPr>
            <w:tcW w:type="dxa" w:w="3100"/>
            <w:tcMar>
              <w:top w:type="dxa" w:w="60"/>
              <w:left w:type="dxa" w:w="100"/>
              <w:bottom w:type="dxa" w:w="60"/>
              <w:right w:type="dxa" w:w="100"/>
            </w:tcMar>
          </w:tcPr>
          <w:p>
            <w:pPr>
              <w:spacing w:after="40" w:line="260"/>
            </w:pPr>
            <w:r>
              <w:rPr>
                <w:sz w:val="20"/>
                <w:szCs w:val="20"/>
              </w:rPr>
              <w:t xml:space="preserve">B1, B2, D1 Stage 1, D3 Initiation checklist</w:t>
            </w:r>
          </w:p>
        </w:tc>
      </w:tr>
      <w:tr>
        <w:tc>
          <w:tcPr>
            <w:tcW w:type="dxa" w:w="3100"/>
            <w:tcMar>
              <w:top w:type="dxa" w:w="60"/>
              <w:left w:type="dxa" w:w="100"/>
              <w:bottom w:type="dxa" w:w="60"/>
              <w:right w:type="dxa" w:w="100"/>
            </w:tcMar>
          </w:tcPr>
          <w:p>
            <w:pPr>
              <w:spacing w:after="40" w:line="260"/>
            </w:pPr>
            <w:r>
              <w:rPr>
                <w:b/>
                <w:bCs/>
                <w:sz w:val="20"/>
                <w:szCs w:val="20"/>
              </w:rPr>
              <w:t xml:space="preserve">3  Entered Apprentice</w:t>
            </w:r>
          </w:p>
        </w:tc>
        <w:tc>
          <w:tcPr>
            <w:tcW w:type="dxa" w:w="3500"/>
            <w:tcMar>
              <w:top w:type="dxa" w:w="60"/>
              <w:left w:type="dxa" w:w="100"/>
              <w:bottom w:type="dxa" w:w="60"/>
              <w:right w:type="dxa" w:w="100"/>
            </w:tcMar>
          </w:tcPr>
          <w:p>
            <w:pPr>
              <w:spacing w:after="40" w:line="260"/>
            </w:pPr>
            <w:r>
              <w:rPr>
                <w:sz w:val="20"/>
                <w:szCs w:val="20"/>
              </w:rPr>
              <w:t xml:space="preserve">C2 New Brother's Guide, D5 journal</w:t>
            </w:r>
          </w:p>
        </w:tc>
        <w:tc>
          <w:tcPr>
            <w:tcW w:type="dxa" w:w="3100"/>
            <w:tcMar>
              <w:top w:type="dxa" w:w="60"/>
              <w:left w:type="dxa" w:w="100"/>
              <w:bottom w:type="dxa" w:w="60"/>
              <w:right w:type="dxa" w:w="100"/>
            </w:tcMar>
          </w:tcPr>
          <w:p>
            <w:pPr>
              <w:spacing w:after="40" w:line="260"/>
            </w:pPr>
            <w:r>
              <w:rPr>
                <w:sz w:val="20"/>
                <w:szCs w:val="20"/>
              </w:rPr>
              <w:t xml:space="preserve">B1, B2, D1 Stage 2, D2, D3 second-meeting checklist</w:t>
            </w:r>
          </w:p>
        </w:tc>
      </w:tr>
      <w:tr>
        <w:tc>
          <w:tcPr>
            <w:tcW w:type="dxa" w:w="3100"/>
            <w:tcMar>
              <w:top w:type="dxa" w:w="60"/>
              <w:left w:type="dxa" w:w="100"/>
              <w:bottom w:type="dxa" w:w="60"/>
              <w:right w:type="dxa" w:w="100"/>
            </w:tcMar>
          </w:tcPr>
          <w:p>
            <w:pPr>
              <w:spacing w:after="40" w:line="260"/>
            </w:pPr>
            <w:r>
              <w:rPr>
                <w:b/>
                <w:bCs/>
                <w:sz w:val="20"/>
                <w:szCs w:val="20"/>
              </w:rPr>
              <w:t xml:space="preserve">4  Fellow Craft</w:t>
            </w:r>
          </w:p>
        </w:tc>
        <w:tc>
          <w:tcPr>
            <w:tcW w:type="dxa" w:w="3500"/>
            <w:tcMar>
              <w:top w:type="dxa" w:w="60"/>
              <w:left w:type="dxa" w:w="100"/>
              <w:bottom w:type="dxa" w:w="60"/>
              <w:right w:type="dxa" w:w="100"/>
            </w:tcMar>
          </w:tcPr>
          <w:p>
            <w:pPr>
              <w:spacing w:after="40" w:line="260"/>
            </w:pPr>
            <w:r>
              <w:rPr>
                <w:sz w:val="20"/>
                <w:szCs w:val="20"/>
              </w:rPr>
              <w:t xml:space="preserve">C3 Companion, D5</w:t>
            </w:r>
          </w:p>
        </w:tc>
        <w:tc>
          <w:tcPr>
            <w:tcW w:type="dxa" w:w="3100"/>
            <w:tcMar>
              <w:top w:type="dxa" w:w="60"/>
              <w:left w:type="dxa" w:w="100"/>
              <w:bottom w:type="dxa" w:w="60"/>
              <w:right w:type="dxa" w:w="100"/>
            </w:tcMar>
          </w:tcPr>
          <w:p>
            <w:pPr>
              <w:spacing w:after="40" w:line="260"/>
            </w:pPr>
            <w:r>
              <w:rPr>
                <w:sz w:val="20"/>
                <w:szCs w:val="20"/>
              </w:rPr>
              <w:t xml:space="preserve">B1, B2, D1 Stage 3, D2</w:t>
            </w:r>
          </w:p>
        </w:tc>
      </w:tr>
      <w:tr>
        <w:tc>
          <w:tcPr>
            <w:tcW w:type="dxa" w:w="3100"/>
            <w:tcMar>
              <w:top w:type="dxa" w:w="60"/>
              <w:left w:type="dxa" w:w="100"/>
              <w:bottom w:type="dxa" w:w="60"/>
              <w:right w:type="dxa" w:w="100"/>
            </w:tcMar>
          </w:tcPr>
          <w:p>
            <w:pPr>
              <w:spacing w:after="40" w:line="260"/>
            </w:pPr>
            <w:r>
              <w:rPr>
                <w:b/>
                <w:bCs/>
                <w:sz w:val="20"/>
                <w:szCs w:val="20"/>
              </w:rPr>
              <w:t xml:space="preserve">5  Master Mason</w:t>
            </w:r>
          </w:p>
        </w:tc>
        <w:tc>
          <w:tcPr>
            <w:tcW w:type="dxa" w:w="3500"/>
            <w:tcMar>
              <w:top w:type="dxa" w:w="60"/>
              <w:left w:type="dxa" w:w="100"/>
              <w:bottom w:type="dxa" w:w="60"/>
              <w:right w:type="dxa" w:w="100"/>
            </w:tcMar>
          </w:tcPr>
          <w:p>
            <w:pPr>
              <w:spacing w:after="40" w:line="260"/>
            </w:pPr>
            <w:r>
              <w:rPr>
                <w:sz w:val="20"/>
                <w:szCs w:val="20"/>
              </w:rPr>
              <w:t xml:space="preserve">C4 Companion, D5</w:t>
            </w:r>
          </w:p>
        </w:tc>
        <w:tc>
          <w:tcPr>
            <w:tcW w:type="dxa" w:w="3100"/>
            <w:tcMar>
              <w:top w:type="dxa" w:w="60"/>
              <w:left w:type="dxa" w:w="100"/>
              <w:bottom w:type="dxa" w:w="60"/>
              <w:right w:type="dxa" w:w="100"/>
            </w:tcMar>
          </w:tcPr>
          <w:p>
            <w:pPr>
              <w:spacing w:after="40" w:line="260"/>
            </w:pPr>
            <w:r>
              <w:rPr>
                <w:sz w:val="20"/>
                <w:szCs w:val="20"/>
              </w:rPr>
              <w:t xml:space="preserve">B1, B2, D1 Stage 4, D2</w:t>
            </w:r>
          </w:p>
        </w:tc>
      </w:tr>
      <w:tr>
        <w:tc>
          <w:tcPr>
            <w:tcW w:type="dxa" w:w="3100"/>
            <w:tcMar>
              <w:top w:type="dxa" w:w="60"/>
              <w:left w:type="dxa" w:w="100"/>
              <w:bottom w:type="dxa" w:w="60"/>
              <w:right w:type="dxa" w:w="100"/>
            </w:tcMar>
          </w:tcPr>
          <w:p>
            <w:pPr>
              <w:spacing w:after="40" w:line="260"/>
            </w:pPr>
            <w:r>
              <w:rPr>
                <w:b/>
                <w:bCs/>
                <w:sz w:val="20"/>
                <w:szCs w:val="20"/>
              </w:rPr>
              <w:t xml:space="preserve">6  Royal Arch (One Journey)</w:t>
            </w:r>
          </w:p>
        </w:tc>
        <w:tc>
          <w:tcPr>
            <w:tcW w:type="dxa" w:w="3500"/>
            <w:tcMar>
              <w:top w:type="dxa" w:w="60"/>
              <w:left w:type="dxa" w:w="100"/>
              <w:bottom w:type="dxa" w:w="60"/>
              <w:right w:type="dxa" w:w="100"/>
            </w:tcMar>
          </w:tcPr>
          <w:p>
            <w:pPr>
              <w:spacing w:after="40" w:line="260"/>
            </w:pPr>
            <w:r>
              <w:rPr>
                <w:sz w:val="20"/>
                <w:szCs w:val="20"/>
              </w:rPr>
              <w:t xml:space="preserve">C5 Companion</w:t>
            </w:r>
          </w:p>
        </w:tc>
        <w:tc>
          <w:tcPr>
            <w:tcW w:type="dxa" w:w="3100"/>
            <w:tcMar>
              <w:top w:type="dxa" w:w="60"/>
              <w:left w:type="dxa" w:w="100"/>
              <w:bottom w:type="dxa" w:w="60"/>
              <w:right w:type="dxa" w:w="100"/>
            </w:tcMar>
          </w:tcPr>
          <w:p>
            <w:pPr>
              <w:spacing w:after="40" w:line="260"/>
            </w:pPr>
            <w:r>
              <w:rPr>
                <w:sz w:val="20"/>
                <w:szCs w:val="20"/>
              </w:rPr>
              <w:t xml:space="preserve">B5, D1 Stage 4 (RA items)</w:t>
            </w:r>
          </w:p>
        </w:tc>
      </w:tr>
      <w:tr>
        <w:tc>
          <w:tcPr>
            <w:tcW w:type="dxa" w:w="3100"/>
            <w:tcMar>
              <w:top w:type="dxa" w:w="60"/>
              <w:left w:type="dxa" w:w="100"/>
              <w:bottom w:type="dxa" w:w="60"/>
              <w:right w:type="dxa" w:w="100"/>
            </w:tcMar>
          </w:tcPr>
          <w:p>
            <w:pPr>
              <w:spacing w:after="40" w:line="260"/>
            </w:pPr>
            <w:r>
              <w:rPr>
                <w:b/>
                <w:bCs/>
                <w:sz w:val="20"/>
                <w:szCs w:val="20"/>
              </w:rPr>
              <w:t xml:space="preserve">7-8  Office and the Chair</w:t>
            </w:r>
          </w:p>
        </w:tc>
        <w:tc>
          <w:tcPr>
            <w:tcW w:type="dxa" w:w="3500"/>
            <w:tcMar>
              <w:top w:type="dxa" w:w="60"/>
              <w:left w:type="dxa" w:w="100"/>
              <w:bottom w:type="dxa" w:w="60"/>
              <w:right w:type="dxa" w:w="100"/>
            </w:tcMar>
          </w:tcPr>
          <w:p>
            <w:pPr>
              <w:spacing w:after="40" w:line="260"/>
            </w:pPr>
            <w:r>
              <w:rPr>
                <w:sz w:val="20"/>
                <w:szCs w:val="20"/>
              </w:rPr>
              <w:t xml:space="preserve">C6</w:t>
            </w:r>
          </w:p>
        </w:tc>
        <w:tc>
          <w:tcPr>
            <w:tcW w:type="dxa" w:w="3100"/>
            <w:tcMar>
              <w:top w:type="dxa" w:w="60"/>
              <w:left w:type="dxa" w:w="100"/>
              <w:bottom w:type="dxa" w:w="60"/>
              <w:right w:type="dxa" w:w="100"/>
            </w:tcMar>
          </w:tcPr>
          <w:p>
            <w:pPr>
              <w:spacing w:after="40" w:line="260"/>
            </w:pPr>
            <w:r>
              <w:rPr>
                <w:sz w:val="20"/>
                <w:szCs w:val="20"/>
              </w:rPr>
              <w:t xml:space="preserve">B4, D1 Stages 5-6</w:t>
            </w:r>
          </w:p>
        </w:tc>
      </w:tr>
      <w:tr>
        <w:tc>
          <w:tcPr>
            <w:tcW w:type="dxa" w:w="3100"/>
            <w:tcMar>
              <w:top w:type="dxa" w:w="60"/>
              <w:left w:type="dxa" w:w="100"/>
              <w:bottom w:type="dxa" w:w="60"/>
              <w:right w:type="dxa" w:w="100"/>
            </w:tcMar>
          </w:tcPr>
          <w:p>
            <w:pPr>
              <w:spacing w:after="40" w:line="260"/>
            </w:pPr>
            <w:r>
              <w:rPr>
                <w:b/>
                <w:bCs/>
                <w:sz w:val="20"/>
                <w:szCs w:val="20"/>
              </w:rPr>
              <w:t xml:space="preserve">9  Beyond the Chair</w:t>
            </w:r>
          </w:p>
        </w:tc>
        <w:tc>
          <w:tcPr>
            <w:tcW w:type="dxa" w:w="3500"/>
            <w:tcMar>
              <w:top w:type="dxa" w:w="60"/>
              <w:left w:type="dxa" w:w="100"/>
              <w:bottom w:type="dxa" w:w="60"/>
              <w:right w:type="dxa" w:w="100"/>
            </w:tcMar>
          </w:tcPr>
          <w:p>
            <w:pPr>
              <w:spacing w:after="40" w:line="260"/>
            </w:pPr>
            <w:r>
              <w:rPr>
                <w:sz w:val="20"/>
                <w:szCs w:val="20"/>
              </w:rPr>
              <w:t xml:space="preserve">C6</w:t>
            </w:r>
          </w:p>
        </w:tc>
        <w:tc>
          <w:tcPr>
            <w:tcW w:type="dxa" w:w="3100"/>
            <w:tcMar>
              <w:top w:type="dxa" w:w="60"/>
              <w:left w:type="dxa" w:w="100"/>
              <w:bottom w:type="dxa" w:w="60"/>
              <w:right w:type="dxa" w:w="100"/>
            </w:tcMar>
          </w:tcPr>
          <w:p>
            <w:pPr>
              <w:spacing w:after="40" w:line="260"/>
            </w:pPr>
            <w:r>
              <w:rPr>
                <w:sz w:val="20"/>
                <w:szCs w:val="20"/>
              </w:rPr>
              <w:t xml:space="preserve">B4, D1 Stage 7</w:t>
            </w:r>
          </w:p>
        </w:tc>
      </w:tr>
      <w:tr>
        <w:tc>
          <w:tcPr>
            <w:tcW w:type="dxa" w:w="3100"/>
            <w:tcMar>
              <w:top w:type="dxa" w:w="60"/>
              <w:left w:type="dxa" w:w="100"/>
              <w:bottom w:type="dxa" w:w="60"/>
              <w:right w:type="dxa" w:w="100"/>
            </w:tcMar>
          </w:tcPr>
          <w:p>
            <w:pPr>
              <w:spacing w:after="40" w:line="260"/>
            </w:pPr>
            <w:r>
              <w:rPr>
                <w:b/>
                <w:bCs/>
                <w:sz w:val="20"/>
                <w:szCs w:val="20"/>
              </w:rPr>
              <w:t xml:space="preserve">A  At risk / B  Relocation</w:t>
            </w:r>
          </w:p>
        </w:tc>
        <w:tc>
          <w:tcPr>
            <w:tcW w:type="dxa" w:w="3500"/>
            <w:tcMar>
              <w:top w:type="dxa" w:w="60"/>
              <w:left w:type="dxa" w:w="100"/>
              <w:bottom w:type="dxa" w:w="60"/>
              <w:right w:type="dxa" w:w="100"/>
            </w:tcMar>
          </w:tcPr>
          <w:p>
            <w:pPr>
              <w:spacing w:after="40" w:line="260"/>
            </w:pPr>
            <w:r>
              <w:rPr>
                <w:sz w:val="20"/>
                <w:szCs w:val="20"/>
              </w:rPr>
              <w:t xml:space="preserve"> - </w:t>
            </w:r>
          </w:p>
        </w:tc>
        <w:tc>
          <w:tcPr>
            <w:tcW w:type="dxa" w:w="3100"/>
            <w:tcMar>
              <w:top w:type="dxa" w:w="60"/>
              <w:left w:type="dxa" w:w="100"/>
              <w:bottom w:type="dxa" w:w="60"/>
              <w:right w:type="dxa" w:w="100"/>
            </w:tcMar>
          </w:tcPr>
          <w:p>
            <w:pPr>
              <w:spacing w:after="40" w:line="260"/>
            </w:pPr>
            <w:r>
              <w:rPr>
                <w:sz w:val="20"/>
                <w:szCs w:val="20"/>
              </w:rPr>
              <w:t xml:space="preserve">B6, D4</w:t>
            </w:r>
          </w:p>
        </w:tc>
      </w:tr>
      <w:tr>
        <w:tc>
          <w:tcPr>
            <w:tcW w:type="dxa" w:w="3100"/>
            <w:tcMar>
              <w:top w:type="dxa" w:w="60"/>
              <w:left w:type="dxa" w:w="100"/>
              <w:bottom w:type="dxa" w:w="60"/>
              <w:right w:type="dxa" w:w="100"/>
            </w:tcMar>
          </w:tcPr>
          <w:p>
            <w:pPr>
              <w:spacing w:after="40" w:line="260"/>
            </w:pPr>
            <w:r>
              <w:rPr>
                <w:b/>
                <w:bCs/>
                <w:sz w:val="20"/>
                <w:szCs w:val="20"/>
              </w:rPr>
              <w:t xml:space="preserve">All stages</w:t>
            </w:r>
          </w:p>
        </w:tc>
        <w:tc>
          <w:tcPr>
            <w:tcW w:type="dxa" w:w="3500"/>
            <w:tcMar>
              <w:top w:type="dxa" w:w="60"/>
              <w:left w:type="dxa" w:w="100"/>
              <w:bottom w:type="dxa" w:w="60"/>
              <w:right w:type="dxa" w:w="100"/>
            </w:tcMar>
          </w:tcPr>
          <w:p>
            <w:pPr>
              <w:spacing w:after="40" w:line="260"/>
            </w:pPr>
            <w:r>
              <w:rPr>
                <w:sz w:val="20"/>
                <w:szCs w:val="20"/>
              </w:rPr>
              <w:t xml:space="preserve">F1 the book, F2</w:t>
            </w:r>
          </w:p>
        </w:tc>
        <w:tc>
          <w:tcPr>
            <w:tcW w:type="dxa" w:w="3100"/>
            <w:tcMar>
              <w:top w:type="dxa" w:w="60"/>
              <w:left w:type="dxa" w:w="100"/>
              <w:bottom w:type="dxa" w:w="60"/>
              <w:right w:type="dxa" w:w="100"/>
            </w:tcMar>
          </w:tcPr>
          <w:p>
            <w:pPr>
              <w:spacing w:after="40" w:line="260"/>
            </w:pPr>
            <w:r>
              <w:rPr>
                <w:sz w:val="20"/>
                <w:szCs w:val="20"/>
              </w:rPr>
              <w:t xml:space="preserve">A1-A3 canon, B3, E1-E4, F3</w:t>
            </w:r>
          </w:p>
        </w:tc>
      </w:tr>
    </w:tbl>
    <w:p>
      <w:pPr>
        <w:spacing w:after="160"/>
      </w:pPr>
    </w:p>
    <w:p>
      <w:pPr>
        <w:spacing w:after="140" w:line="300"/>
        <w:jc w:val="both"/>
      </w:pPr>
      <w:r>
        <w:t xml:space="preserve">Every cell traces back to Tier A. Nothing states the principles, the journey stages, the titles or the terminology independently.</w:t>
      </w:r>
    </w:p>
    <w:p>
      <w:pPr>
        <w:pStyle w:val="Heading1"/>
        <w:spacing w:after="160" w:before="360"/>
      </w:pPr>
      <w:r>
        <w:t xml:space="preserve">8. Consistency Standards</w:t>
      </w:r>
    </w:p>
    <w:p>
      <w:pPr>
        <w:pStyle w:val="ListParagraph"/>
        <w:numPr>
          <w:ilvl w:val="0"/>
          <w:numId w:val="2"/>
        </w:numPr>
        <w:spacing w:after="80" w:line="280"/>
      </w:pPr>
      <w:r>
        <w:rPr>
          <w:b/>
          <w:bCs/>
        </w:rPr>
        <w:t xml:space="preserve">One owner per topic. </w:t>
      </w:r>
      <w:r>
        <w:t xml:space="preserve">Each subject (warning signs, migration, One Journey, learning) has exactly one owner-document; everything else cross-refers. Duplication is how the current suite drifted.</w:t>
      </w:r>
    </w:p>
    <w:p>
      <w:pPr>
        <w:pStyle w:val="ListParagraph"/>
        <w:numPr>
          <w:ilvl w:val="0"/>
          <w:numId w:val="2"/>
        </w:numPr>
        <w:spacing w:after="80" w:line="280"/>
      </w:pPr>
      <w:r>
        <w:rPr>
          <w:b/>
          <w:bCs/>
        </w:rPr>
        <w:t xml:space="preserve">Quote the canon. </w:t>
      </w:r>
      <w:r>
        <w:t xml:space="preserve">The four principles, the vision sentence and the Jewel address are quoted verbatim from Tier A, never paraphrased.</w:t>
      </w:r>
    </w:p>
    <w:p>
      <w:pPr>
        <w:pStyle w:val="ListParagraph"/>
        <w:numPr>
          <w:ilvl w:val="0"/>
          <w:numId w:val="2"/>
        </w:numPr>
        <w:spacing w:after="80" w:line="280"/>
      </w:pPr>
      <w:r>
        <w:rPr>
          <w:b/>
          <w:bCs/>
        </w:rPr>
        <w:t xml:space="preserve">Provincial house style. </w:t>
      </w:r>
      <w:r>
        <w:t xml:space="preserve">Cover with 'Issue n, Month Year'; revision history; contents page; abbreviations table; 'working with…' sections; Provincial Office contact block; British English throughout.</w:t>
      </w:r>
    </w:p>
    <w:p>
      <w:pPr>
        <w:pStyle w:val="ListParagraph"/>
        <w:numPr>
          <w:ilvl w:val="0"/>
          <w:numId w:val="2"/>
        </w:numPr>
        <w:spacing w:after="80" w:line="280"/>
      </w:pPr>
      <w:r>
        <w:rPr>
          <w:b/>
          <w:bCs/>
        </w:rPr>
        <w:t xml:space="preserve">Never reveal ritual. </w:t>
      </w:r>
      <w:r>
        <w:t xml:space="preserve">Member-facing guides prepare without spoiling; no test questions, obligations or ceremony text are reproduced (a stricter standard than some external sources in the knowledge base).</w:t>
      </w:r>
    </w:p>
    <w:p>
      <w:pPr>
        <w:pStyle w:val="ListParagraph"/>
        <w:numPr>
          <w:ilvl w:val="0"/>
          <w:numId w:val="2"/>
        </w:numPr>
        <w:spacing w:after="80" w:line="280"/>
      </w:pPr>
      <w:r>
        <w:rPr>
          <w:b/>
          <w:bCs/>
        </w:rPr>
        <w:t xml:space="preserve">Warm, practical, member-centred voice. </w:t>
      </w:r>
      <w:r>
        <w:t xml:space="preserve">Reassurance before information; stories before rules; checklists a mentor can use tonight. No management jargon.</w:t>
      </w:r>
    </w:p>
    <w:p>
      <w:pPr>
        <w:pStyle w:val="ListParagraph"/>
        <w:numPr>
          <w:ilvl w:val="0"/>
          <w:numId w:val="2"/>
        </w:numPr>
        <w:spacing w:after="80" w:line="280"/>
      </w:pPr>
      <w:r>
        <w:rPr>
          <w:b/>
          <w:bCs/>
        </w:rPr>
        <w:t xml:space="preserve">Credit and localise external ideas. </w:t>
      </w:r>
      <w:r>
        <w:t xml:space="preserve">Borrowed concepts are acknowledged and rewritten for Hertfordshire - never lifted.</w:t>
      </w:r>
    </w:p>
    <w:p>
      <w:pPr>
        <w:pStyle w:val="ListParagraph"/>
        <w:numPr>
          <w:ilvl w:val="0"/>
          <w:numId w:val="2"/>
        </w:numPr>
        <w:spacing w:after="80" w:line="280"/>
      </w:pPr>
      <w:r>
        <w:rPr>
          <w:b/>
          <w:bCs/>
        </w:rPr>
        <w:t xml:space="preserve">Anchor to Building Together. </w:t>
      </w:r>
      <w:r>
        <w:t xml:space="preserve">UGLE's current national framing (confirmed July 2026) - mentoring owns the ENGAGE theme. Date-verify other external dependencies (Hermes processes, Archway) at every issue.</w:t>
      </w:r>
    </w:p>
    <w:p>
      <w:pPr>
        <w:pStyle w:val="Heading1"/>
        <w:spacing w:after="160" w:before="360"/>
      </w:pPr>
      <w:r>
        <w:t xml:space="preserve">9. Build Sequence</w:t>
      </w:r>
    </w:p>
    <w:p>
      <w:pPr>
        <w:spacing w:after="140" w:line="300"/>
        <w:jc w:val="both"/>
      </w:pPr>
      <w:r>
        <w:t xml:space="preserve">Four phases, each producing usable output. Nothing in a later phase blocks on more than the phase before it.</w:t>
      </w:r>
    </w:p>
    <w:p>
      <w:pPr>
        <w:pStyle w:val="Heading3"/>
        <w:spacing w:after="100" w:before="220"/>
      </w:pPr>
      <w:r>
        <w:t xml:space="preserve">Phase 0 - Settle the canon (immediately)</w:t>
      </w:r>
    </w:p>
    <w:p>
      <w:pPr>
        <w:pStyle w:val="ListParagraph"/>
        <w:numPr>
          <w:ilvl w:val="0"/>
          <w:numId w:val="2"/>
        </w:numPr>
        <w:spacing w:after="80" w:line="280"/>
      </w:pPr>
      <w:r>
        <w:t xml:space="preserve">Take the seven decisions listed in the Knowledge Base Analysis §11.</w:t>
      </w:r>
    </w:p>
    <w:p>
      <w:pPr>
        <w:pStyle w:val="ListParagraph"/>
        <w:numPr>
          <w:ilvl w:val="0"/>
          <w:numId w:val="2"/>
        </w:numPr>
        <w:spacing w:after="80" w:line="280"/>
      </w:pPr>
      <w:r>
        <w:t xml:space="preserve">Write A1 (The Hertfordshire Mentoring Principles, one page) and A3 (Style, Terminology and Data Guide).</w:t>
      </w:r>
    </w:p>
    <w:p>
      <w:pPr>
        <w:pStyle w:val="ListParagraph"/>
        <w:numPr>
          <w:ilvl w:val="0"/>
          <w:numId w:val="2"/>
        </w:numPr>
        <w:spacing w:after="80" w:line="280"/>
      </w:pPr>
      <w:r>
        <w:t xml:space="preserve">Issue corrections list for A2, B1, D1 and D6 (applied at their next issues - no emergency reprints).</w:t>
      </w:r>
    </w:p>
    <w:p>
      <w:pPr>
        <w:pStyle w:val="Heading3"/>
        <w:spacing w:after="100" w:before="220"/>
      </w:pPr>
      <w:r>
        <w:t xml:space="preserve">Phase 1 - Close the referenced gaps (the working core)</w:t>
      </w:r>
    </w:p>
    <w:p>
      <w:pPr>
        <w:pStyle w:val="ListParagraph"/>
        <w:numPr>
          <w:ilvl w:val="0"/>
          <w:numId w:val="2"/>
        </w:numPr>
        <w:spacing w:after="80" w:line="280"/>
      </w:pPr>
      <w:r>
        <w:t xml:space="preserve">B2 Personal Mentor's Guide - ingest the existing Issue 1 into the knowledge base, align it with the canon and correct its foreword.</w:t>
      </w:r>
    </w:p>
    <w:p>
      <w:pPr>
        <w:pStyle w:val="ListParagraph"/>
        <w:numPr>
          <w:ilvl w:val="0"/>
          <w:numId w:val="2"/>
        </w:numPr>
        <w:spacing w:after="80" w:line="280"/>
      </w:pPr>
      <w:r>
        <w:t xml:space="preserve">D2 Mentor Meeting Guide and D3 stage checklists - extracted from existing material, quick wins.</w:t>
      </w:r>
    </w:p>
    <w:p>
      <w:pPr>
        <w:pStyle w:val="ListParagraph"/>
        <w:numPr>
          <w:ilvl w:val="0"/>
          <w:numId w:val="2"/>
        </w:numPr>
        <w:spacing w:after="80" w:line="280"/>
      </w:pPr>
      <w:r>
        <w:t xml:space="preserve">D4 warning-signs card; B6 Retention, Retrieval and Migration Guide.</w:t>
      </w:r>
    </w:p>
    <w:p>
      <w:pPr>
        <w:pStyle w:val="Heading3"/>
        <w:spacing w:after="100" w:before="220"/>
      </w:pPr>
      <w:r>
        <w:t xml:space="preserve">Phase 2 - Reach the member and train the mentors</w:t>
      </w:r>
    </w:p>
    <w:p>
      <w:pPr>
        <w:pStyle w:val="ListParagraph"/>
        <w:numPr>
          <w:ilvl w:val="0"/>
          <w:numId w:val="2"/>
        </w:numPr>
        <w:spacing w:after="80" w:line="280"/>
      </w:pPr>
      <w:r>
        <w:t xml:space="preserve">C1 Candidate's Guide and C2 New Brother's Guide (the highest-risk stages first).</w:t>
      </w:r>
    </w:p>
    <w:p>
      <w:pPr>
        <w:pStyle w:val="ListParagraph"/>
        <w:numPr>
          <w:ilvl w:val="0"/>
          <w:numId w:val="2"/>
        </w:numPr>
        <w:spacing w:after="80" w:line="280"/>
      </w:pPr>
      <w:r>
        <w:t xml:space="preserve">E1 Lodge Mentor induction (with the appointment charge) and E2 Personal Mentor skills workshop; F3 Lodge presentation.</w:t>
      </w:r>
    </w:p>
    <w:p>
      <w:pPr>
        <w:pStyle w:val="Heading3"/>
        <w:spacing w:after="100" w:before="220"/>
      </w:pPr>
      <w:r>
        <w:t xml:space="preserve">Phase 3 - Complete the journey</w:t>
      </w:r>
    </w:p>
    <w:p>
      <w:pPr>
        <w:pStyle w:val="ListParagraph"/>
        <w:numPr>
          <w:ilvl w:val="0"/>
          <w:numId w:val="2"/>
        </w:numPr>
        <w:spacing w:after="80" w:line="280"/>
      </w:pPr>
      <w:r>
        <w:t xml:space="preserve">C3-C6 remaining member guides; B4 Officer and Experienced Mason Guide; B5 Royal Arch Mentoring Guide (with Provincial Grand Chapter); B3 Provincial Mentor Handbook.</w:t>
      </w:r>
    </w:p>
    <w:p>
      <w:pPr>
        <w:pStyle w:val="Heading3"/>
        <w:spacing w:after="100" w:before="220"/>
      </w:pPr>
      <w:r>
        <w:t xml:space="preserve">Phase 4 - Deepen and publish</w:t>
      </w:r>
    </w:p>
    <w:p>
      <w:pPr>
        <w:pStyle w:val="ListParagraph"/>
        <w:numPr>
          <w:ilvl w:val="0"/>
          <w:numId w:val="2"/>
        </w:numPr>
        <w:spacing w:after="80" w:line="280"/>
      </w:pPr>
      <w:r>
        <w:t xml:space="preserve">E3 competency framework and E4 case studies; D5 reflection journals; measures embedded in the annual report.</w:t>
      </w:r>
    </w:p>
    <w:p>
      <w:pPr>
        <w:pStyle w:val="ListParagraph"/>
        <w:numPr>
          <w:ilvl w:val="0"/>
          <w:numId w:val="2"/>
        </w:numPr>
        <w:spacing w:after="80" w:line="280"/>
      </w:pPr>
      <w:r>
        <w:t xml:space="preserve">In That Order completed for publication, drawing on the settled canon - the book and the library then reinforce each other.</w:t>
      </w:r>
    </w:p>
    <w:p>
      <w:pPr>
        <w:pStyle w:val="Heading1"/>
        <w:spacing w:after="160" w:before="360"/>
      </w:pPr>
      <w:r>
        <w:t xml:space="preserve">10. Measuring Success</w:t>
      </w:r>
    </w:p>
    <w:p>
      <w:pPr>
        <w:spacing w:after="140" w:line="300"/>
        <w:jc w:val="both"/>
      </w:pPr>
      <w:r>
        <w:t xml:space="preserve">Recommended measures, honouring the principle that retention is an outcome and that we evaluate the process, not the person:</w:t>
      </w:r>
    </w:p>
    <w:p>
      <w:pPr>
        <w:pStyle w:val="ListParagraph"/>
        <w:numPr>
          <w:ilvl w:val="0"/>
          <w:numId w:val="2"/>
        </w:numPr>
        <w:spacing w:after="80" w:line="280"/>
      </w:pPr>
      <w:r>
        <w:t xml:space="preserve">Retention at 1, 3, 5 and 10 years from Initiation, per Lodge and Provincially (the two known risk windows - pre-Raising and post-Chair - reported explicitly).</w:t>
      </w:r>
    </w:p>
    <w:p>
      <w:pPr>
        <w:pStyle w:val="ListParagraph"/>
        <w:numPr>
          <w:ilvl w:val="0"/>
          <w:numId w:val="2"/>
        </w:numPr>
        <w:spacing w:after="80" w:line="280"/>
      </w:pPr>
      <w:r>
        <w:t xml:space="preserve">Coverage: every new member has a named Personal Mentor within a defined time of ballot; every Lodge has a Lodge Mentor in post.</w:t>
      </w:r>
    </w:p>
    <w:p>
      <w:pPr>
        <w:pStyle w:val="ListParagraph"/>
        <w:numPr>
          <w:ilvl w:val="0"/>
          <w:numId w:val="2"/>
        </w:numPr>
        <w:spacing w:after="80" w:line="280"/>
      </w:pPr>
      <w:r>
        <w:t xml:space="preserve">Activity: post-ceremony contact made within the canonical timings; attendance pattern-breaks actioned within seven days.</w:t>
      </w:r>
    </w:p>
    <w:p>
      <w:pPr>
        <w:pStyle w:val="ListParagraph"/>
        <w:numPr>
          <w:ilvl w:val="0"/>
          <w:numId w:val="2"/>
        </w:numPr>
        <w:spacing w:after="80" w:line="280"/>
      </w:pPr>
      <w:r>
        <w:t xml:space="preserve">Experience: periodic member survey (satisfaction, belonging, 'I know who to ask').</w:t>
      </w:r>
    </w:p>
    <w:p>
      <w:pPr>
        <w:pStyle w:val="ListParagraph"/>
        <w:numPr>
          <w:ilvl w:val="0"/>
          <w:numId w:val="2"/>
        </w:numPr>
        <w:spacing w:after="80" w:line="280"/>
      </w:pPr>
      <w:r>
        <w:t xml:space="preserve">Retrieval: resignations receiving a conversation within the Rule 183 window; proportion withdrawn or migrated rather than lost.</w:t>
      </w:r>
    </w:p>
    <w:p>
      <w:pPr>
        <w:spacing w:after="140" w:line="300"/>
        <w:jc w:val="both"/>
      </w:pPr>
      <w:r>
        <w:t xml:space="preserve">All reported through the existing rhythm: monthly mentoring call, quarterly APGM returns, annual report to the Provincial Executive - anonymised and without attributing blame.</w:t>
      </w:r>
    </w:p>
    <w:p>
      <w:pPr>
        <w:pStyle w:val="Heading1"/>
        <w:spacing w:after="160" w:before="360"/>
      </w:pPr>
      <w:r>
        <w:t xml:space="preserve">11. What This Framework Needs From You</w:t>
      </w:r>
    </w:p>
    <w:p>
      <w:pPr>
        <w:spacing w:after="140" w:line="300"/>
        <w:jc w:val="both"/>
      </w:pPr>
      <w:r>
        <w:t xml:space="preserve">Approval, amendment or challenge on five points (the first was settled in July 2026 and is recorded here):</w:t>
      </w:r>
    </w:p>
    <w:p>
      <w:pPr>
        <w:pStyle w:val="ListParagraph"/>
        <w:numPr>
          <w:ilvl w:val="0"/>
          <w:numId w:val="2"/>
        </w:numPr>
        <w:spacing w:after="80" w:line="280"/>
      </w:pPr>
      <w:r>
        <w:rPr>
          <w:b/>
          <w:bCs/>
        </w:rPr>
        <w:t xml:space="preserve">SETTLED - </w:t>
      </w:r>
      <w:r>
        <w:t xml:space="preserve">The canonical principle order (Prepare • Guide • Support • Enlighten) and definitions (§3).</w:t>
      </w:r>
    </w:p>
    <w:p>
      <w:pPr>
        <w:pStyle w:val="ListParagraph"/>
        <w:numPr>
          <w:ilvl w:val="0"/>
          <w:numId w:val="2"/>
        </w:numPr>
        <w:spacing w:after="80" w:line="280"/>
      </w:pPr>
      <w:r>
        <w:t xml:space="preserve">The nine-stage journey plus two lanes (§4) as the backbone every document uses.</w:t>
      </w:r>
    </w:p>
    <w:p>
      <w:pPr>
        <w:pStyle w:val="ListParagraph"/>
        <w:numPr>
          <w:ilvl w:val="0"/>
          <w:numId w:val="2"/>
        </w:numPr>
        <w:spacing w:after="80" w:line="280"/>
      </w:pPr>
      <w:r>
        <w:t xml:space="preserve">The six-tier architecture and the specific document list (§6) - including the recommendation to complement rather than duplicate the national member guides.</w:t>
      </w:r>
    </w:p>
    <w:p>
      <w:pPr>
        <w:pStyle w:val="ListParagraph"/>
        <w:numPr>
          <w:ilvl w:val="0"/>
          <w:numId w:val="2"/>
        </w:numPr>
        <w:spacing w:after="80" w:line="280"/>
      </w:pPr>
      <w:r>
        <w:t xml:space="preserve">The build sequence (§9), especially Personal Mentor's Guide as Priority 1.</w:t>
      </w:r>
    </w:p>
    <w:p>
      <w:pPr>
        <w:pStyle w:val="ListParagraph"/>
        <w:numPr>
          <w:ilvl w:val="0"/>
          <w:numId w:val="2"/>
        </w:numPr>
        <w:spacing w:after="80" w:line="280"/>
      </w:pPr>
      <w:r>
        <w:t xml:space="preserve">The measures (§10) and their reporting rhythm.</w:t>
      </w:r>
    </w:p>
    <w:p>
      <w:pPr>
        <w:spacing w:after="160"/>
      </w:pPr>
    </w:p>
    <w:p>
      <w:pPr>
        <w:spacing w:after="140" w:line="300"/>
        <w:jc w:val="both"/>
      </w:pPr>
      <w:r>
        <w:t xml:space="preserve">Once these are settled, every future conversation in this Project has a fixed frame: we will know exactly which document we are building, who it serves, which stage and principles it covers, and what it must be consistent with. That is what turns a collection of good documents into </w:t>
      </w:r>
      <w:r>
        <w:rPr>
          <w:b/>
          <w:bCs/>
        </w:rPr>
        <w:t xml:space="preserve">the recognised Hertfordshire Mentoring Framework</w:t>
      </w:r>
      <w: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2026-07-16T07:18:01.356Z</dcterms:created>
  <dcterms:modified xsi:type="dcterms:W3CDTF">2026-07-16T07:18:01.356Z</dcterms:modified>
</cp:coreProperties>
</file>

<file path=docProps/custom.xml><?xml version="1.0" encoding="utf-8"?>
<Properties xmlns="http://schemas.openxmlformats.org/officeDocument/2006/custom-properties" xmlns:vt="http://schemas.openxmlformats.org/officeDocument/2006/docPropsVTypes"/>
</file>