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Governance · Research Note 2</w:t>
      </w:r>
    </w:p>
    <w:p>
      <w:pPr>
        <w:pStyle w:val="Title"/>
      </w:pPr>
      <w:r>
        <w:rPr/>
        <w:t>The Mentoring Academy: Online Courses</w:t>
      </w:r>
    </w:p>
    <w:p>
      <w:pPr>
        <w:pStyle w:val="PurposeStatement"/>
      </w:pPr>
      <w:r>
        <w:rPr/>
        <w:t>What other Provinces and organisations offer, what the evidence says about training volunteer mentors online, and the course programme built from it: three overview courses and eight topic courses.</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Provincial Grand Mentor, Deputy and Assistant Provincial Grand Mentors</w:t>
            </w:r>
          </w:p>
        </w:tc>
      </w:tr>
      <w:tr>
        <w:trPr>
          <w:cantSplit/>
        </w:trPr>
        <w:tc>
          <w:tcPr>
            <w:tcW w:type="dxa" w:w="2041"/>
          </w:tcPr>
          <w:p>
            <w:pPr>
              <w:keepNext/>
              <w:spacing w:before="60" w:after="60"/>
            </w:pPr>
            <w:r>
              <w:rPr/>
              <w:t>Issue</w:t>
            </w:r>
          </w:p>
        </w:tc>
        <w:tc>
          <w:tcPr>
            <w:tcW w:type="dxa" w:w="7371"/>
          </w:tcPr>
          <w:p>
            <w:pPr>
              <w:keepNext/>
              <w:spacing w:before="60" w:after="60"/>
            </w:pPr>
            <w:r>
              <w:rPr/>
              <w:t>Issue 1 Draft, October 2026</w:t>
            </w:r>
          </w:p>
        </w:tc>
      </w:tr>
      <w:tr>
        <w:trPr>
          <w:cantSplit/>
        </w:trPr>
        <w:tc>
          <w:tcPr>
            <w:tcW w:type="dxa" w:w="2041"/>
          </w:tcPr>
          <w:p>
            <w:pPr>
              <w:spacing w:before="60" w:after="60"/>
            </w:pPr>
            <w:r>
              <w:rPr/>
              <w:t>Prepared by</w:t>
            </w:r>
          </w:p>
        </w:tc>
        <w:tc>
          <w:tcPr>
            <w:tcW w:type="dxa" w:w="7371"/>
          </w:tcPr>
          <w:p>
            <w:pPr>
              <w:spacing w:before="60" w:after="60"/>
            </w:pPr>
            <w:r>
              <w:rPr/>
              <w:t>Deputy Provincial Grand Mentor's office</w:t>
            </w:r>
          </w:p>
        </w:tc>
      </w:tr>
    </w:tbl>
    <w:p>
      <w:pPr>
        <w:spacing w:after="0"/>
      </w:pPr>
    </w:p>
    <w:p>
      <w:pPr>
        <w:pStyle w:val="Heading1"/>
      </w:pPr>
      <w:r>
        <w:t>1 What was asked, and the short answer</w:t>
      </w:r>
    </w:p>
    <w:p>
      <w:pPr>
        <w:spacing w:after="120"/>
      </w:pPr>
      <w:r>
        <w:rPr/>
        <w:t>The Academy needs online mentoring courses that people actually learn from: broad overview courses, and deep topic courses in the style of short professional safety courses such as IOSH Working Safely, with stated learning outcomes, the facts, the tactics, an assessment and something to do afterwards. The three existing Academy drafts (E1, E2, E6) have been improved and eight topic courses written, all in the Hub's own export format so they can be edited and loaded straight back.</w:t>
      </w:r>
    </w:p>
    <w:p>
      <w:pPr>
        <w:spacing w:after="120"/>
      </w:pPr>
      <w:r>
        <w:rPr/>
        <w:t>Nothing found elsewhere in English Freemasonry does this. Other Provinces publish good handbooks and run occasional in-person workshops; UGLE's Solomon offers short reading material. No Province was found running structured, assessed online courses for mentors. Hertfordshire would be first.</w:t>
      </w:r>
    </w:p>
    <w:p>
      <w:pPr>
        <w:pStyle w:val="Heading1"/>
      </w:pPr>
      <w:r>
        <w:t>2 What already exists</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Who</w:t>
            </w:r>
          </w:p>
        </w:tc>
        <w:tc>
          <w:tcPr>
            <w:tcW w:type="dxa" w:w="7012"/>
            <w:shd w:val="clear" w:color="auto" w:fill="003668"/>
          </w:tcPr>
          <w:p>
            <w:pPr>
              <w:keepNext/>
              <w:spacing w:before="60" w:after="60"/>
            </w:pPr>
            <w:r>
              <w:rPr>
                <w:b/>
                <w:color w:val="FFFFFF"/>
              </w:rPr>
              <w:t>What they offer mentors, and the gap</w:t>
            </w:r>
          </w:p>
        </w:tc>
      </w:tr>
      <w:tr>
        <w:trPr>
          <w:cantSplit/>
        </w:trPr>
        <w:tc>
          <w:tcPr>
            <w:tcW w:type="dxa" w:w="2400"/>
          </w:tcPr>
          <w:p>
            <w:pPr>
              <w:spacing w:before="60" w:after="60"/>
            </w:pPr>
            <w:r>
              <w:rPr/>
              <w:t>UGLE, Solomon</w:t>
            </w:r>
          </w:p>
        </w:tc>
        <w:tc>
          <w:tcPr>
            <w:tcW w:type="dxa" w:w="7012"/>
          </w:tcPr>
          <w:p>
            <w:pPr>
              <w:spacing w:before="60" w:after="60"/>
            </w:pPr>
            <w:r>
              <w:rPr/>
              <w:t xml:space="preserve">Online library of nuggets, papers, presentations, quizzes and modules for every stage; guest access for some modules; a mentoring framework within the Members' Pathway papers. </w:t>
            </w:r>
            <w:r>
              <w:rPr>
                <w:b/>
              </w:rPr>
              <w:t>Gap:</w:t>
            </w:r>
            <w:r>
              <w:rPr/>
              <w:t xml:space="preserve"> reading-led; no practice, no assessment of mentoring skill, no follow-up in the Lodge</w:t>
            </w:r>
          </w:p>
        </w:tc>
      </w:tr>
      <w:tr>
        <w:trPr>
          <w:cantSplit/>
        </w:trPr>
        <w:tc>
          <w:tcPr>
            <w:tcW w:type="dxa" w:w="2400"/>
          </w:tcPr>
          <w:p>
            <w:pPr>
              <w:spacing w:before="60" w:after="60"/>
            </w:pPr>
            <w:r>
              <w:rPr/>
              <w:t>UGLE, masonicmentoring.org.uk</w:t>
            </w:r>
          </w:p>
        </w:tc>
        <w:tc>
          <w:tcPr>
            <w:tcW w:type="dxa" w:w="7012"/>
          </w:tcPr>
          <w:p>
            <w:pPr>
              <w:spacing w:before="60" w:after="60"/>
            </w:pPr>
            <w:r>
              <w:rPr/>
              <w:t xml:space="preserve">A legacy site for Lodge Mentors, Personal Mentors and Royal Arch Representatives (copyright 2009 to 2013). </w:t>
            </w:r>
            <w:r>
              <w:rPr>
                <w:b/>
              </w:rPr>
              <w:t>Gap:</w:t>
            </w:r>
            <w:r>
              <w:rPr/>
              <w:t xml:space="preserve"> dated; no training content found</w:t>
            </w:r>
          </w:p>
        </w:tc>
      </w:tr>
      <w:tr>
        <w:trPr>
          <w:cantSplit/>
        </w:trPr>
        <w:tc>
          <w:tcPr>
            <w:tcW w:type="dxa" w:w="2400"/>
          </w:tcPr>
          <w:p>
            <w:pPr>
              <w:spacing w:before="60" w:after="60"/>
            </w:pPr>
            <w:r>
              <w:rPr/>
              <w:t>Somerset</w:t>
            </w:r>
          </w:p>
        </w:tc>
        <w:tc>
          <w:tcPr>
            <w:tcW w:type="dxa" w:w="7012"/>
          </w:tcPr>
          <w:p>
            <w:pPr>
              <w:spacing w:before="60" w:after="60"/>
            </w:pPr>
            <w:r>
              <w:rPr/>
              <w:t xml:space="preserve">Lodge Mentor Handbook 2026, role profile, Personal Development Guide, degree guides, Initiates' events, Progression to the Master's Chair seminars. </w:t>
            </w:r>
            <w:r>
              <w:rPr>
                <w:b/>
              </w:rPr>
              <w:t>Gap:</w:t>
            </w:r>
            <w:r>
              <w:rPr/>
              <w:t xml:space="preserve"> no mentor course found; seminars are for officers</w:t>
            </w:r>
          </w:p>
        </w:tc>
      </w:tr>
      <w:tr>
        <w:trPr>
          <w:cantSplit/>
        </w:trPr>
        <w:tc>
          <w:tcPr>
            <w:tcW w:type="dxa" w:w="2400"/>
          </w:tcPr>
          <w:p>
            <w:pPr>
              <w:spacing w:before="60" w:after="60"/>
            </w:pPr>
            <w:r>
              <w:rPr/>
              <w:t>Lincolnshire</w:t>
            </w:r>
          </w:p>
        </w:tc>
        <w:tc>
          <w:tcPr>
            <w:tcW w:type="dxa" w:w="7012"/>
          </w:tcPr>
          <w:p>
            <w:pPr>
              <w:spacing w:before="60" w:after="60"/>
            </w:pPr>
            <w:r>
              <w:rPr/>
              <w:t xml:space="preserve">Pathway to Mentoring books; four in-person mentoring workshops in 2019 with over 200 Brethren. </w:t>
            </w:r>
            <w:r>
              <w:rPr>
                <w:b/>
              </w:rPr>
              <w:t>Gap:</w:t>
            </w:r>
            <w:r>
              <w:rPr/>
              <w:t xml:space="preserve"> in person, one-off</w:t>
            </w:r>
          </w:p>
        </w:tc>
      </w:tr>
      <w:tr>
        <w:trPr>
          <w:cantSplit/>
        </w:trPr>
        <w:tc>
          <w:tcPr>
            <w:tcW w:type="dxa" w:w="2400"/>
          </w:tcPr>
          <w:p>
            <w:pPr>
              <w:spacing w:before="60" w:after="60"/>
            </w:pPr>
            <w:r>
              <w:rPr/>
              <w:t>East Lancashire</w:t>
            </w:r>
          </w:p>
        </w:tc>
        <w:tc>
          <w:tcPr>
            <w:tcW w:type="dxa" w:w="7012"/>
          </w:tcPr>
          <w:p>
            <w:pPr>
              <w:spacing w:before="60" w:after="60"/>
            </w:pPr>
            <w:r>
              <w:rPr/>
              <w:t xml:space="preserve">Mentor's Handbook and personal guides; "Everyone is a Mentor" short written episodes (2020). </w:t>
            </w:r>
            <w:r>
              <w:rPr>
                <w:b/>
              </w:rPr>
              <w:t>Gap:</w:t>
            </w:r>
            <w:r>
              <w:rPr/>
              <w:t xml:space="preserve"> no training programme</w:t>
            </w:r>
          </w:p>
        </w:tc>
      </w:tr>
      <w:tr>
        <w:trPr>
          <w:cantSplit/>
        </w:trPr>
        <w:tc>
          <w:tcPr>
            <w:tcW w:type="dxa" w:w="2400"/>
          </w:tcPr>
          <w:p>
            <w:pPr>
              <w:spacing w:before="60" w:after="60"/>
            </w:pPr>
            <w:r>
              <w:rPr/>
              <w:t>Hampshire and Isle of Wight</w:t>
            </w:r>
          </w:p>
        </w:tc>
        <w:tc>
          <w:tcPr>
            <w:tcW w:type="dxa" w:w="7012"/>
          </w:tcPr>
          <w:p>
            <w:pPr>
              <w:spacing w:before="60" w:after="60"/>
            </w:pPr>
            <w:r>
              <w:rPr/>
              <w:t xml:space="preserve">Lodge Officer Workshops in each Area; Solomon Live videos; a Provincial podcast. </w:t>
            </w:r>
            <w:r>
              <w:rPr>
                <w:b/>
              </w:rPr>
              <w:t>Gap:</w:t>
            </w:r>
            <w:r>
              <w:rPr/>
              <w:t xml:space="preserve"> nothing mentor-specific found</w:t>
            </w:r>
          </w:p>
        </w:tc>
      </w:tr>
      <w:tr>
        <w:trPr>
          <w:cantSplit/>
        </w:trPr>
        <w:tc>
          <w:tcPr>
            <w:tcW w:type="dxa" w:w="2400"/>
          </w:tcPr>
          <w:p>
            <w:pPr>
              <w:spacing w:before="60" w:after="60"/>
            </w:pPr>
            <w:r>
              <w:rPr/>
              <w:t>West Lancashire</w:t>
            </w:r>
          </w:p>
        </w:tc>
        <w:tc>
          <w:tcPr>
            <w:tcW w:type="dxa" w:w="7012"/>
          </w:tcPr>
          <w:p>
            <w:pPr>
              <w:spacing w:before="60" w:after="60"/>
            </w:pPr>
            <w:r>
              <w:rPr/>
              <w:t xml:space="preserve">Mentors' Guide v6 with questioning and listening skills. </w:t>
            </w:r>
            <w:r>
              <w:rPr>
                <w:b/>
              </w:rPr>
              <w:t>Gap:</w:t>
            </w:r>
            <w:r>
              <w:rPr/>
              <w:t xml:space="preserve"> a guide, not a course</w:t>
            </w:r>
          </w:p>
        </w:tc>
      </w:tr>
      <w:tr>
        <w:trPr>
          <w:cantSplit/>
        </w:trPr>
        <w:tc>
          <w:tcPr>
            <w:tcW w:type="dxa" w:w="2400"/>
          </w:tcPr>
          <w:p>
            <w:pPr>
              <w:spacing w:before="60" w:after="60"/>
            </w:pPr>
            <w:r>
              <w:rPr/>
              <w:t>Pennsylvania (USA)</w:t>
            </w:r>
          </w:p>
        </w:tc>
        <w:tc>
          <w:tcPr>
            <w:tcW w:type="dxa" w:w="7012"/>
          </w:tcPr>
          <w:p>
            <w:pPr>
              <w:spacing w:before="60" w:after="60"/>
            </w:pPr>
            <w:r>
              <w:rPr/>
              <w:t xml:space="preserve">An online portal pairing new Masons with screened volunteer mentors. </w:t>
            </w:r>
            <w:r>
              <w:rPr>
                <w:b/>
              </w:rPr>
              <w:t>Gap:</w:t>
            </w:r>
            <w:r>
              <w:rPr/>
              <w:t xml:space="preserve"> pairing, not training</w:t>
            </w:r>
          </w:p>
        </w:tc>
      </w:tr>
      <w:tr>
        <w:trPr>
          <w:cantSplit/>
        </w:trPr>
        <w:tc>
          <w:tcPr>
            <w:tcW w:type="dxa" w:w="2400"/>
          </w:tcPr>
          <w:p>
            <w:pPr>
              <w:spacing w:before="60" w:after="60"/>
            </w:pPr>
            <w:r>
              <w:rPr/>
              <w:t>Hertfordshire now</w:t>
            </w:r>
          </w:p>
        </w:tc>
        <w:tc>
          <w:tcPr>
            <w:tcW w:type="dxa" w:w="7012"/>
          </w:tcPr>
          <w:p>
            <w:pPr>
              <w:spacing w:before="60" w:after="60"/>
            </w:pPr>
            <w:r>
              <w:rPr/>
              <w:t xml:space="preserve">E1a, E2a and E6a in-person courses; Academy online drafts of E1, E2, E6; a full library of guides and tools. </w:t>
            </w:r>
            <w:r>
              <w:rPr>
                <w:b/>
              </w:rPr>
              <w:t>Gap:</w:t>
            </w:r>
            <w:r>
              <w:rPr/>
              <w:t xml:space="preserve"> no deep topic courses; online drafts were short and recall-based</w:t>
            </w:r>
          </w:p>
        </w:tc>
      </w:tr>
    </w:tbl>
    <w:p>
      <w:pPr>
        <w:spacing w:after="0"/>
      </w:pPr>
    </w:p>
    <w:p>
      <w:pPr>
        <w:pStyle w:val="Heading1"/>
      </w:pPr>
      <w:r>
        <w:t>3 What the world outside Freemasonry teaches</w:t>
      </w:r>
    </w:p>
    <w:p>
      <w:pPr>
        <w:pStyle w:val="ListBullet"/>
      </w:pPr>
      <w:r>
        <w:rPr>
          <w:b/>
        </w:rPr>
        <w:t>Train before, support during.</w:t>
      </w:r>
      <w:r>
        <w:rPr/>
        <w:t xml:space="preserve"> MENTOR's Elements of Effective Practice (USA) expects at least two hours of training before a volunteer mentor starts, delivered in person or blended, with scenarios and role-play, then further training while the relationship runs.</w:t>
      </w:r>
    </w:p>
    <w:p>
      <w:pPr>
        <w:pStyle w:val="ListBullet"/>
      </w:pPr>
      <w:r>
        <w:rPr>
          <w:b/>
        </w:rPr>
        <w:t>Good practice gets better results, and length matters.</w:t>
      </w:r>
      <w:r>
        <w:rPr/>
        <w:t xml:space="preserve"> DuBois and colleagues' 2002 review of 55 evaluations found programmes using more best practices had stronger effects; Grossman and Rhodes (2002) found benefits greatest where relationships lasted a year or more.</w:t>
      </w:r>
    </w:p>
    <w:p>
      <w:pPr>
        <w:pStyle w:val="ListBullet"/>
      </w:pPr>
      <w:r>
        <w:rPr>
          <w:b/>
        </w:rPr>
        <w:t>Validate the learning in the role.</w:t>
      </w:r>
      <w:r>
        <w:rPr/>
        <w:t xml:space="preserve"> Scouts UK requires every adult volunteer's learning to be validated by a Training Adviser, who checks the volunteer can apply it in his actual role. Online modules alone do not complete the training.</w:t>
      </w:r>
    </w:p>
    <w:p>
      <w:pPr>
        <w:pStyle w:val="ListBullet"/>
      </w:pPr>
      <w:r>
        <w:rPr>
          <w:b/>
        </w:rPr>
        <w:t>Competence frameworks.</w:t>
      </w:r>
      <w:r>
        <w:rPr/>
        <w:t xml:space="preserve"> The European Mentoring and Coaching Council publishes a competence framework for mentors; the Academy's eight mentor skills are a Lodge-sized version of it.</w:t>
      </w:r>
    </w:p>
    <w:p>
      <w:pPr>
        <w:pStyle w:val="ListBullet"/>
      </w:pPr>
      <w:r>
        <w:rPr>
          <w:b/>
        </w:rPr>
        <w:t>Short safety courses.</w:t>
      </w:r>
      <w:r>
        <w:rPr/>
        <w:t xml:space="preserve"> IOSH Working Safely: four modules, about three hours online, one 30-question test with practical exercises, a certificate. Clear outcomes, short modules, an honest test.</w:t>
      </w:r>
    </w:p>
    <w:p>
      <w:pPr>
        <w:pStyle w:val="ListBullet"/>
      </w:pPr>
      <w:r>
        <w:rPr>
          <w:b/>
        </w:rPr>
        <w:t>How adults remember.</w:t>
      </w:r>
      <w:r>
        <w:rPr/>
        <w:t xml:space="preserve"> Self-testing beats re-reading (Roediger and Karpicke, 2006: 61% recalled after a week against 40%); spacing beats cramming; reflection turns experience into understanding (Kolb).</w:t>
      </w:r>
    </w:p>
    <w:p>
      <w:pPr>
        <w:pStyle w:val="ListBullet"/>
      </w:pPr>
      <w:r>
        <w:rPr>
          <w:b/>
        </w:rPr>
        <w:t>How plans get done.</w:t>
      </w:r>
      <w:r>
        <w:rPr/>
        <w:t xml:space="preserve"> Plans written as "when X, I will Y" are markedly more likely to be carried out (Gollwitzer and Sheeran, 2006, 94 tests).</w:t>
      </w:r>
    </w:p>
    <w:p>
      <w:pPr>
        <w:pStyle w:val="ListBullet"/>
      </w:pPr>
      <w:r>
        <w:rPr>
          <w:b/>
        </w:rPr>
        <w:t>Self-paced alone does not finish.</w:t>
      </w:r>
      <w:r>
        <w:rPr/>
        <w:t xml:space="preserve"> Completion rates for open online courses have stayed low for years (Reich and Ruiperez-Valiente, Science, 2019). People finish when there is a reason, a date and a person who will ask.</w:t>
      </w:r>
    </w:p>
    <w:p>
      <w:pPr>
        <w:pStyle w:val="Heading1"/>
      </w:pPr>
      <w:r>
        <w:t>4 The programme</w:t>
      </w:r>
    </w:p>
    <w:p>
      <w:pPr>
        <w:spacing w:after="120"/>
      </w:pPr>
      <w:r>
        <w:rPr>
          <w:b/>
        </w:rPr>
        <w:t>Overview courses (Essential or Recommended).</w:t>
      </w:r>
      <w:r>
        <w:rPr/>
        <w:t xml:space="preserve"> Broad, about an hour each, for everyone in the role.</w:t>
      </w:r>
    </w:p>
    <w:tbl>
      <w:tblPr>
        <w:tblStyle w:val="MentoringTable"/>
        <w:tblW w:type="dxa" w:w="9412"/>
        <w:tblLayout w:type="fixed"/>
        <w:tblLook w:firstColumn="0" w:firstRow="1" w:lastColumn="0" w:lastRow="0" w:noHBand="1" w:noVBand="1" w:val="0620"/>
        <w:tblLayout w:type="fixed"/>
      </w:tblPr>
      <w:tblGrid>
        <w:gridCol w:w="2353"/>
        <w:gridCol w:w="2353"/>
        <w:gridCol w:w="2353"/>
        <w:gridCol w:w="2353"/>
      </w:tblGrid>
      <w:tr>
        <w:trPr>
          <w:cantSplit/>
        </w:trPr>
        <w:tc>
          <w:tcPr>
            <w:tcW w:type="dxa" w:w="2353"/>
            <w:shd w:val="clear" w:color="auto" w:fill="003668"/>
          </w:tcPr>
          <w:p>
            <w:pPr>
              <w:keepNext/>
              <w:spacing w:before="60" w:after="60"/>
            </w:pPr>
            <w:r>
              <w:rPr>
                <w:b/>
                <w:color w:val="FFFFFF"/>
              </w:rPr>
              <w:t>Ref</w:t>
            </w:r>
          </w:p>
        </w:tc>
        <w:tc>
          <w:tcPr>
            <w:tcW w:type="dxa" w:w="2353"/>
            <w:shd w:val="clear" w:color="auto" w:fill="003668"/>
          </w:tcPr>
          <w:p>
            <w:pPr>
              <w:keepNext/>
              <w:spacing w:before="60" w:after="60"/>
            </w:pPr>
            <w:r>
              <w:rPr>
                <w:b/>
                <w:color w:val="FFFFFF"/>
              </w:rPr>
              <w:t>Course</w:t>
            </w:r>
          </w:p>
        </w:tc>
        <w:tc>
          <w:tcPr>
            <w:tcW w:type="dxa" w:w="2353"/>
            <w:shd w:val="clear" w:color="auto" w:fill="003668"/>
          </w:tcPr>
          <w:p>
            <w:pPr>
              <w:keepNext/>
              <w:spacing w:before="60" w:after="60"/>
            </w:pPr>
            <w:r>
              <w:rPr>
                <w:b/>
                <w:color w:val="FFFFFF"/>
              </w:rPr>
              <w:t>For</w:t>
            </w:r>
          </w:p>
        </w:tc>
        <w:tc>
          <w:tcPr>
            <w:tcW w:type="dxa" w:w="2353"/>
            <w:shd w:val="clear" w:color="auto" w:fill="003668"/>
          </w:tcPr>
          <w:p>
            <w:pPr>
              <w:keepNext/>
              <w:spacing w:before="60" w:after="60"/>
            </w:pPr>
            <w:r>
              <w:rPr>
                <w:b/>
                <w:color w:val="FFFFFF"/>
              </w:rPr>
              <w:t>Principle</w:t>
            </w:r>
          </w:p>
        </w:tc>
      </w:tr>
      <w:tr>
        <w:trPr>
          <w:cantSplit/>
        </w:trPr>
        <w:tc>
          <w:tcPr>
            <w:tcW w:type="dxa" w:w="2353"/>
          </w:tcPr>
          <w:p>
            <w:pPr>
              <w:keepNext/>
              <w:spacing w:before="60" w:after="60"/>
            </w:pPr>
            <w:r>
              <w:rPr/>
              <w:t>E1</w:t>
            </w:r>
          </w:p>
        </w:tc>
        <w:tc>
          <w:tcPr>
            <w:tcW w:type="dxa" w:w="2353"/>
          </w:tcPr>
          <w:p>
            <w:pPr>
              <w:keepNext/>
              <w:spacing w:before="60" w:after="60"/>
            </w:pPr>
            <w:r>
              <w:rPr/>
              <w:t>Lodge Mentor Essentials (Issue 2)</w:t>
            </w:r>
          </w:p>
        </w:tc>
        <w:tc>
          <w:tcPr>
            <w:tcW w:type="dxa" w:w="2353"/>
          </w:tcPr>
          <w:p>
            <w:pPr>
              <w:keepNext/>
              <w:spacing w:before="60" w:after="60"/>
            </w:pPr>
            <w:r>
              <w:rPr/>
              <w:t>Lodge Mentors</w:t>
            </w:r>
          </w:p>
        </w:tc>
        <w:tc>
          <w:tcPr>
            <w:tcW w:type="dxa" w:w="2353"/>
          </w:tcPr>
          <w:p>
            <w:pPr>
              <w:keepNext/>
              <w:spacing w:before="60" w:after="60"/>
            </w:pPr>
            <w:r>
              <w:rPr/>
              <w:t>Prepare</w:t>
            </w:r>
          </w:p>
        </w:tc>
      </w:tr>
      <w:tr>
        <w:trPr>
          <w:cantSplit/>
        </w:trPr>
        <w:tc>
          <w:tcPr>
            <w:tcW w:type="dxa" w:w="2353"/>
          </w:tcPr>
          <w:p>
            <w:pPr>
              <w:keepNext/>
              <w:spacing w:before="60" w:after="60"/>
            </w:pPr>
            <w:r>
              <w:rPr/>
              <w:t>E2</w:t>
            </w:r>
          </w:p>
        </w:tc>
        <w:tc>
          <w:tcPr>
            <w:tcW w:type="dxa" w:w="2353"/>
          </w:tcPr>
          <w:p>
            <w:pPr>
              <w:keepNext/>
              <w:spacing w:before="60" w:after="60"/>
            </w:pPr>
            <w:r>
              <w:rPr/>
              <w:t>Personal Mentor Course (Issue 2)</w:t>
            </w:r>
          </w:p>
        </w:tc>
        <w:tc>
          <w:tcPr>
            <w:tcW w:type="dxa" w:w="2353"/>
          </w:tcPr>
          <w:p>
            <w:pPr>
              <w:keepNext/>
              <w:spacing w:before="60" w:after="60"/>
            </w:pPr>
            <w:r>
              <w:rPr/>
              <w:t>Personal Mentors, Proposers</w:t>
            </w:r>
          </w:p>
        </w:tc>
        <w:tc>
          <w:tcPr>
            <w:tcW w:type="dxa" w:w="2353"/>
          </w:tcPr>
          <w:p>
            <w:pPr>
              <w:keepNext/>
              <w:spacing w:before="60" w:after="60"/>
            </w:pPr>
            <w:r>
              <w:rPr/>
              <w:t>Support</w:t>
            </w:r>
          </w:p>
        </w:tc>
      </w:tr>
      <w:tr>
        <w:trPr>
          <w:cantSplit/>
        </w:trPr>
        <w:tc>
          <w:tcPr>
            <w:tcW w:type="dxa" w:w="2353"/>
          </w:tcPr>
          <w:p>
            <w:pPr>
              <w:spacing w:before="60" w:after="60"/>
            </w:pPr>
            <w:r>
              <w:rPr/>
              <w:t>E6</w:t>
            </w:r>
          </w:p>
        </w:tc>
        <w:tc>
          <w:tcPr>
            <w:tcW w:type="dxa" w:w="2353"/>
          </w:tcPr>
          <w:p>
            <w:pPr>
              <w:spacing w:before="60" w:after="60"/>
            </w:pPr>
            <w:r>
              <w:rPr/>
              <w:t>The Chair and Beyond (Issue 2)</w:t>
            </w:r>
          </w:p>
        </w:tc>
        <w:tc>
          <w:tcPr>
            <w:tcW w:type="dxa" w:w="2353"/>
          </w:tcPr>
          <w:p>
            <w:pPr>
              <w:spacing w:before="60" w:after="60"/>
            </w:pPr>
            <w:r>
              <w:rPr/>
              <w:t>Wardens, Masters, Past Masters</w:t>
            </w:r>
          </w:p>
        </w:tc>
        <w:tc>
          <w:tcPr>
            <w:tcW w:type="dxa" w:w="2353"/>
          </w:tcPr>
          <w:p>
            <w:pPr>
              <w:spacing w:before="60" w:after="60"/>
            </w:pPr>
            <w:r>
              <w:rPr/>
              <w:t>Guide</w:t>
            </w:r>
          </w:p>
        </w:tc>
      </w:tr>
    </w:tbl>
    <w:p>
      <w:pPr>
        <w:spacing w:after="0"/>
      </w:pPr>
    </w:p>
    <w:p>
      <w:pPr>
        <w:spacing w:after="120"/>
      </w:pPr>
      <w:r>
        <w:rPr>
          <w:b/>
        </w:rPr>
        <w:t>Topic courses (Specialist).</w:t>
      </w:r>
      <w:r>
        <w:rPr/>
        <w:t xml:space="preserve"> IOSH-style deep dives, 50 to 80 minutes each. Every one has: stated learning outcomes you can do, not just know; a five-question Before you start check; the facts with sources; tactics; at least one branching scenario; a final assessment of 10 to 12 questions, mostly situations (pass mark 75%, 80% for welfare); a Lodge task within thirty days; and a Thirty days on reflection.</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Ref</w:t>
            </w:r>
          </w:p>
        </w:tc>
        <w:tc>
          <w:tcPr>
            <w:tcW w:type="dxa" w:w="2600"/>
            <w:shd w:val="clear" w:color="auto" w:fill="003668"/>
          </w:tcPr>
          <w:p>
            <w:pPr>
              <w:keepNext/>
              <w:spacing w:before="60" w:after="60"/>
            </w:pPr>
            <w:r>
              <w:rPr>
                <w:b/>
                <w:color w:val="FFFFFF"/>
              </w:rPr>
              <w:t>Course</w:t>
            </w:r>
          </w:p>
        </w:tc>
        <w:tc>
          <w:tcPr>
            <w:tcW w:type="dxa" w:w="5612"/>
            <w:shd w:val="clear" w:color="auto" w:fill="003668"/>
          </w:tcPr>
          <w:p>
            <w:pPr>
              <w:keepNext/>
              <w:spacing w:before="60" w:after="60"/>
            </w:pPr>
            <w:r>
              <w:rPr>
                <w:b/>
                <w:color w:val="FFFFFF"/>
              </w:rPr>
              <w:t>The subject in one line</w:t>
            </w:r>
          </w:p>
        </w:tc>
      </w:tr>
      <w:tr>
        <w:trPr>
          <w:cantSplit/>
        </w:trPr>
        <w:tc>
          <w:tcPr>
            <w:tcW w:type="dxa" w:w="1200"/>
          </w:tcPr>
          <w:p>
            <w:pPr>
              <w:spacing w:before="60" w:after="60"/>
            </w:pPr>
            <w:r>
              <w:rPr/>
              <w:t>E7a</w:t>
            </w:r>
          </w:p>
        </w:tc>
        <w:tc>
          <w:tcPr>
            <w:tcW w:type="dxa" w:w="2600"/>
          </w:tcPr>
          <w:p>
            <w:pPr>
              <w:spacing w:before="60" w:after="60"/>
            </w:pPr>
            <w:r>
              <w:rPr/>
              <w:t>The Mentoring Conversation</w:t>
            </w:r>
          </w:p>
        </w:tc>
        <w:tc>
          <w:tcPr>
            <w:tcW w:type="dxa" w:w="5612"/>
          </w:tcPr>
          <w:p>
            <w:pPr>
              <w:spacing w:before="60" w:after="60"/>
            </w:pPr>
            <w:r>
              <w:rPr/>
              <w:t>The eight skills, listening, the question funnel, helping a man decide (GROW), difficult conversations and feedback on ritual</w:t>
            </w:r>
          </w:p>
        </w:tc>
      </w:tr>
      <w:tr>
        <w:trPr>
          <w:cantSplit/>
        </w:trPr>
        <w:tc>
          <w:tcPr>
            <w:tcW w:type="dxa" w:w="1200"/>
          </w:tcPr>
          <w:p>
            <w:pPr>
              <w:spacing w:before="60" w:after="60"/>
            </w:pPr>
            <w:r>
              <w:rPr/>
              <w:t>E7b</w:t>
            </w:r>
          </w:p>
        </w:tc>
        <w:tc>
          <w:tcPr>
            <w:tcW w:type="dxa" w:w="2600"/>
          </w:tcPr>
          <w:p>
            <w:pPr>
              <w:spacing w:before="60" w:after="60"/>
            </w:pPr>
            <w:r>
              <w:rPr/>
              <w:t>Organising Mentoring in Your Lodge</w:t>
            </w:r>
          </w:p>
        </w:tc>
        <w:tc>
          <w:tcPr>
            <w:tcW w:type="dxa" w:w="5612"/>
          </w:tcPr>
          <w:p>
            <w:pPr>
              <w:spacing w:before="60" w:after="60"/>
            </w:pPr>
            <w:r>
              <w:rPr/>
              <w:t>The team around a new member, matching, the ten-minute brief, support rhythm, no-fault re-matching, records and measures</w:t>
            </w:r>
          </w:p>
        </w:tc>
      </w:tr>
      <w:tr>
        <w:trPr>
          <w:cantSplit/>
        </w:trPr>
        <w:tc>
          <w:tcPr>
            <w:tcW w:type="dxa" w:w="1200"/>
          </w:tcPr>
          <w:p>
            <w:pPr>
              <w:spacing w:before="60" w:after="60"/>
            </w:pPr>
            <w:r>
              <w:rPr/>
              <w:t>E7c</w:t>
            </w:r>
          </w:p>
        </w:tc>
        <w:tc>
          <w:tcPr>
            <w:tcW w:type="dxa" w:w="2600"/>
          </w:tcPr>
          <w:p>
            <w:pPr>
              <w:spacing w:before="60" w:after="60"/>
            </w:pPr>
            <w:r>
              <w:rPr/>
              <w:t>Succession Planning</w:t>
            </w:r>
          </w:p>
        </w:tc>
        <w:tc>
          <w:tcPr>
            <w:tcW w:type="dxa" w:w="5612"/>
          </w:tcPr>
          <w:p>
            <w:pPr>
              <w:spacing w:before="60" w:after="60"/>
            </w:pPr>
            <w:r>
              <w:rPr/>
              <w:t>The office queue as a mentoring issue, a five-year office plan, the readiness conversation, the rules that bite, the Lodge Mentor's own handover</w:t>
            </w:r>
          </w:p>
        </w:tc>
      </w:tr>
      <w:tr>
        <w:trPr>
          <w:cantSplit/>
        </w:trPr>
        <w:tc>
          <w:tcPr>
            <w:tcW w:type="dxa" w:w="1200"/>
          </w:tcPr>
          <w:p>
            <w:pPr>
              <w:spacing w:before="60" w:after="60"/>
            </w:pPr>
            <w:r>
              <w:rPr/>
              <w:t>E7d</w:t>
            </w:r>
          </w:p>
        </w:tc>
        <w:tc>
          <w:tcPr>
            <w:tcW w:type="dxa" w:w="2600"/>
          </w:tcPr>
          <w:p>
            <w:pPr>
              <w:spacing w:before="60" w:after="60"/>
            </w:pPr>
            <w:r>
              <w:rPr/>
              <w:t>The First Two Years</w:t>
            </w:r>
          </w:p>
        </w:tc>
        <w:tc>
          <w:tcPr>
            <w:tcW w:type="dxa" w:w="5612"/>
          </w:tcPr>
          <w:p>
            <w:pPr>
              <w:spacing w:before="60" w:after="60"/>
            </w:pPr>
            <w:r>
              <w:rPr/>
              <w:t>The evidence, Initiation night, the second meeting, pacing the degrees, the months after Raising</w:t>
            </w:r>
          </w:p>
        </w:tc>
      </w:tr>
      <w:tr>
        <w:trPr>
          <w:cantSplit/>
        </w:trPr>
        <w:tc>
          <w:tcPr>
            <w:tcW w:type="dxa" w:w="1200"/>
          </w:tcPr>
          <w:p>
            <w:pPr>
              <w:spacing w:before="60" w:after="60"/>
            </w:pPr>
            <w:r>
              <w:rPr/>
              <w:t>E7e</w:t>
            </w:r>
          </w:p>
        </w:tc>
        <w:tc>
          <w:tcPr>
            <w:tcW w:type="dxa" w:w="2600"/>
          </w:tcPr>
          <w:p>
            <w:pPr>
              <w:spacing w:before="60" w:after="60"/>
            </w:pPr>
            <w:r>
              <w:rPr/>
              <w:t>Keeping Good Men</w:t>
            </w:r>
          </w:p>
        </w:tc>
        <w:tc>
          <w:tcPr>
            <w:tcW w:type="dxa" w:w="5612"/>
          </w:tcPr>
          <w:p>
            <w:pPr>
              <w:spacing w:before="60" w:after="60"/>
            </w:pPr>
            <w:r>
              <w:rPr/>
              <w:t>Warning signs, the four steps, Rule 183 and the sixty days, the retrieval conversation, Rule 127, migration</w:t>
            </w:r>
          </w:p>
        </w:tc>
      </w:tr>
      <w:tr>
        <w:trPr>
          <w:cantSplit/>
        </w:trPr>
        <w:tc>
          <w:tcPr>
            <w:tcW w:type="dxa" w:w="1200"/>
          </w:tcPr>
          <w:p>
            <w:pPr>
              <w:spacing w:before="60" w:after="60"/>
            </w:pPr>
            <w:r>
              <w:rPr/>
              <w:t>E7f</w:t>
            </w:r>
          </w:p>
        </w:tc>
        <w:tc>
          <w:tcPr>
            <w:tcW w:type="dxa" w:w="2600"/>
          </w:tcPr>
          <w:p>
            <w:pPr>
              <w:spacing w:before="60" w:after="60"/>
            </w:pPr>
            <w:r>
              <w:rPr/>
              <w:t>Welfare, Wellbeing and Knowing Your Limits</w:t>
            </w:r>
          </w:p>
        </w:tc>
        <w:tc>
          <w:tcPr>
            <w:tcW w:type="dxa" w:w="5612"/>
          </w:tcPr>
          <w:p>
            <w:pPr>
              <w:spacing w:before="60" w:after="60"/>
            </w:pPr>
            <w:r>
              <w:rPr/>
              <w:t>Coach not counsellor, noticing, referring to the Almoner, the MCF, crisis numbers, looking after yourself</w:t>
            </w:r>
          </w:p>
        </w:tc>
      </w:tr>
      <w:tr>
        <w:trPr>
          <w:cantSplit/>
        </w:trPr>
        <w:tc>
          <w:tcPr>
            <w:tcW w:type="dxa" w:w="1200"/>
          </w:tcPr>
          <w:p>
            <w:pPr>
              <w:spacing w:before="60" w:after="60"/>
            </w:pPr>
            <w:r>
              <w:rPr/>
              <w:t>E7g</w:t>
            </w:r>
          </w:p>
        </w:tc>
        <w:tc>
          <w:tcPr>
            <w:tcW w:type="dxa" w:w="2600"/>
          </w:tcPr>
          <w:p>
            <w:pPr>
              <w:spacing w:before="60" w:after="60"/>
            </w:pPr>
            <w:r>
              <w:rPr/>
              <w:t>Helping Brethren Learn</w:t>
            </w:r>
          </w:p>
        </w:tc>
        <w:tc>
          <w:tcPr>
            <w:tcW w:type="dxa" w:w="5612"/>
          </w:tcPr>
          <w:p>
            <w:pPr>
              <w:spacing w:before="60" w:after="60"/>
            </w:pPr>
            <w:r>
              <w:rPr/>
              <w:t>How adults learn, the reflective conversation after a ceremony, learning ritual by self-testing and spacing, personal learning and Solomon</w:t>
            </w:r>
          </w:p>
        </w:tc>
      </w:tr>
      <w:tr>
        <w:trPr>
          <w:cantSplit/>
        </w:trPr>
        <w:tc>
          <w:tcPr>
            <w:tcW w:type="dxa" w:w="1200"/>
          </w:tcPr>
          <w:p>
            <w:pPr>
              <w:spacing w:before="60" w:after="60"/>
            </w:pPr>
            <w:r>
              <w:rPr/>
              <w:t>E7h</w:t>
            </w:r>
          </w:p>
        </w:tc>
        <w:tc>
          <w:tcPr>
            <w:tcW w:type="dxa" w:w="2600"/>
          </w:tcPr>
          <w:p>
            <w:pPr>
              <w:spacing w:before="60" w:after="60"/>
            </w:pPr>
            <w:r>
              <w:rPr/>
              <w:t>One Journey</w:t>
            </w:r>
          </w:p>
        </w:tc>
        <w:tc>
          <w:tcPr>
            <w:tcW w:type="dxa" w:w="5612"/>
          </w:tcPr>
          <w:p>
            <w:pPr>
              <w:spacing w:before="60" w:after="60"/>
            </w:pPr>
            <w:r>
              <w:rPr/>
              <w:t>The Royal Arch: the facts, the four bridging points, information not recruitment, timing not inevitability</w:t>
            </w:r>
          </w:p>
        </w:tc>
      </w:tr>
    </w:tbl>
    <w:p>
      <w:pPr>
        <w:spacing w:after="0"/>
      </w:pPr>
    </w:p>
    <w:p>
      <w:pPr>
        <w:pStyle w:val="Heading1"/>
      </w:pPr>
      <w:r>
        <w:t>5 What changed in the three existing drafts</w:t>
      </w:r>
    </w:p>
    <w:p>
      <w:pPr>
        <w:pStyle w:val="ListBullet"/>
      </w:pPr>
      <w:r>
        <w:rPr>
          <w:b/>
        </w:rPr>
        <w:t>Learning outcomes</w:t>
      </w:r>
      <w:r>
        <w:rPr/>
        <w:t xml:space="preserve"> at the start of each, written as things the learner will do.</w:t>
      </w:r>
    </w:p>
    <w:p>
      <w:pPr>
        <w:pStyle w:val="ListBullet"/>
      </w:pPr>
      <w:r>
        <w:rPr>
          <w:b/>
        </w:rPr>
        <w:t>Quizzes rebuilt around situations</w:t>
      </w:r>
      <w:r>
        <w:rPr/>
        <w:t xml:space="preserve"> rather than recall, and lengthened (E1 from 6 to 10 questions, E2 from 5 to 8).</w:t>
      </w:r>
    </w:p>
    <w:p>
      <w:pPr>
        <w:pStyle w:val="ListBullet"/>
      </w:pPr>
      <w:r>
        <w:rPr>
          <w:b/>
        </w:rPr>
        <w:t>New content.</w:t>
      </w:r>
      <w:r>
        <w:rPr/>
        <w:t xml:space="preserve"> E1: the six-row job and not-job table, the ten-minute brief, the Lodge Mentor's year, a second scenario on choosing a Personal Mentor, successor planning from year one, and a map to the topic courses. E2: the phases of a mentoring relationship, the first three contacts, the shape of a one-to-one, listening habits. E6: a new scenario (the Warden who is not ready), the summer-break evidence, the BGP tenure recommendation, Wardens talking to their families.</w:t>
      </w:r>
    </w:p>
    <w:p>
      <w:pPr>
        <w:pStyle w:val="ListBullet"/>
      </w:pPr>
      <w:r>
        <w:rPr>
          <w:b/>
        </w:rPr>
        <w:t>Corrections.</w:t>
      </w:r>
      <w:r>
        <w:rPr/>
        <w:t xml:space="preserve"> The priorities line is now "Family &amp; Connections first, then Masonry. In that order." throughout (decision 12), including the Charge. "National research" on spring Initiates corrected to "research in one Province", as the UGLE paper says. "Welcome Apprentice" removed as an unverified Solomon module name.</w:t>
      </w:r>
    </w:p>
    <w:p>
      <w:pPr>
        <w:pStyle w:val="ListBullet"/>
      </w:pPr>
      <w:r>
        <w:rPr>
          <w:b/>
        </w:rPr>
        <w:t>Commitments written as implementation intentions</w:t>
      </w:r>
      <w:r>
        <w:rPr/>
        <w:t xml:space="preserve"> ("When..., I will..., with..., by...") with a thirty-day follow-up.</w:t>
      </w:r>
    </w:p>
    <w:p>
      <w:pPr>
        <w:pStyle w:val="Heading1"/>
      </w:pPr>
      <w:r>
        <w:t>6 Challenge: what will stop people learning</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Online alone will not do it.</w:t>
            </w:r>
            <w:r>
              <w:rPr>
                <w:color w:val="06345D"/>
              </w:rPr>
              <w:t xml:space="preserve"> Your decision of 10 October 2026 that the Personal Mentor and Lodge Mentor courses are in person only was right for the core skills, which need practice with another person. The online courses should sit alongside them, not replace them: online for knowledge and scenarios, in person or on the monthly call for practice.</w:t>
            </w:r>
          </w:p>
        </w:tc>
      </w:tr>
    </w:tbl>
    <w:p>
      <w:pPr>
        <w:spacing w:after="0"/>
      </w:pPr>
    </w:p>
    <w:p>
      <w:pPr>
        <w:pStyle w:val="ListBullet"/>
      </w:pPr>
      <w:r>
        <w:rPr>
          <w:b/>
        </w:rPr>
        <w:t>Validate the Lodge task.</w:t>
      </w:r>
      <w:r>
        <w:rPr/>
        <w:t xml:space="preserve"> Borrow from the Scouts: an online course is complete only when the Assistant Provincial Grand Mentor has had a five-minute conversation confirming the Lodge task was done. That single step turns reading into doing.</w:t>
      </w:r>
    </w:p>
    <w:p>
      <w:pPr>
        <w:pStyle w:val="ListBullet"/>
      </w:pPr>
      <w:r>
        <w:rPr>
          <w:b/>
        </w:rPr>
        <w:t>Give it a date and a person.</w:t>
      </w:r>
      <w:r>
        <w:rPr/>
        <w:t xml:space="preserve"> Run each topic course as a monthly "course of the month", with the first-Tuesday call as the live discussion of its scenarios. Self-paced courses without a cohort rarely get finished.</w:t>
      </w:r>
    </w:p>
    <w:p>
      <w:pPr>
        <w:pStyle w:val="ListBullet"/>
      </w:pPr>
      <w:r>
        <w:rPr>
          <w:b/>
        </w:rPr>
        <w:t>Recognise completion.</w:t>
      </w:r>
      <w:r>
        <w:rPr/>
        <w:t xml:space="preserve"> A certificate, a line in the annual report, and a name read at the Mentoring Lodge. Brethren respond to recognition; the sixty Mentor of the Year nominations in 2026 prove it.</w:t>
      </w:r>
    </w:p>
    <w:p>
      <w:pPr>
        <w:pStyle w:val="ListBullet"/>
      </w:pPr>
      <w:r>
        <w:rPr>
          <w:b/>
        </w:rPr>
        <w:t>Measure behaviour, not clicks.</w:t>
      </w:r>
      <w:r>
        <w:rPr/>
        <w:t xml:space="preserve"> Report coverage, timely contact and the thirty-day answers, not just completions.</w:t>
      </w:r>
    </w:p>
    <w:p>
      <w:pPr>
        <w:pStyle w:val="ListBullet"/>
      </w:pPr>
      <w:r>
        <w:rPr>
          <w:b/>
        </w:rPr>
        <w:t>Keep the facts current.</w:t>
      </w:r>
      <w:r>
        <w:rPr/>
        <w:t xml:space="preserve"> Rules, fees, phone numbers and Hermes processes change. Each course needs an owner and an annual review date.</w:t>
      </w:r>
    </w:p>
    <w:p>
      <w:pPr>
        <w:pStyle w:val="Heading1"/>
      </w:pPr>
      <w:r>
        <w:t>7 Decisions and checks needed before loading</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Item</w:t>
            </w:r>
          </w:p>
        </w:tc>
        <w:tc>
          <w:tcPr>
            <w:tcW w:type="dxa" w:w="7012"/>
            <w:shd w:val="clear" w:color="auto" w:fill="003668"/>
          </w:tcPr>
          <w:p>
            <w:pPr>
              <w:keepNext/>
              <w:spacing w:before="60" w:after="60"/>
            </w:pPr>
            <w:r>
              <w:rPr>
                <w:b/>
                <w:color w:val="FFFFFF"/>
              </w:rPr>
              <w:t>What is needed</w:t>
            </w:r>
          </w:p>
        </w:tc>
      </w:tr>
      <w:tr>
        <w:trPr>
          <w:cantSplit/>
        </w:trPr>
        <w:tc>
          <w:tcPr>
            <w:tcW w:type="dxa" w:w="2400"/>
          </w:tcPr>
          <w:p>
            <w:pPr>
              <w:spacing w:before="60" w:after="60"/>
            </w:pPr>
            <w:r>
              <w:rPr/>
              <w:t>Level value</w:t>
            </w:r>
          </w:p>
        </w:tc>
        <w:tc>
          <w:tcPr>
            <w:tcW w:type="dxa" w:w="7012"/>
          </w:tcPr>
          <w:p>
            <w:pPr>
              <w:spacing w:before="60" w:after="60"/>
            </w:pPr>
            <w:r>
              <w:rPr/>
              <w:t>The topic courses use Level "Specialist". If the Hub accepts only Essential and Recommended, change it to Recommended.</w:t>
            </w:r>
          </w:p>
        </w:tc>
      </w:tr>
      <w:tr>
        <w:trPr>
          <w:cantSplit/>
        </w:trPr>
        <w:tc>
          <w:tcPr>
            <w:tcW w:type="dxa" w:w="2400"/>
          </w:tcPr>
          <w:p>
            <w:pPr>
              <w:spacing w:before="60" w:after="60"/>
            </w:pPr>
            <w:r>
              <w:rPr/>
              <w:t>Rule 183 in Hermes</w:t>
            </w:r>
          </w:p>
        </w:tc>
        <w:tc>
          <w:tcPr>
            <w:tcW w:type="dxa" w:w="7012"/>
          </w:tcPr>
          <w:p>
            <w:pPr>
              <w:spacing w:before="60" w:after="60"/>
            </w:pPr>
            <w:r>
              <w:rPr/>
              <w:t>E7e and E1 state the sixty days in the Hermes form (decision 10). UGLE's 2014 guidance describes it following a Lodge vote. Confirm with the Provincial Grand Secretary.</w:t>
            </w:r>
          </w:p>
        </w:tc>
      </w:tr>
      <w:tr>
        <w:trPr>
          <w:cantSplit/>
        </w:trPr>
        <w:tc>
          <w:tcPr>
            <w:tcW w:type="dxa" w:w="2400"/>
          </w:tcPr>
          <w:p>
            <w:pPr>
              <w:spacing w:before="60" w:after="60"/>
            </w:pPr>
            <w:r>
              <w:rPr/>
              <w:t>The Charge</w:t>
            </w:r>
          </w:p>
        </w:tc>
        <w:tc>
          <w:tcPr>
            <w:tcW w:type="dxa" w:w="7012"/>
          </w:tcPr>
          <w:p>
            <w:pPr>
              <w:spacing w:before="60" w:after="60"/>
            </w:pPr>
            <w:r>
              <w:rPr/>
              <w:t>Now carries the new priorities line; still awaiting approval as canon.</w:t>
            </w:r>
          </w:p>
        </w:tc>
      </w:tr>
      <w:tr>
        <w:trPr>
          <w:cantSplit/>
        </w:trPr>
        <w:tc>
          <w:tcPr>
            <w:tcW w:type="dxa" w:w="2400"/>
          </w:tcPr>
          <w:p>
            <w:pPr>
              <w:spacing w:before="60" w:after="60"/>
            </w:pPr>
            <w:r>
              <w:rPr/>
              <w:t>Contacts</w:t>
            </w:r>
          </w:p>
        </w:tc>
        <w:tc>
          <w:tcPr>
            <w:tcW w:type="dxa" w:w="7012"/>
          </w:tcPr>
          <w:p>
            <w:pPr>
              <w:spacing w:before="60" w:after="60"/>
            </w:pPr>
            <w:r>
              <w:rPr/>
              <w:t>MCF freephone 0800 035 6090 and help@mcf.org.uk; NHS 111 option 2; Samaritans 116 123. Check at each issue.</w:t>
            </w:r>
          </w:p>
        </w:tc>
      </w:tr>
      <w:tr>
        <w:trPr>
          <w:cantSplit/>
        </w:trPr>
        <w:tc>
          <w:tcPr>
            <w:tcW w:type="dxa" w:w="2400"/>
          </w:tcPr>
          <w:p>
            <w:pPr>
              <w:spacing w:before="60" w:after="60"/>
            </w:pPr>
            <w:r>
              <w:rPr/>
              <w:t>Data rules</w:t>
            </w:r>
          </w:p>
        </w:tc>
        <w:tc>
          <w:tcPr>
            <w:tcW w:type="dxa" w:w="7012"/>
          </w:tcPr>
          <w:p>
            <w:pPr>
              <w:spacing w:before="60" w:after="60"/>
            </w:pPr>
            <w:r>
              <w:rPr/>
              <w:t>E7b refers to A3 section 7, still awaiting sign-off, and to the open question of the member holding part of his Plan.</w:t>
            </w:r>
          </w:p>
        </w:tc>
      </w:tr>
      <w:tr>
        <w:trPr>
          <w:cantSplit/>
        </w:trPr>
        <w:tc>
          <w:tcPr>
            <w:tcW w:type="dxa" w:w="2400"/>
          </w:tcPr>
          <w:p>
            <w:pPr>
              <w:spacing w:before="60" w:after="60"/>
            </w:pPr>
            <w:r>
              <w:rPr/>
              <w:t>Graphics</w:t>
            </w:r>
          </w:p>
        </w:tc>
        <w:tc>
          <w:tcPr>
            <w:tcW w:type="dxa" w:w="7012"/>
          </w:tcPr>
          <w:p>
            <w:pPr>
              <w:spacing w:before="60" w:after="60"/>
            </w:pPr>
            <w:r>
              <w:rPr/>
              <w:t>Two new graphic placeholders: the eight-skills wheel (E7a) and the five-year office plan grid (E7c).</w:t>
            </w:r>
          </w:p>
        </w:tc>
      </w:tr>
      <w:tr>
        <w:trPr>
          <w:cantSplit/>
        </w:trPr>
        <w:tc>
          <w:tcPr>
            <w:tcW w:type="dxa" w:w="2400"/>
          </w:tcPr>
          <w:p>
            <w:pPr>
              <w:spacing w:before="60" w:after="60"/>
            </w:pPr>
            <w:r>
              <w:rPr/>
              <w:t>Library</w:t>
            </w:r>
          </w:p>
        </w:tc>
        <w:tc>
          <w:tcPr>
            <w:tcW w:type="dxa" w:w="7012"/>
          </w:tcPr>
          <w:p>
            <w:pPr>
              <w:spacing w:before="60" w:after="60"/>
            </w:pPr>
            <w:r>
              <w:rPr/>
              <w:t>Add E7a to E7h to the Master Framework (Tier E), with the decision on delivery model.</w:t>
            </w:r>
          </w:p>
        </w:tc>
      </w:tr>
      <w:tr>
        <w:trPr>
          <w:cantSplit/>
        </w:trPr>
        <w:tc>
          <w:tcPr>
            <w:tcW w:type="dxa" w:w="2400"/>
          </w:tcPr>
          <w:p>
            <w:pPr>
              <w:spacing w:before="60" w:after="60"/>
            </w:pPr>
            <w:r>
              <w:rPr/>
              <w:t>Quiz line</w:t>
            </w:r>
          </w:p>
        </w:tc>
        <w:tc>
          <w:tcPr>
            <w:tcW w:type="dxa" w:w="7012"/>
          </w:tcPr>
          <w:p>
            <w:pPr>
              <w:spacing w:before="60" w:after="60"/>
            </w:pPr>
            <w:r>
              <w:rPr/>
              <w:t>The Hub export writes "pass mark course default%" on quiz lines; kept as exported so the import matches. Worth a look in the Hub.</w:t>
            </w:r>
          </w:p>
        </w:tc>
      </w:tr>
    </w:tbl>
    <w:p>
      <w:pPr>
        <w:spacing w:after="0"/>
      </w:pPr>
    </w:p>
    <w:p>
      <w:pPr>
        <w:pStyle w:val="Heading1"/>
      </w:pPr>
      <w:r>
        <w:t>8 Sources</w:t>
      </w:r>
    </w:p>
    <w:p>
      <w:pPr>
        <w:spacing w:after="120"/>
      </w:pPr>
      <w:r>
        <w:rPr/>
        <w:t>Solomon, solomon.ugle.org.uk; UGLE Learning and Development Programme, ugle.org.uk; masonicmentoring.org.uk; Somerset Freemasons, Membership Development page; Lincolnshire Freemasons, mentoring workshops (2019); East Lancashire Freemasons, Everyone is a Mentor; Hampshire and Isle of Wight Freemasons, Masonic Learning and Development; Pennsylvania Grand Lodge, Online Education and Mentoring Program. MENTOR, Elements of Effective Practice for Mentoring, Mentor Preparation and Training; DuBois et al. (2002), American Journal of Community Psychology 30(2); Grossman and Rhodes (2002), The Test of Time; Scouts UK, Training Adviser's guide; EMCC Competence Framework; British Safety Council, IOSH Working Safely; Roediger and Karpicke (2006), Psychological Science; Gollwitzer and Sheeran (2006), Advances in Experimental Social Psychology; Reich and Ruiperez-Valiente (2019), Science; Langewitz et al. (2002), BMJ; Singh Ospina et al. (2019), Journal of General Internal Medicine; Huang et al. (2017), Journal of Personality and Social Psychology; UK Community Life Survey 2024/25. Project knowledge base: UGLE Members' Pathway ENGAGE and RETRIEVE papers; MetGL/MetGC Mentors' Handbook v2.0 (2025); UGLE/MCF Almoner's Guide; PGLH Secretaries' Handbook (January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The Mentoring Academy: Online Courses</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