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Canon · A1</w:t>
      </w:r>
    </w:p>
    <w:p>
      <w:pPr>
        <w:pStyle w:val="Title"/>
        <w:spacing w:after="80"/>
      </w:pPr>
      <w:r>
        <w:rPr>
          <w:sz w:val="48"/>
        </w:rPr>
        <w:t>The Hertfordshire Mentoring Principles</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i/>
                <w:color w:val="06345D"/>
              </w:rPr>
              <w:t>“Every member, in every Lodge, experiences Freemasonry as welcoming, supportive, engaging, and personally rewarding.”</w:t>
            </w:r>
          </w:p>
        </w:tc>
      </w:tr>
    </w:tbl>
    <w:p>
      <w:pPr>
        <w:spacing w:after="0"/>
      </w:pPr>
    </w:p>
    <w:p>
      <w:pPr>
        <w:spacing w:after="80"/>
      </w:pPr>
      <w:r>
        <w:rPr/>
        <w:t>Mentoring in Hertfordshire is a culture, not a programme. It supports a Brother from his first enquiry into Freemasonry through every stage of his Masonic journey - properly prepared, thoughtfully guided, actively supported, and continuously enlightened - so that no Brother walks alone.</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PREPARE</w:t>
            </w:r>
          </w:p>
        </w:tc>
        <w:tc>
          <w:tcPr>
            <w:tcW w:type="dxa" w:w="7612"/>
          </w:tcPr>
          <w:p>
            <w:pPr>
              <w:spacing w:before="60" w:after="60"/>
            </w:pPr>
            <w:r>
              <w:rPr/>
              <w:t>Ensuring members are ready for each stage of their Masonic journey. This begins before interview and continues through practical preparation for ceremonies, office, and progression - ensuring members understand what to expect before it happens. There should never be any surprises.</w:t>
            </w:r>
          </w:p>
        </w:tc>
      </w:tr>
      <w:tr>
        <w:trPr>
          <w:cantSplit/>
        </w:trPr>
        <w:tc>
          <w:tcPr>
            <w:tcW w:type="dxa" w:w="1800"/>
          </w:tcPr>
          <w:p>
            <w:pPr>
              <w:spacing w:before="60" w:after="60"/>
            </w:pPr>
            <w:r>
              <w:rPr/>
              <w:t>GUIDE</w:t>
            </w:r>
          </w:p>
        </w:tc>
        <w:tc>
          <w:tcPr>
            <w:tcW w:type="dxa" w:w="7612"/>
          </w:tcPr>
          <w:p>
            <w:pPr>
              <w:spacing w:before="60" w:after="60"/>
            </w:pPr>
            <w:r>
              <w:rP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trPr>
          <w:cantSplit/>
        </w:trPr>
        <w:tc>
          <w:tcPr>
            <w:tcW w:type="dxa" w:w="1800"/>
          </w:tcPr>
          <w:p>
            <w:pPr>
              <w:spacing w:before="60" w:after="60"/>
            </w:pPr>
            <w:r>
              <w:rPr/>
              <w:t>SUPPORT</w:t>
            </w:r>
          </w:p>
        </w:tc>
        <w:tc>
          <w:tcPr>
            <w:tcW w:type="dxa" w:w="7612"/>
          </w:tcPr>
          <w:p>
            <w:pPr>
              <w:spacing w:before="60" w:after="60"/>
            </w:pPr>
            <w:r>
              <w:rP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trPr>
          <w:cantSplit/>
        </w:trPr>
        <w:tc>
          <w:tcPr>
            <w:tcW w:type="dxa" w:w="1800"/>
          </w:tcPr>
          <w:p>
            <w:pPr>
              <w:spacing w:before="60" w:after="60"/>
            </w:pPr>
            <w:r>
              <w:rPr/>
              <w:t>ENLIGHTEN</w:t>
            </w:r>
          </w:p>
        </w:tc>
        <w:tc>
          <w:tcPr>
            <w:tcW w:type="dxa" w:w="7612"/>
          </w:tcPr>
          <w:p>
            <w:pPr>
              <w:spacing w:before="60" w:after="60"/>
            </w:pPr>
            <w:r>
              <w:rP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pPr>
        <w:spacing w:after="0"/>
      </w:pPr>
    </w:p>
    <w:p>
      <w:pPr>
        <w:spacing w:after="60"/>
      </w:pPr>
      <w:r>
        <w:rPr>
          <w:b/>
        </w:rPr>
        <w:t>These four principles are not sequential stages.</w:t>
      </w:r>
      <w:r>
        <w:rPr/>
        <w:t xml:space="preserve"> They apply continuously and simultaneously throughout a member's journey - from applicant to Entered Apprentice, through each degree, into the Royal Arch, into office, through the Chair and beyond it.</w:t>
      </w:r>
    </w:p>
    <w:p>
      <w:pPr>
        <w:spacing w:after="60"/>
      </w:pPr>
      <w:r>
        <w:rPr/>
        <w:t xml:space="preserve">The Lodge Mentor co-ordinates; the Personal Mentor accompanies; but the responsibility belongs to every member of every Lodge. </w:t>
      </w:r>
      <w:r>
        <w:rPr>
          <w:i/>
        </w:rPr>
        <w:t>“We are all mentors to others in Freemasonry.”</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i/>
                <w:color w:val="06345D"/>
              </w:rPr>
              <w:t>Freemasonry must be fun. A man who is enjoying himself attends; a man who attends participates; a man who participates belongs; and a man who belongs does not resign.</w:t>
            </w:r>
          </w:p>
        </w:tc>
      </w:tr>
    </w:tbl>
    <w:p>
      <w:pPr>
        <w:spacing w:after="0"/>
      </w:pPr>
    </w:p>
    <w:p>
      <w:pPr>
        <w:spacing w:after="0"/>
      </w:pPr>
      <w:r>
        <w:rPr>
          <w:b/>
          <w:sz w:val="18"/>
        </w:rPr>
        <w:t>Status of this document.</w:t>
      </w:r>
      <w:r>
        <w:rPr>
          <w:sz w:val="18"/>
        </w:rPr>
        <w:t xml:space="preserve"> This page is the canonical statement of the Hertfordshire Mentoring Principles. Every mentoring document produced by the Province quotes the principles, their order and their definitions from this page verbatim, and does not restate them. Changes are made here first, by decision of the Provincial Grand Mentor, and flow outward at each document's next issue. </w:t>
      </w:r>
      <w:r>
        <w:rPr>
          <w:i/>
          <w:sz w:val="18"/>
        </w:rPr>
        <w:t>Issue 1, July 2026; Issue 1a, October 2026, on the Provincial template, text unchanged.</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Hertfordshire Mentoring Principles</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rPr>
      <w:sz w:val="19"/>
    </w:rPr>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