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600"/>
        <w:jc w:val="center"/>
      </w:pPr>
      <w:r>
        <w:rPr>
          <w:b/>
          <w:bCs/>
          <w:caps/>
          <w:color w:val="595959"/>
          <w:sz w:val="26"/>
          <w:szCs w:val="26"/>
        </w:rPr>
        <w:t xml:space="preserve">HERTFORDSHIRE FREEMASONS</w:t>
      </w:r>
    </w:p>
    <w:p>
      <w:pPr>
        <w:spacing w:after="120"/>
        <w:jc w:val="center"/>
      </w:pPr>
      <w:r>
        <w:rPr>
          <w:b/>
          <w:bCs/>
          <w:color w:val="1F3864"/>
          <w:sz w:val="56"/>
          <w:szCs w:val="56"/>
        </w:rPr>
        <w:t xml:space="preserve">Style, Terminology and Data Guide</w:t>
      </w:r>
    </w:p>
    <w:p>
      <w:pPr>
        <w:spacing w:after="300"/>
        <w:jc w:val="center"/>
      </w:pPr>
      <w:r>
        <w:rPr>
          <w:color w:val="2E5395"/>
          <w:sz w:val="30"/>
          <w:szCs w:val="30"/>
        </w:rPr>
        <w:t xml:space="preserve">For all Hertfordshire Mentoring Framework publications</w:t>
      </w:r>
    </w:p>
    <w:p>
      <w:pPr>
        <w:spacing w:after="500"/>
        <w:jc w:val="center"/>
      </w:pPr>
      <w:r>
        <w:rPr>
          <w:i/>
          <w:iCs/>
          <w:color w:val="1F3864"/>
          <w:sz w:val="26"/>
          <w:szCs w:val="26"/>
        </w:rPr>
        <w:t xml:space="preserve">Prepare  •  Guide  •  Support  •  Enlighten</w:t>
      </w:r>
    </w:p>
    <w:p>
      <w:pPr>
        <w:spacing w:after="80"/>
        <w:jc w:val="center"/>
      </w:pPr>
      <w:r>
        <w:rPr>
          <w:b/>
          <w:bCs/>
          <w:sz w:val="24"/>
          <w:szCs w:val="24"/>
        </w:rPr>
        <w:t xml:space="preserve">Issue 1 (Draft for Review)</w:t>
      </w:r>
    </w:p>
    <w:p>
      <w:pPr>
        <w:spacing w:after="80"/>
        <w:jc w:val="center"/>
      </w:pPr>
      <w:r>
        <w:rPr>
          <w:sz w:val="24"/>
          <w:szCs w:val="24"/>
        </w:rPr>
        <w:t xml:space="preserve">July 2026</w:t>
      </w:r>
    </w:p>
    <w:p>
      <w:pPr>
        <w:spacing w:before="400"/>
        <w:jc w:val="center"/>
      </w:pPr>
      <w:r>
        <w:rPr>
          <w:i/>
          <w:iCs/>
          <w:color w:val="595959"/>
          <w:sz w:val="20"/>
          <w:szCs w:val="20"/>
        </w:rPr>
        <w:t xml:space="preserve">Tier A canon document - applies to every document in the mentoring library</w:t>
      </w:r>
    </w:p>
    <w:p>
      <w:r>
        <w:br w:type="page"/>
      </w:r>
    </w:p>
    <w:p>
      <w:pPr>
        <w:spacing w:after="200"/>
      </w:pPr>
      <w:r>
        <w:rPr>
          <w:b/>
          <w:bCs/>
          <w:color w:val="1F3864"/>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60"/>
      </w:pPr>
      <w:r>
        <w:t xml:space="preserve">1. Purpose</w:t>
      </w:r>
    </w:p>
    <w:p>
      <w:pPr>
        <w:spacing w:after="140" w:line="300"/>
        <w:jc w:val="both"/>
      </w:pPr>
      <w:r>
        <w:t xml:space="preserve">This guide keeps the Hertfordshire mentoring library consistent. It defines the house style, the canonical terminology, the standard for handling ritual content, the rules for using external material, and the rules for mentoring records and personal data. Every document in the library - handbook, guide, plan, presentation, article or book extract - follows this guide. Where a document needs to depart from it, the departure is agreed with the Provincial Grand Mentor's office first and recorded in the document's revision history.</w:t>
      </w:r>
    </w:p>
    <w:p>
      <w:pPr>
        <w:spacing w:after="140" w:line="300"/>
        <w:jc w:val="both"/>
      </w:pPr>
      <w:r>
        <w:t xml:space="preserve">This guide sits in Tier A of the library alongside </w:t>
      </w:r>
      <w:r>
        <w:rPr>
          <w:i/>
          <w:iCs/>
        </w:rPr>
        <w:t xml:space="preserve">The Hertfordshire Mentoring Principles</w:t>
      </w:r>
      <w:r>
        <w:t xml:space="preserve"> (the one-page canon) and the </w:t>
      </w:r>
      <w:r>
        <w:rPr>
          <w:i/>
          <w:iCs/>
        </w:rPr>
        <w:t xml:space="preserve">Provincial Mentoring Framework</w:t>
      </w:r>
      <w:r>
        <w:t xml:space="preserve">. The principles themselves are never restated in any document - they are quoted verbatim from the canon page.</w:t>
      </w:r>
    </w:p>
    <w:p>
      <w:pPr>
        <w:pStyle w:val="Heading1"/>
        <w:spacing w:after="160" w:before="360"/>
      </w:pPr>
      <w:r>
        <w:t xml:space="preserve">2. Document Standards</w:t>
      </w:r>
    </w:p>
    <w:p>
      <w:pPr>
        <w:spacing w:after="140" w:line="300"/>
        <w:jc w:val="both"/>
      </w:pPr>
      <w:r>
        <w:t xml:space="preserve">Every published document in the library carries:</w:t>
      </w:r>
    </w:p>
    <w:p>
      <w:pPr>
        <w:pStyle w:val="ListParagraph"/>
        <w:numPr>
          <w:ilvl w:val="0"/>
          <w:numId w:val="2"/>
        </w:numPr>
        <w:spacing w:after="80" w:line="280"/>
      </w:pPr>
      <w:r>
        <w:rPr>
          <w:b/>
          <w:bCs/>
        </w:rPr>
        <w:t xml:space="preserve">A cover page </w:t>
      </w:r>
      <w:r>
        <w:t xml:space="preserve">with the document title, the strapline 'Prepare • Guide • Support • Enlighten', the issue reference, and 'Produced by the Provincial Grand Mentor'.</w:t>
      </w:r>
    </w:p>
    <w:p>
      <w:pPr>
        <w:pStyle w:val="ListParagraph"/>
        <w:numPr>
          <w:ilvl w:val="0"/>
          <w:numId w:val="2"/>
        </w:numPr>
        <w:spacing w:after="80" w:line="280"/>
      </w:pPr>
      <w:r>
        <w:rPr>
          <w:b/>
          <w:bCs/>
        </w:rPr>
        <w:t xml:space="preserve">Issue-based version control: </w:t>
      </w:r>
      <w:r>
        <w:t xml:space="preserve">'Issue n, Month Year' (e.g. Issue 1, February 2026 - the convention established by the Treasurers' Guide), plus a revision-history table inside the document recording issue, date, author and summary of change.</w:t>
      </w:r>
    </w:p>
    <w:p>
      <w:pPr>
        <w:pStyle w:val="ListParagraph"/>
        <w:numPr>
          <w:ilvl w:val="0"/>
          <w:numId w:val="2"/>
        </w:numPr>
        <w:spacing w:after="80" w:line="280"/>
      </w:pPr>
      <w:r>
        <w:rPr>
          <w:b/>
          <w:bCs/>
        </w:rPr>
        <w:t xml:space="preserve">A contents page </w:t>
      </w:r>
      <w:r>
        <w:t xml:space="preserve">for anything longer than four pages.</w:t>
      </w:r>
    </w:p>
    <w:p>
      <w:pPr>
        <w:pStyle w:val="ListParagraph"/>
        <w:numPr>
          <w:ilvl w:val="0"/>
          <w:numId w:val="2"/>
        </w:numPr>
        <w:spacing w:after="80" w:line="280"/>
      </w:pPr>
      <w:r>
        <w:rPr>
          <w:b/>
          <w:bCs/>
        </w:rPr>
        <w:t xml:space="preserve">An abbreviations table </w:t>
      </w:r>
      <w:r>
        <w:t xml:space="preserve">near the front where abbreviations are used (see Section 4 for the canonical set).</w:t>
      </w:r>
    </w:p>
    <w:p>
      <w:pPr>
        <w:pStyle w:val="ListParagraph"/>
        <w:numPr>
          <w:ilvl w:val="0"/>
          <w:numId w:val="2"/>
        </w:numPr>
        <w:spacing w:after="80" w:line="280"/>
      </w:pPr>
      <w:r>
        <w:rPr>
          <w:b/>
          <w:bCs/>
        </w:rPr>
        <w:t xml:space="preserve">'Working with…' sections </w:t>
      </w:r>
      <w:r>
        <w:t xml:space="preserve">in every practitioner document, describing the interfaces with the Almoner, Membership Officer, Director of Ceremonies, Secretary and Royal Arch Representative as relevant - mirroring the convention in the UGLE officer guides.</w:t>
      </w:r>
    </w:p>
    <w:p>
      <w:pPr>
        <w:pStyle w:val="ListParagraph"/>
        <w:numPr>
          <w:ilvl w:val="0"/>
          <w:numId w:val="2"/>
        </w:numPr>
        <w:spacing w:after="80" w:line="280"/>
      </w:pPr>
      <w:r>
        <w:rPr>
          <w:b/>
          <w:bCs/>
        </w:rPr>
        <w:t xml:space="preserve">The Provincial contact block </w:t>
      </w:r>
      <w:r>
        <w:t xml:space="preserve">at the back: Provincial Office, Fleet House, 10 Parkway, St Albans AL3 6PA; 01727 833061; www.pgherts.org; mentor@hertfordshirefreemasons.org.uk; plus solomon.ugle.org.uk where relevant.</w:t>
      </w:r>
    </w:p>
    <w:p>
      <w:pPr>
        <w:pStyle w:val="ListParagraph"/>
        <w:numPr>
          <w:ilvl w:val="0"/>
          <w:numId w:val="2"/>
        </w:numPr>
        <w:spacing w:after="80" w:line="280"/>
      </w:pPr>
      <w:r>
        <w:rPr>
          <w:b/>
          <w:bCs/>
        </w:rPr>
        <w:t xml:space="preserve">The copyright line: </w:t>
      </w:r>
      <w:r>
        <w:t xml:space="preserve">© Provincial Grand Mentor, Province of Hertfordshire, [year].</w:t>
      </w:r>
    </w:p>
    <w:p>
      <w:pPr>
        <w:spacing w:after="140" w:line="300"/>
        <w:jc w:val="both"/>
      </w:pPr>
      <w:r>
        <w:t xml:space="preserve">Member-facing guides are kept short and warm; practitioner documents may be fuller but never padded. Nothing is written simply to make a document longer.</w:t>
      </w:r>
    </w:p>
    <w:p>
      <w:pPr>
        <w:pStyle w:val="Heading1"/>
        <w:spacing w:after="160" w:before="360"/>
      </w:pPr>
      <w:r>
        <w:t xml:space="preserve">3. Voice and Style</w:t>
      </w:r>
    </w:p>
    <w:p>
      <w:pPr>
        <w:spacing w:after="140" w:line="300"/>
        <w:jc w:val="both"/>
      </w:pPr>
      <w:r>
        <w:rPr>
          <w:b/>
          <w:bCs/>
        </w:rPr>
        <w:t xml:space="preserve">The Hertfordshire voice, settled July 2026: </w:t>
      </w:r>
      <w:r>
        <w:t xml:space="preserve">modern, fresh, concise and to the point. Enjoyable to read, because mentoring is enjoyable. It flows easily. Short sentences carry it. If a sentence can lose a clause and keep its meaning, lose the clause.</w:t>
      </w:r>
    </w:p>
    <w:p>
      <w:pPr>
        <w:pStyle w:val="ListParagraph"/>
        <w:numPr>
          <w:ilvl w:val="0"/>
          <w:numId w:val="2"/>
        </w:numPr>
        <w:spacing w:after="80" w:line="280"/>
      </w:pPr>
      <w:r>
        <w:rPr>
          <w:b/>
          <w:bCs/>
        </w:rPr>
        <w:t xml:space="preserve">British English throughout</w:t>
      </w:r>
      <w:r>
        <w:t xml:space="preserve"> - organise, programme; 'whilst' sparingly.</w:t>
      </w:r>
    </w:p>
    <w:p>
      <w:pPr>
        <w:pStyle w:val="ListParagraph"/>
        <w:numPr>
          <w:ilvl w:val="0"/>
          <w:numId w:val="2"/>
        </w:numPr>
        <w:spacing w:after="80" w:line="280"/>
      </w:pPr>
      <w:r>
        <w:rPr>
          <w:b/>
          <w:bCs/>
        </w:rPr>
        <w:t xml:space="preserve">Warm, professional, welcoming and encouraging. </w:t>
      </w:r>
      <w:r>
        <w:t xml:space="preserve">Reassurance before information; stories before rules. The reader should feel supported, never assessed.</w:t>
      </w:r>
    </w:p>
    <w:p>
      <w:pPr>
        <w:pStyle w:val="ListParagraph"/>
        <w:numPr>
          <w:ilvl w:val="0"/>
          <w:numId w:val="2"/>
        </w:numPr>
        <w:spacing w:after="80" w:line="280"/>
      </w:pPr>
      <w:r>
        <w:rPr>
          <w:b/>
          <w:bCs/>
        </w:rPr>
        <w:t xml:space="preserve">Concise and direct. </w:t>
      </w:r>
      <w:r>
        <w:t xml:space="preserve">Say it once, say it plainly, move on. Cut throat-clearing openers, doubled adjectives and anything written to fill space. A short document that gets read beats a long one that doesn't.</w:t>
      </w:r>
    </w:p>
    <w:p>
      <w:pPr>
        <w:pStyle w:val="ListParagraph"/>
        <w:numPr>
          <w:ilvl w:val="0"/>
          <w:numId w:val="2"/>
        </w:numPr>
        <w:spacing w:after="80" w:line="280"/>
      </w:pPr>
      <w:r>
        <w:rPr>
          <w:b/>
          <w:bCs/>
        </w:rPr>
        <w:t xml:space="preserve">Practical over theoretical. </w:t>
      </w:r>
      <w:r>
        <w:t xml:space="preserve">Prefer guidance a mentor can use tonight: checklists, prompts, model questions.</w:t>
      </w:r>
    </w:p>
    <w:p>
      <w:pPr>
        <w:pStyle w:val="ListParagraph"/>
        <w:numPr>
          <w:ilvl w:val="0"/>
          <w:numId w:val="2"/>
        </w:numPr>
        <w:spacing w:after="80" w:line="280"/>
      </w:pPr>
      <w:r>
        <w:rPr>
          <w:b/>
          <w:bCs/>
        </w:rPr>
        <w:t xml:space="preserve">No management jargon. </w:t>
      </w:r>
      <w:r>
        <w:t xml:space="preserve">No 'stakeholders', 'leverage', 'KPIs' or 'onboarding' in member- or mentor-facing text. Plain equivalents exist for all of them.</w:t>
      </w:r>
    </w:p>
    <w:p>
      <w:pPr>
        <w:pStyle w:val="ListParagraph"/>
        <w:numPr>
          <w:ilvl w:val="0"/>
          <w:numId w:val="2"/>
        </w:numPr>
        <w:spacing w:after="80" w:line="280"/>
      </w:pPr>
      <w:r>
        <w:rPr>
          <w:b/>
          <w:bCs/>
        </w:rPr>
        <w:t xml:space="preserve">Guidance, not rulebook. </w:t>
      </w:r>
      <w:r>
        <w:t xml:space="preserve">The suite offers 'guidance and prompts rather than rigid instruction'. Boxed 'Key Principle' panels highlight the non-negotiables.</w:t>
      </w:r>
    </w:p>
    <w:p>
      <w:pPr>
        <w:pStyle w:val="ListParagraph"/>
        <w:numPr>
          <w:ilvl w:val="0"/>
          <w:numId w:val="2"/>
        </w:numPr>
        <w:spacing w:after="80" w:line="280"/>
      </w:pPr>
      <w:r>
        <w:rPr>
          <w:b/>
          <w:bCs/>
        </w:rPr>
        <w:t xml:space="preserve">Respect for tradition, honesty about change. </w:t>
      </w:r>
      <w:r>
        <w:t xml:space="preserve">Never speculate beyond recognised guidance. Where interpretation is offered, offer it with humility: different Brethren will read a symbol differently, and none of them wrongly.</w:t>
      </w:r>
    </w:p>
    <w:p>
      <w:pPr>
        <w:pStyle w:val="Heading3"/>
        <w:spacing w:after="100" w:before="220"/>
      </w:pPr>
      <w:r>
        <w:t xml:space="preserve">Punctuation</w:t>
      </w:r>
    </w:p>
    <w:p>
      <w:pPr>
        <w:pStyle w:val="ListParagraph"/>
        <w:numPr>
          <w:ilvl w:val="0"/>
          <w:numId w:val="2"/>
        </w:numPr>
        <w:spacing w:after="80" w:line="280"/>
      </w:pPr>
      <w:r>
        <w:rPr>
          <w:b/>
          <w:bCs/>
        </w:rPr>
        <w:t xml:space="preserve">Never use the em-dash ( - ). </w:t>
      </w:r>
      <w:r>
        <w:t xml:space="preserve">Settled July 2026. Use a hyphen (-) where a dash is genuinely needed, or better, a comma, a colon or a new sentence. Most dashes are a long sentence asking to be two short ones.</w:t>
      </w:r>
    </w:p>
    <w:p>
      <w:pPr>
        <w:pStyle w:val="ListParagraph"/>
        <w:numPr>
          <w:ilvl w:val="0"/>
          <w:numId w:val="2"/>
        </w:numPr>
        <w:spacing w:after="80" w:line="280"/>
      </w:pPr>
      <w:r>
        <w:rPr>
          <w:b/>
          <w:bCs/>
        </w:rPr>
        <w:t xml:space="preserve">Prefer full stops to semicolons </w:t>
      </w:r>
      <w:r>
        <w:t xml:space="preserve">in member-facing text. Keep exclamation marks for genuine warmth, and rare.</w:t>
      </w:r>
    </w:p>
    <w:p>
      <w:pPr>
        <w:spacing w:after="140" w:line="300"/>
        <w:jc w:val="both"/>
      </w:pPr>
      <w:r>
        <w:t xml:space="preserve">House phrases - used naturally, not mechanically: </w:t>
      </w:r>
      <w:r>
        <w:rPr>
          <w:i/>
          <w:iCs/>
        </w:rPr>
        <w:t xml:space="preserve">'There should never be any surprises'; 'How can we help?, never Why aren't you attending?'; 'Information, not recruitment; timing, not inevitability'; 'Family, Work, Masonry - in that order, always'; 'No Brother walks alone'; 'Freemasonry must be fun'.</w:t>
      </w:r>
    </w:p>
    <w:p>
      <w:pPr>
        <w:pStyle w:val="Heading1"/>
        <w:spacing w:after="160" w:before="360"/>
      </w:pPr>
      <w:r>
        <w:t xml:space="preserve">4. Canonical Terminology</w:t>
      </w:r>
    </w:p>
    <w:p>
      <w:pPr>
        <w:spacing w:after="140" w:line="300"/>
        <w:jc w:val="both"/>
      </w:pPr>
      <w:r>
        <w:t xml:space="preserve">The single agreed form of every contested term. Where a published document currently differs, the correction is listed in the Corrections Register and applied at its next issue.</w:t>
      </w:r>
    </w:p>
    <w:p>
      <w:pPr>
        <w:pStyle w:val="Heading3"/>
        <w:spacing w:after="100" w:before="220"/>
      </w:pPr>
      <w:r>
        <w:t xml:space="preserve">Titles and roles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6600"/>
      </w:tblGrid>
      <w:tr>
        <w:trPr>
          <w:tblHeader/>
        </w:trPr>
        <w:tc>
          <w:tcPr>
            <w:tcW w:type="dxa" w:w="3400"/>
            <w:shd w:fill="1F3864" w:val="clear"/>
            <w:tcMar>
              <w:top w:type="dxa" w:w="60"/>
              <w:left w:type="dxa" w:w="100"/>
              <w:bottom w:type="dxa" w:w="60"/>
              <w:right w:type="dxa" w:w="100"/>
            </w:tcMar>
          </w:tcPr>
          <w:p>
            <w:pPr>
              <w:spacing w:after="40" w:line="260"/>
            </w:pPr>
            <w:r>
              <w:rPr>
                <w:b/>
                <w:bCs/>
                <w:color w:val="FFFFFF"/>
                <w:sz w:val="20"/>
                <w:szCs w:val="20"/>
              </w:rPr>
              <w:t xml:space="preserve">Canonical term</w:t>
            </w:r>
          </w:p>
        </w:tc>
        <w:tc>
          <w:tcPr>
            <w:tcW w:type="dxa" w:w="6600"/>
            <w:shd w:fill="1F3864" w:val="clear"/>
            <w:tcMar>
              <w:top w:type="dxa" w:w="60"/>
              <w:left w:type="dxa" w:w="100"/>
              <w:bottom w:type="dxa" w:w="60"/>
              <w:right w:type="dxa" w:w="100"/>
            </w:tcMar>
          </w:tcPr>
          <w:p>
            <w:pPr>
              <w:spacing w:after="40" w:line="260"/>
            </w:pPr>
            <w:r>
              <w:rPr>
                <w:b/>
                <w:bCs/>
                <w:color w:val="FFFFFF"/>
                <w:sz w:val="20"/>
                <w:szCs w:val="20"/>
              </w:rPr>
              <w:t xml:space="preserve">Notes</w:t>
            </w:r>
          </w:p>
        </w:tc>
      </w:tr>
      <w:tr>
        <w:tc>
          <w:tcPr>
            <w:tcW w:type="dxa" w:w="3400"/>
            <w:tcMar>
              <w:top w:type="dxa" w:w="60"/>
              <w:left w:type="dxa" w:w="100"/>
              <w:bottom w:type="dxa" w:w="60"/>
              <w:right w:type="dxa" w:w="100"/>
            </w:tcMar>
          </w:tcPr>
          <w:p>
            <w:pPr>
              <w:spacing w:after="40" w:line="260"/>
            </w:pPr>
            <w:r>
              <w:rPr>
                <w:b/>
                <w:bCs/>
                <w:sz w:val="20"/>
                <w:szCs w:val="20"/>
              </w:rPr>
              <w:t xml:space="preserve">Provincial Grand Master (ProvGM)</w:t>
            </w:r>
          </w:p>
        </w:tc>
        <w:tc>
          <w:tcPr>
            <w:tcW w:type="dxa" w:w="6600"/>
            <w:tcMar>
              <w:top w:type="dxa" w:w="60"/>
              <w:left w:type="dxa" w:w="100"/>
              <w:bottom w:type="dxa" w:w="60"/>
              <w:right w:type="dxa" w:w="100"/>
            </w:tcMar>
          </w:tcPr>
          <w:p>
            <w:pPr>
              <w:spacing w:after="40" w:line="260"/>
            </w:pPr>
            <w:r>
              <w:rPr>
                <w:sz w:val="20"/>
                <w:szCs w:val="20"/>
              </w:rPr>
              <w:t xml:space="preserve">RW Bro Neil Connolly. Never abbreviate to 'PGM' in mentoring documents - see abbreviation rule below.</w:t>
            </w:r>
          </w:p>
        </w:tc>
      </w:tr>
      <w:tr>
        <w:tc>
          <w:tcPr>
            <w:tcW w:type="dxa" w:w="3400"/>
            <w:tcMar>
              <w:top w:type="dxa" w:w="60"/>
              <w:left w:type="dxa" w:w="100"/>
              <w:bottom w:type="dxa" w:w="60"/>
              <w:right w:type="dxa" w:w="100"/>
            </w:tcMar>
          </w:tcPr>
          <w:p>
            <w:pPr>
              <w:spacing w:after="40" w:line="260"/>
            </w:pPr>
            <w:r>
              <w:rPr>
                <w:b/>
                <w:bCs/>
                <w:sz w:val="20"/>
                <w:szCs w:val="20"/>
              </w:rPr>
              <w:t xml:space="preserve">Provincial Grand Mentor (ProvGMen)</w:t>
            </w:r>
          </w:p>
        </w:tc>
        <w:tc>
          <w:tcPr>
            <w:tcW w:type="dxa" w:w="6600"/>
            <w:tcMar>
              <w:top w:type="dxa" w:w="60"/>
              <w:left w:type="dxa" w:w="100"/>
              <w:bottom w:type="dxa" w:w="60"/>
              <w:right w:type="dxa" w:w="100"/>
            </w:tcMar>
          </w:tcPr>
          <w:p>
            <w:pPr>
              <w:spacing w:after="40" w:line="260"/>
            </w:pPr>
            <w:r>
              <w:rPr>
                <w:sz w:val="20"/>
                <w:szCs w:val="20"/>
              </w:rPr>
              <w:t xml:space="preserve">W Bro Mark Butcher (to 2027; W Bro Wes Pierce thereafter). Written in full at first use in every document.</w:t>
            </w:r>
          </w:p>
        </w:tc>
      </w:tr>
      <w:tr>
        <w:tc>
          <w:tcPr>
            <w:tcW w:type="dxa" w:w="3400"/>
            <w:tcMar>
              <w:top w:type="dxa" w:w="60"/>
              <w:left w:type="dxa" w:w="100"/>
              <w:bottom w:type="dxa" w:w="60"/>
              <w:right w:type="dxa" w:w="100"/>
            </w:tcMar>
          </w:tcPr>
          <w:p>
            <w:pPr>
              <w:spacing w:after="40" w:line="260"/>
            </w:pPr>
            <w:r>
              <w:rPr>
                <w:b/>
                <w:bCs/>
                <w:sz w:val="20"/>
                <w:szCs w:val="20"/>
              </w:rPr>
              <w:t xml:space="preserve">Deputy Provincial Grand Mentor</w:t>
            </w:r>
          </w:p>
        </w:tc>
        <w:tc>
          <w:tcPr>
            <w:tcW w:type="dxa" w:w="6600"/>
            <w:tcMar>
              <w:top w:type="dxa" w:w="60"/>
              <w:left w:type="dxa" w:w="100"/>
              <w:bottom w:type="dxa" w:w="60"/>
              <w:right w:type="dxa" w:w="100"/>
            </w:tcMar>
          </w:tcPr>
          <w:p>
            <w:pPr>
              <w:spacing w:after="40" w:line="260"/>
            </w:pPr>
            <w:r>
              <w:rPr>
                <w:sz w:val="20"/>
                <w:szCs w:val="20"/>
              </w:rPr>
              <w:t xml:space="preserve">W Bro Wes Pierce (to 2027). Settled July 2026: not 'Assistant Grand Mentor'.</w:t>
            </w:r>
          </w:p>
        </w:tc>
      </w:tr>
      <w:tr>
        <w:tc>
          <w:tcPr>
            <w:tcW w:type="dxa" w:w="3400"/>
            <w:tcMar>
              <w:top w:type="dxa" w:w="60"/>
              <w:left w:type="dxa" w:w="100"/>
              <w:bottom w:type="dxa" w:w="60"/>
              <w:right w:type="dxa" w:w="100"/>
            </w:tcMar>
          </w:tcPr>
          <w:p>
            <w:pPr>
              <w:spacing w:after="40" w:line="260"/>
            </w:pPr>
            <w:r>
              <w:rPr>
                <w:b/>
                <w:bCs/>
                <w:sz w:val="20"/>
                <w:szCs w:val="20"/>
              </w:rPr>
              <w:t xml:space="preserve">Assistant Provincial Grand Mentors (APGMen)</w:t>
            </w:r>
          </w:p>
        </w:tc>
        <w:tc>
          <w:tcPr>
            <w:tcW w:type="dxa" w:w="6600"/>
            <w:tcMar>
              <w:top w:type="dxa" w:w="60"/>
              <w:left w:type="dxa" w:w="100"/>
              <w:bottom w:type="dxa" w:w="60"/>
              <w:right w:type="dxa" w:w="100"/>
            </w:tcMar>
          </w:tcPr>
          <w:p>
            <w:pPr>
              <w:spacing w:after="40" w:line="260"/>
            </w:pPr>
            <w:r>
              <w:rPr>
                <w:sz w:val="20"/>
                <w:szCs w:val="20"/>
              </w:rPr>
              <w:t xml:space="preserve">Five, one per APGM area, per the Provincial Mentoring Framework.</w:t>
            </w:r>
          </w:p>
        </w:tc>
      </w:tr>
      <w:tr>
        <w:tc>
          <w:tcPr>
            <w:tcW w:type="dxa" w:w="3400"/>
            <w:tcMar>
              <w:top w:type="dxa" w:w="60"/>
              <w:left w:type="dxa" w:w="100"/>
              <w:bottom w:type="dxa" w:w="60"/>
              <w:right w:type="dxa" w:w="100"/>
            </w:tcMar>
          </w:tcPr>
          <w:p>
            <w:pPr>
              <w:spacing w:after="40" w:line="260"/>
            </w:pPr>
            <w:r>
              <w:rPr>
                <w:b/>
                <w:bCs/>
                <w:sz w:val="20"/>
                <w:szCs w:val="20"/>
              </w:rPr>
              <w:t xml:space="preserve">Lodge Mentor (LM)</w:t>
            </w:r>
          </w:p>
        </w:tc>
        <w:tc>
          <w:tcPr>
            <w:tcW w:type="dxa" w:w="6600"/>
            <w:tcMar>
              <w:top w:type="dxa" w:w="60"/>
              <w:left w:type="dxa" w:w="100"/>
              <w:bottom w:type="dxa" w:w="60"/>
              <w:right w:type="dxa" w:w="100"/>
            </w:tcMar>
          </w:tcPr>
          <w:p>
            <w:pPr>
              <w:spacing w:after="40" w:line="260"/>
            </w:pPr>
            <w:r>
              <w:rPr>
                <w:sz w:val="20"/>
                <w:szCs w:val="20"/>
              </w:rPr>
              <w:t xml:space="preserve">The co-ordinator of mentoring within a Lodge. Recommended tenure 3-5 years.</w:t>
            </w:r>
          </w:p>
        </w:tc>
      </w:tr>
      <w:tr>
        <w:tc>
          <w:tcPr>
            <w:tcW w:type="dxa" w:w="3400"/>
            <w:tcMar>
              <w:top w:type="dxa" w:w="60"/>
              <w:left w:type="dxa" w:w="100"/>
              <w:bottom w:type="dxa" w:w="60"/>
              <w:right w:type="dxa" w:w="100"/>
            </w:tcMar>
          </w:tcPr>
          <w:p>
            <w:pPr>
              <w:spacing w:after="40" w:line="260"/>
            </w:pPr>
            <w:r>
              <w:rPr>
                <w:b/>
                <w:bCs/>
                <w:sz w:val="20"/>
                <w:szCs w:val="20"/>
              </w:rPr>
              <w:t xml:space="preserve">Personal Mentor (PM)</w:t>
            </w:r>
          </w:p>
        </w:tc>
        <w:tc>
          <w:tcPr>
            <w:tcW w:type="dxa" w:w="6600"/>
            <w:tcMar>
              <w:top w:type="dxa" w:w="60"/>
              <w:left w:type="dxa" w:w="100"/>
              <w:bottom w:type="dxa" w:w="60"/>
              <w:right w:type="dxa" w:w="100"/>
            </w:tcMar>
          </w:tcPr>
          <w:p>
            <w:pPr>
              <w:spacing w:after="40" w:line="260"/>
            </w:pPr>
            <w:r>
              <w:rPr>
                <w:sz w:val="20"/>
                <w:szCs w:val="20"/>
              </w:rPr>
              <w:t xml:space="preserve">The one-to-one friend and guide assigned to an individual member.</w:t>
            </w:r>
          </w:p>
        </w:tc>
      </w:tr>
    </w:tbl>
    <w:p>
      <w:pPr>
        <w:spacing w:after="80"/>
      </w:pPr>
    </w:p>
    <w:p>
      <w:pPr>
        <w:spacing w:after="140" w:line="300"/>
        <w:jc w:val="both"/>
      </w:pPr>
      <w:r>
        <w:rPr>
          <w:b/>
          <w:bCs/>
        </w:rPr>
        <w:t xml:space="preserve">Abbreviation rule: </w:t>
      </w:r>
      <w:r>
        <w:t xml:space="preserve">'PGM' is ambiguous in Hertfordshire usage (Provincial Grand Master vs Provincial Grand Mentor) and is not used in mentoring documents. Use ProvGM for the Provincial Grand Master and ProvGMen for the Provincial Grand Mentor - the forms already established in the Secretaries' Handbook honorifics table. The Provincial Mentoring Framework currently uses 'PGM' for the Mentor and should migrate at its next revision.</w:t>
      </w:r>
    </w:p>
    <w:p>
      <w:pPr>
        <w:pStyle w:val="Heading3"/>
        <w:spacing w:after="100" w:before="220"/>
      </w:pPr>
      <w:r>
        <w:t xml:space="preserve">Documents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6600"/>
      </w:tblGrid>
      <w:tr>
        <w:trPr>
          <w:tblHeader/>
        </w:trPr>
        <w:tc>
          <w:tcPr>
            <w:tcW w:type="dxa" w:w="3400"/>
            <w:shd w:fill="1F3864" w:val="clear"/>
            <w:tcMar>
              <w:top w:type="dxa" w:w="60"/>
              <w:left w:type="dxa" w:w="100"/>
              <w:bottom w:type="dxa" w:w="60"/>
              <w:right w:type="dxa" w:w="100"/>
            </w:tcMar>
          </w:tcPr>
          <w:p>
            <w:pPr>
              <w:spacing w:after="40" w:line="260"/>
            </w:pPr>
            <w:r>
              <w:rPr>
                <w:b/>
                <w:bCs/>
                <w:color w:val="FFFFFF"/>
                <w:sz w:val="20"/>
                <w:szCs w:val="20"/>
              </w:rPr>
              <w:t xml:space="preserve">Canonical title</w:t>
            </w:r>
          </w:p>
        </w:tc>
        <w:tc>
          <w:tcPr>
            <w:tcW w:type="dxa" w:w="6600"/>
            <w:shd w:fill="1F3864" w:val="clear"/>
            <w:tcMar>
              <w:top w:type="dxa" w:w="60"/>
              <w:left w:type="dxa" w:w="100"/>
              <w:bottom w:type="dxa" w:w="60"/>
              <w:right w:type="dxa" w:w="100"/>
            </w:tcMar>
          </w:tcPr>
          <w:p>
            <w:pPr>
              <w:spacing w:after="40" w:line="260"/>
            </w:pPr>
            <w:r>
              <w:rPr>
                <w:b/>
                <w:bCs/>
                <w:color w:val="FFFFFF"/>
                <w:sz w:val="20"/>
                <w:szCs w:val="20"/>
              </w:rPr>
              <w:t xml:space="preserve">Notes</w:t>
            </w:r>
          </w:p>
        </w:tc>
      </w:tr>
      <w:tr>
        <w:tc>
          <w:tcPr>
            <w:tcW w:type="dxa" w:w="3400"/>
            <w:tcMar>
              <w:top w:type="dxa" w:w="60"/>
              <w:left w:type="dxa" w:w="100"/>
              <w:bottom w:type="dxa" w:w="60"/>
              <w:right w:type="dxa" w:w="100"/>
            </w:tcMar>
          </w:tcPr>
          <w:p>
            <w:pPr>
              <w:spacing w:after="40" w:line="260"/>
            </w:pPr>
            <w:r>
              <w:rPr>
                <w:b/>
                <w:bCs/>
                <w:sz w:val="20"/>
                <w:szCs w:val="20"/>
              </w:rPr>
              <w:t xml:space="preserve">The Hertfordshire Mentoring Principles</w:t>
            </w:r>
          </w:p>
        </w:tc>
        <w:tc>
          <w:tcPr>
            <w:tcW w:type="dxa" w:w="6600"/>
            <w:tcMar>
              <w:top w:type="dxa" w:w="60"/>
              <w:left w:type="dxa" w:w="100"/>
              <w:bottom w:type="dxa" w:w="60"/>
              <w:right w:type="dxa" w:w="100"/>
            </w:tcMar>
          </w:tcPr>
          <w:p>
            <w:pPr>
              <w:spacing w:after="40" w:line="260"/>
            </w:pPr>
            <w:r>
              <w:rPr>
                <w:sz w:val="20"/>
                <w:szCs w:val="20"/>
              </w:rPr>
              <w:t xml:space="preserve">The one-page canon (Tier A1). The 'Guiding Principles of Mentoring' artwork is its designed expression.</w:t>
            </w:r>
          </w:p>
        </w:tc>
      </w:tr>
      <w:tr>
        <w:tc>
          <w:tcPr>
            <w:tcW w:type="dxa" w:w="3400"/>
            <w:tcMar>
              <w:top w:type="dxa" w:w="60"/>
              <w:left w:type="dxa" w:w="100"/>
              <w:bottom w:type="dxa" w:w="60"/>
              <w:right w:type="dxa" w:w="100"/>
            </w:tcMar>
          </w:tcPr>
          <w:p>
            <w:pPr>
              <w:spacing w:after="40" w:line="260"/>
            </w:pPr>
            <w:r>
              <w:rPr>
                <w:b/>
                <w:bCs/>
                <w:sz w:val="20"/>
                <w:szCs w:val="20"/>
              </w:rPr>
              <w:t xml:space="preserve">Provincial Mentoring Framework</w:t>
            </w:r>
          </w:p>
        </w:tc>
        <w:tc>
          <w:tcPr>
            <w:tcW w:type="dxa" w:w="6600"/>
            <w:tcMar>
              <w:top w:type="dxa" w:w="60"/>
              <w:left w:type="dxa" w:w="100"/>
              <w:bottom w:type="dxa" w:w="60"/>
              <w:right w:type="dxa" w:w="100"/>
            </w:tcMar>
          </w:tcPr>
          <w:p>
            <w:pPr>
              <w:spacing w:after="40" w:line="260"/>
            </w:pPr>
            <w:r>
              <w:rPr>
                <w:sz w:val="20"/>
                <w:szCs w:val="20"/>
              </w:rPr>
              <w:t xml:space="preserve">Not 'the Provincial Grand Mentor's Strategic Plan' or 'Mentoring Strategy' - one title everywhere.</w:t>
            </w:r>
          </w:p>
        </w:tc>
      </w:tr>
      <w:tr>
        <w:tc>
          <w:tcPr>
            <w:tcW w:type="dxa" w:w="3400"/>
            <w:tcMar>
              <w:top w:type="dxa" w:w="60"/>
              <w:left w:type="dxa" w:w="100"/>
              <w:bottom w:type="dxa" w:w="60"/>
              <w:right w:type="dxa" w:w="100"/>
            </w:tcMar>
          </w:tcPr>
          <w:p>
            <w:pPr>
              <w:spacing w:after="40" w:line="260"/>
            </w:pPr>
            <w:r>
              <w:rPr>
                <w:b/>
                <w:bCs/>
                <w:sz w:val="20"/>
                <w:szCs w:val="20"/>
              </w:rPr>
              <w:t xml:space="preserve">Lodge Mentor's Guide</w:t>
            </w:r>
          </w:p>
        </w:tc>
        <w:tc>
          <w:tcPr>
            <w:tcW w:type="dxa" w:w="6600"/>
            <w:tcMar>
              <w:top w:type="dxa" w:w="60"/>
              <w:left w:type="dxa" w:w="100"/>
              <w:bottom w:type="dxa" w:w="60"/>
              <w:right w:type="dxa" w:w="100"/>
            </w:tcMar>
          </w:tcPr>
          <w:p>
            <w:pPr>
              <w:spacing w:after="40" w:line="260"/>
            </w:pPr>
            <w:r>
              <w:rPr>
                <w:sz w:val="20"/>
                <w:szCs w:val="20"/>
              </w:rPr>
              <w:t xml:space="preserve">With the apostrophe; abbreviated LMG in reference keys.</w:t>
            </w:r>
          </w:p>
        </w:tc>
      </w:tr>
      <w:tr>
        <w:tc>
          <w:tcPr>
            <w:tcW w:type="dxa" w:w="3400"/>
            <w:tcMar>
              <w:top w:type="dxa" w:w="60"/>
              <w:left w:type="dxa" w:w="100"/>
              <w:bottom w:type="dxa" w:w="60"/>
              <w:right w:type="dxa" w:w="100"/>
            </w:tcMar>
          </w:tcPr>
          <w:p>
            <w:pPr>
              <w:spacing w:after="40" w:line="260"/>
            </w:pPr>
            <w:r>
              <w:rPr>
                <w:b/>
                <w:bCs/>
                <w:sz w:val="20"/>
                <w:szCs w:val="20"/>
              </w:rPr>
              <w:t xml:space="preserve">Personal Mentor's Guide</w:t>
            </w:r>
          </w:p>
        </w:tc>
        <w:tc>
          <w:tcPr>
            <w:tcW w:type="dxa" w:w="6600"/>
            <w:tcMar>
              <w:top w:type="dxa" w:w="60"/>
              <w:left w:type="dxa" w:w="100"/>
              <w:bottom w:type="dxa" w:w="60"/>
              <w:right w:type="dxa" w:w="100"/>
            </w:tcMar>
          </w:tcPr>
          <w:p>
            <w:pPr>
              <w:spacing w:after="40" w:line="260"/>
            </w:pPr>
            <w:r>
              <w:rPr>
                <w:sz w:val="20"/>
                <w:szCs w:val="20"/>
              </w:rPr>
              <w:t xml:space="preserve">Abbreviated PMG in reference keys.</w:t>
            </w:r>
          </w:p>
        </w:tc>
      </w:tr>
      <w:tr>
        <w:tc>
          <w:tcPr>
            <w:tcW w:type="dxa" w:w="3400"/>
            <w:tcMar>
              <w:top w:type="dxa" w:w="60"/>
              <w:left w:type="dxa" w:w="100"/>
              <w:bottom w:type="dxa" w:w="60"/>
              <w:right w:type="dxa" w:w="100"/>
            </w:tcMar>
          </w:tcPr>
          <w:p>
            <w:pPr>
              <w:spacing w:after="40" w:line="260"/>
            </w:pPr>
            <w:r>
              <w:rPr>
                <w:b/>
                <w:bCs/>
                <w:sz w:val="20"/>
                <w:szCs w:val="20"/>
              </w:rPr>
              <w:t xml:space="preserve">Personal Mentoring Plan</w:t>
            </w:r>
          </w:p>
        </w:tc>
        <w:tc>
          <w:tcPr>
            <w:tcW w:type="dxa" w:w="6600"/>
            <w:tcMar>
              <w:top w:type="dxa" w:w="60"/>
              <w:left w:type="dxa" w:w="100"/>
              <w:bottom w:type="dxa" w:w="60"/>
              <w:right w:type="dxa" w:w="100"/>
            </w:tcMar>
          </w:tcPr>
          <w:p>
            <w:pPr>
              <w:spacing w:after="40" w:line="260"/>
            </w:pPr>
            <w:r>
              <w:rPr>
                <w:sz w:val="20"/>
                <w:szCs w:val="20"/>
              </w:rPr>
              <w:t xml:space="preserve">The per-member record; one per Brother.</w:t>
            </w:r>
          </w:p>
        </w:tc>
      </w:tr>
      <w:tr>
        <w:tc>
          <w:tcPr>
            <w:tcW w:type="dxa" w:w="3400"/>
            <w:tcMar>
              <w:top w:type="dxa" w:w="60"/>
              <w:left w:type="dxa" w:w="100"/>
              <w:bottom w:type="dxa" w:w="60"/>
              <w:right w:type="dxa" w:w="100"/>
            </w:tcMar>
          </w:tcPr>
          <w:p>
            <w:pPr>
              <w:spacing w:after="40" w:line="260"/>
            </w:pPr>
            <w:r>
              <w:rPr>
                <w:b/>
                <w:bCs/>
                <w:sz w:val="20"/>
                <w:szCs w:val="20"/>
              </w:rPr>
              <w:t xml:space="preserve">Initiate's Guide / Fellow Craft's Guide / Master Mason's Guide</w:t>
            </w:r>
          </w:p>
        </w:tc>
        <w:tc>
          <w:tcPr>
            <w:tcW w:type="dxa" w:w="6600"/>
            <w:tcMar>
              <w:top w:type="dxa" w:w="60"/>
              <w:left w:type="dxa" w:w="100"/>
              <w:bottom w:type="dxa" w:w="60"/>
              <w:right w:type="dxa" w:w="100"/>
            </w:tcMar>
          </w:tcPr>
          <w:p>
            <w:pPr>
              <w:spacing w:after="40" w:line="260"/>
            </w:pPr>
            <w:r>
              <w:rPr>
                <w:sz w:val="20"/>
                <w:szCs w:val="20"/>
              </w:rPr>
              <w:t xml:space="preserve">The UGLE national guides. 'Fellow Craft's' - two words, with apostrophe (not 'Fellowcraft's').</w:t>
            </w:r>
          </w:p>
        </w:tc>
      </w:tr>
    </w:tbl>
    <w:p>
      <w:pPr>
        <w:pStyle w:val="Heading3"/>
        <w:spacing w:after="100" w:before="220"/>
      </w:pPr>
      <w:r>
        <w:t xml:space="preserve">Terms of art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3400"/>
        <w:gridCol w:w="6600"/>
      </w:tblGrid>
      <w:tr>
        <w:trPr>
          <w:tblHeader/>
        </w:trPr>
        <w:tc>
          <w:tcPr>
            <w:tcW w:type="dxa" w:w="3400"/>
            <w:shd w:fill="1F3864" w:val="clear"/>
            <w:tcMar>
              <w:top w:type="dxa" w:w="60"/>
              <w:left w:type="dxa" w:w="100"/>
              <w:bottom w:type="dxa" w:w="60"/>
              <w:right w:type="dxa" w:w="100"/>
            </w:tcMar>
          </w:tcPr>
          <w:p>
            <w:pPr>
              <w:spacing w:after="40" w:line="260"/>
            </w:pPr>
            <w:r>
              <w:rPr>
                <w:b/>
                <w:bCs/>
                <w:color w:val="FFFFFF"/>
                <w:sz w:val="20"/>
                <w:szCs w:val="20"/>
              </w:rPr>
              <w:t xml:space="preserve">Canonical term</w:t>
            </w:r>
          </w:p>
        </w:tc>
        <w:tc>
          <w:tcPr>
            <w:tcW w:type="dxa" w:w="6600"/>
            <w:shd w:fill="1F3864" w:val="clear"/>
            <w:tcMar>
              <w:top w:type="dxa" w:w="60"/>
              <w:left w:type="dxa" w:w="100"/>
              <w:bottom w:type="dxa" w:w="60"/>
              <w:right w:type="dxa" w:w="100"/>
            </w:tcMar>
          </w:tcPr>
          <w:p>
            <w:pPr>
              <w:spacing w:after="40" w:line="260"/>
            </w:pPr>
            <w:r>
              <w:rPr>
                <w:b/>
                <w:bCs/>
                <w:color w:val="FFFFFF"/>
                <w:sz w:val="20"/>
                <w:szCs w:val="20"/>
              </w:rPr>
              <w:t xml:space="preserve">Notes</w:t>
            </w:r>
          </w:p>
        </w:tc>
      </w:tr>
      <w:tr>
        <w:tc>
          <w:tcPr>
            <w:tcW w:type="dxa" w:w="3400"/>
            <w:tcMar>
              <w:top w:type="dxa" w:w="60"/>
              <w:left w:type="dxa" w:w="100"/>
              <w:bottom w:type="dxa" w:w="60"/>
              <w:right w:type="dxa" w:w="100"/>
            </w:tcMar>
          </w:tcPr>
          <w:p>
            <w:pPr>
              <w:spacing w:after="40" w:line="260"/>
            </w:pPr>
            <w:r>
              <w:rPr>
                <w:b/>
                <w:bCs/>
                <w:sz w:val="20"/>
                <w:szCs w:val="20"/>
              </w:rPr>
              <w:t xml:space="preserve">Building Together</w:t>
            </w:r>
          </w:p>
        </w:tc>
        <w:tc>
          <w:tcPr>
            <w:tcW w:type="dxa" w:w="6600"/>
            <w:tcMar>
              <w:top w:type="dxa" w:w="60"/>
              <w:left w:type="dxa" w:w="100"/>
              <w:bottom w:type="dxa" w:w="60"/>
              <w:right w:type="dxa" w:w="100"/>
            </w:tcMar>
          </w:tcPr>
          <w:p>
            <w:pPr>
              <w:spacing w:after="40" w:line="260"/>
            </w:pPr>
            <w:r>
              <w:rPr>
                <w:sz w:val="20"/>
                <w:szCs w:val="20"/>
              </w:rPr>
              <w:t xml:space="preserve">UGLE's current national membership framing (SHAPE / ATTRACT / CONTINUE / ENGAGE / RESPOND); mentoring owns ENGAGE. Settled July 2026. The Members' Pathway is referred to only historically, with dates.</w:t>
            </w:r>
          </w:p>
        </w:tc>
      </w:tr>
      <w:tr>
        <w:tc>
          <w:tcPr>
            <w:tcW w:type="dxa" w:w="3400"/>
            <w:tcMar>
              <w:top w:type="dxa" w:w="60"/>
              <w:left w:type="dxa" w:w="100"/>
              <w:bottom w:type="dxa" w:w="60"/>
              <w:right w:type="dxa" w:w="100"/>
            </w:tcMar>
          </w:tcPr>
          <w:p>
            <w:pPr>
              <w:spacing w:after="40" w:line="260"/>
            </w:pPr>
            <w:r>
              <w:rPr>
                <w:b/>
                <w:bCs/>
                <w:sz w:val="20"/>
                <w:szCs w:val="20"/>
              </w:rPr>
              <w:t xml:space="preserve">One Journey</w:t>
            </w:r>
          </w:p>
        </w:tc>
        <w:tc>
          <w:tcPr>
            <w:tcW w:type="dxa" w:w="6600"/>
            <w:tcMar>
              <w:top w:type="dxa" w:w="60"/>
              <w:left w:type="dxa" w:w="100"/>
              <w:bottom w:type="dxa" w:w="60"/>
              <w:right w:type="dxa" w:w="100"/>
            </w:tcMar>
          </w:tcPr>
          <w:p>
            <w:pPr>
              <w:spacing w:after="40" w:line="260"/>
            </w:pPr>
            <w:r>
              <w:rPr>
                <w:sz w:val="20"/>
                <w:szCs w:val="20"/>
              </w:rPr>
              <w:t xml:space="preserve">Hertfordshire's approach to the Craft-Royal Arch continuum, per the Provincial Mentoring Framework.</w:t>
            </w:r>
          </w:p>
        </w:tc>
      </w:tr>
      <w:tr>
        <w:tc>
          <w:tcPr>
            <w:tcW w:type="dxa" w:w="3400"/>
            <w:tcMar>
              <w:top w:type="dxa" w:w="60"/>
              <w:left w:type="dxa" w:w="100"/>
              <w:bottom w:type="dxa" w:w="60"/>
              <w:right w:type="dxa" w:w="100"/>
            </w:tcMar>
          </w:tcPr>
          <w:p>
            <w:pPr>
              <w:spacing w:after="40" w:line="260"/>
            </w:pPr>
            <w:r>
              <w:rPr>
                <w:b/>
                <w:bCs/>
                <w:sz w:val="20"/>
                <w:szCs w:val="20"/>
              </w:rPr>
              <w:t xml:space="preserve">Royal Arch; Exaltation; Companion</w:t>
            </w:r>
          </w:p>
        </w:tc>
        <w:tc>
          <w:tcPr>
            <w:tcW w:type="dxa" w:w="6600"/>
            <w:tcMar>
              <w:top w:type="dxa" w:w="60"/>
              <w:left w:type="dxa" w:w="100"/>
              <w:bottom w:type="dxa" w:w="60"/>
              <w:right w:type="dxa" w:w="100"/>
            </w:tcMar>
          </w:tcPr>
          <w:p>
            <w:pPr>
              <w:spacing w:after="40" w:line="260"/>
            </w:pPr>
            <w:r>
              <w:rPr>
                <w:sz w:val="20"/>
                <w:szCs w:val="20"/>
              </w:rPr>
              <w:t xml:space="preserve">The Royal Arch is 'the completion of Pure Antient Masonry' - information, not recruitment; timing, not inevitability.</w:t>
            </w:r>
          </w:p>
        </w:tc>
      </w:tr>
      <w:tr>
        <w:tc>
          <w:tcPr>
            <w:tcW w:type="dxa" w:w="3400"/>
            <w:tcMar>
              <w:top w:type="dxa" w:w="60"/>
              <w:left w:type="dxa" w:w="100"/>
              <w:bottom w:type="dxa" w:w="60"/>
              <w:right w:type="dxa" w:w="100"/>
            </w:tcMar>
          </w:tcPr>
          <w:p>
            <w:pPr>
              <w:spacing w:after="40" w:line="260"/>
            </w:pPr>
            <w:r>
              <w:rPr>
                <w:b/>
                <w:bCs/>
                <w:sz w:val="20"/>
                <w:szCs w:val="20"/>
              </w:rPr>
              <w:t xml:space="preserve">Lodge of Instruction (LoI)</w:t>
            </w:r>
          </w:p>
        </w:tc>
        <w:tc>
          <w:tcPr>
            <w:tcW w:type="dxa" w:w="6600"/>
            <w:tcMar>
              <w:top w:type="dxa" w:w="60"/>
              <w:left w:type="dxa" w:w="100"/>
              <w:bottom w:type="dxa" w:w="60"/>
              <w:right w:type="dxa" w:w="100"/>
            </w:tcMar>
          </w:tcPr>
          <w:p>
            <w:pPr>
              <w:spacing w:after="40" w:line="260"/>
            </w:pPr>
            <w:r>
              <w:rPr>
                <w:sz w:val="20"/>
                <w:szCs w:val="20"/>
              </w:rPr>
              <w:t xml:space="preserve">Not 'LOI' - lower-case 'o' in the abbreviation.</w:t>
            </w:r>
          </w:p>
        </w:tc>
      </w:tr>
      <w:tr>
        <w:tc>
          <w:tcPr>
            <w:tcW w:type="dxa" w:w="3400"/>
            <w:tcMar>
              <w:top w:type="dxa" w:w="60"/>
              <w:left w:type="dxa" w:w="100"/>
              <w:bottom w:type="dxa" w:w="60"/>
              <w:right w:type="dxa" w:w="100"/>
            </w:tcMar>
          </w:tcPr>
          <w:p>
            <w:pPr>
              <w:spacing w:after="40" w:line="260"/>
            </w:pPr>
            <w:r>
              <w:rPr>
                <w:b/>
                <w:bCs/>
                <w:sz w:val="20"/>
                <w:szCs w:val="20"/>
              </w:rPr>
              <w:t xml:space="preserve">Festive Board</w:t>
            </w:r>
          </w:p>
        </w:tc>
        <w:tc>
          <w:tcPr>
            <w:tcW w:type="dxa" w:w="6600"/>
            <w:tcMar>
              <w:top w:type="dxa" w:w="60"/>
              <w:left w:type="dxa" w:w="100"/>
              <w:bottom w:type="dxa" w:w="60"/>
              <w:right w:type="dxa" w:w="100"/>
            </w:tcMar>
          </w:tcPr>
          <w:p>
            <w:pPr>
              <w:spacing w:after="40" w:line="260"/>
            </w:pPr>
            <w:r>
              <w:rPr>
                <w:sz w:val="20"/>
                <w:szCs w:val="20"/>
              </w:rPr>
              <w:t xml:space="preserve">Capitalised, two words.</w:t>
            </w:r>
          </w:p>
        </w:tc>
      </w:tr>
      <w:tr>
        <w:tc>
          <w:tcPr>
            <w:tcW w:type="dxa" w:w="3400"/>
            <w:tcMar>
              <w:top w:type="dxa" w:w="60"/>
              <w:left w:type="dxa" w:w="100"/>
              <w:bottom w:type="dxa" w:w="60"/>
              <w:right w:type="dxa" w:w="100"/>
            </w:tcMar>
          </w:tcPr>
          <w:p>
            <w:pPr>
              <w:spacing w:after="40" w:line="260"/>
            </w:pPr>
            <w:r>
              <w:rPr>
                <w:b/>
                <w:bCs/>
                <w:sz w:val="20"/>
                <w:szCs w:val="20"/>
              </w:rPr>
              <w:t xml:space="preserve">Solomon; Hermes; Archway</w:t>
            </w:r>
          </w:p>
        </w:tc>
        <w:tc>
          <w:tcPr>
            <w:tcW w:type="dxa" w:w="6600"/>
            <w:tcMar>
              <w:top w:type="dxa" w:w="60"/>
              <w:left w:type="dxa" w:w="100"/>
              <w:bottom w:type="dxa" w:w="60"/>
              <w:right w:type="dxa" w:w="100"/>
            </w:tcMar>
          </w:tcPr>
          <w:p>
            <w:pPr>
              <w:spacing w:after="40" w:line="260"/>
            </w:pPr>
            <w:r>
              <w:rPr>
                <w:sz w:val="20"/>
                <w:szCs w:val="20"/>
              </w:rPr>
              <w:t xml:space="preserve">UGLE platforms - Solomon (learning), Hermes (membership administration), Archway (Royal Arch resource, in development; verify status before citing).</w:t>
            </w:r>
          </w:p>
        </w:tc>
      </w:tr>
      <w:tr>
        <w:tc>
          <w:tcPr>
            <w:tcW w:type="dxa" w:w="3400"/>
            <w:tcMar>
              <w:top w:type="dxa" w:w="60"/>
              <w:left w:type="dxa" w:w="100"/>
              <w:bottom w:type="dxa" w:w="60"/>
              <w:right w:type="dxa" w:w="100"/>
            </w:tcMar>
          </w:tcPr>
          <w:p>
            <w:pPr>
              <w:spacing w:after="40" w:line="260"/>
            </w:pPr>
            <w:r>
              <w:rPr>
                <w:b/>
                <w:bCs/>
                <w:sz w:val="20"/>
                <w:szCs w:val="20"/>
              </w:rPr>
              <w:t xml:space="preserve">DAWG - the Daily Advancement WhatsApp Group</w:t>
            </w:r>
          </w:p>
        </w:tc>
        <w:tc>
          <w:tcPr>
            <w:tcW w:type="dxa" w:w="6600"/>
            <w:tcMar>
              <w:top w:type="dxa" w:w="60"/>
              <w:left w:type="dxa" w:w="100"/>
              <w:bottom w:type="dxa" w:w="60"/>
              <w:right w:type="dxa" w:w="100"/>
            </w:tcMar>
          </w:tcPr>
          <w:p>
            <w:pPr>
              <w:spacing w:after="40" w:line="260"/>
            </w:pPr>
            <w:r>
              <w:rPr>
                <w:sz w:val="20"/>
                <w:szCs w:val="20"/>
              </w:rPr>
              <w:t xml:space="preserve">Administered by the Provincial Mentoring Team; expanded at first use.</w:t>
            </w:r>
          </w:p>
        </w:tc>
      </w:tr>
      <w:tr>
        <w:tc>
          <w:tcPr>
            <w:tcW w:type="dxa" w:w="3400"/>
            <w:tcMar>
              <w:top w:type="dxa" w:w="60"/>
              <w:left w:type="dxa" w:w="100"/>
              <w:bottom w:type="dxa" w:w="60"/>
              <w:right w:type="dxa" w:w="100"/>
            </w:tcMar>
          </w:tcPr>
          <w:p>
            <w:pPr>
              <w:spacing w:after="40" w:line="260"/>
            </w:pPr>
            <w:r>
              <w:rPr>
                <w:b/>
                <w:bCs/>
                <w:sz w:val="20"/>
                <w:szCs w:val="20"/>
              </w:rPr>
              <w:t xml:space="preserve">Fleet House Light Blues Club (FHLBC)</w:t>
            </w:r>
          </w:p>
        </w:tc>
        <w:tc>
          <w:tcPr>
            <w:tcW w:type="dxa" w:w="6600"/>
            <w:tcMar>
              <w:top w:type="dxa" w:w="60"/>
              <w:left w:type="dxa" w:w="100"/>
              <w:bottom w:type="dxa" w:w="60"/>
              <w:right w:type="dxa" w:w="100"/>
            </w:tcMar>
          </w:tcPr>
          <w:p>
            <w:pPr>
              <w:spacing w:after="40" w:line="260"/>
            </w:pPr>
            <w:r>
              <w:rPr>
                <w:sz w:val="20"/>
                <w:szCs w:val="20"/>
              </w:rPr>
              <w:t xml:space="preserve">Expanded at first use.</w:t>
            </w:r>
          </w:p>
        </w:tc>
      </w:tr>
      <w:tr>
        <w:tc>
          <w:tcPr>
            <w:tcW w:type="dxa" w:w="3400"/>
            <w:tcMar>
              <w:top w:type="dxa" w:w="60"/>
              <w:left w:type="dxa" w:w="100"/>
              <w:bottom w:type="dxa" w:w="60"/>
              <w:right w:type="dxa" w:w="100"/>
            </w:tcMar>
          </w:tcPr>
          <w:p>
            <w:pPr>
              <w:spacing w:after="40" w:line="260"/>
            </w:pPr>
            <w:r>
              <w:rPr>
                <w:b/>
                <w:bCs/>
                <w:sz w:val="20"/>
                <w:szCs w:val="20"/>
              </w:rPr>
              <w:t xml:space="preserve">Brother, Brethren, Freemasonry</w:t>
            </w:r>
          </w:p>
        </w:tc>
        <w:tc>
          <w:tcPr>
            <w:tcW w:type="dxa" w:w="6600"/>
            <w:tcMar>
              <w:top w:type="dxa" w:w="60"/>
              <w:left w:type="dxa" w:w="100"/>
              <w:bottom w:type="dxa" w:w="60"/>
              <w:right w:type="dxa" w:w="100"/>
            </w:tcMar>
          </w:tcPr>
          <w:p>
            <w:pPr>
              <w:spacing w:after="40" w:line="260"/>
            </w:pPr>
            <w:r>
              <w:rPr>
                <w:sz w:val="20"/>
                <w:szCs w:val="20"/>
              </w:rPr>
              <w:t xml:space="preserve">Capitalised. 'He/his' follows the established register of the suite.</w:t>
            </w:r>
          </w:p>
        </w:tc>
      </w:tr>
    </w:tbl>
    <w:p>
      <w:pPr>
        <w:pStyle w:val="Heading1"/>
        <w:spacing w:after="160" w:before="360"/>
      </w:pPr>
      <w:r>
        <w:t xml:space="preserve">5. The Ritual Standard</w:t>
      </w:r>
    </w:p>
    <w:p>
      <w:pPr>
        <w:spacing w:after="140" w:line="300"/>
        <w:jc w:val="both"/>
      </w:pPr>
      <w:r>
        <w:t xml:space="preserve">Hertfordshire mentoring publications </w:t>
      </w:r>
      <w:r>
        <w:rPr>
          <w:b/>
          <w:bCs/>
        </w:rPr>
        <w:t xml:space="preserve">never reveal ritual</w:t>
      </w:r>
      <w:r>
        <w:t xml:space="preserve">. This is stricter than some external material in the knowledge base (one Province's member guide reproduces test questions and the Charge verbatim); we do not follow that practice.</w:t>
      </w:r>
    </w:p>
    <w:p>
      <w:pPr>
        <w:pStyle w:val="ListParagraph"/>
        <w:numPr>
          <w:ilvl w:val="0"/>
          <w:numId w:val="2"/>
        </w:numPr>
        <w:spacing w:after="80" w:line="280"/>
      </w:pPr>
      <w:r>
        <w:t xml:space="preserve">No ceremony text, obligations, test questions and answers, signs, tokens or words are reproduced in any published document, member-facing or practitioner-facing.</w:t>
      </w:r>
    </w:p>
    <w:p>
      <w:pPr>
        <w:pStyle w:val="ListParagraph"/>
        <w:numPr>
          <w:ilvl w:val="0"/>
          <w:numId w:val="2"/>
        </w:numPr>
        <w:spacing w:after="80" w:line="280"/>
      </w:pPr>
      <w:r>
        <w:rPr>
          <w:b/>
          <w:bCs/>
        </w:rPr>
        <w:t xml:space="preserve">Prepare without spoiling: </w:t>
      </w:r>
      <w:r>
        <w:t xml:space="preserve">explain timing, format and general structure; explain etiquette, dress and practical arrangements; reassure that the ceremony is symbolic, safe and dignified - and let the ceremony do what it is designed to do.</w:t>
      </w:r>
    </w:p>
    <w:p>
      <w:pPr>
        <w:pStyle w:val="ListParagraph"/>
        <w:numPr>
          <w:ilvl w:val="0"/>
          <w:numId w:val="2"/>
        </w:numPr>
        <w:spacing w:after="80" w:line="280"/>
      </w:pPr>
      <w:r>
        <w:t xml:space="preserve">Symbolism may be discussed after the event, at the member's pace and led by his curiosity, using recognised sources (Solomon) - with interpretive humility, never dogma.</w:t>
      </w:r>
    </w:p>
    <w:p>
      <w:pPr>
        <w:pStyle w:val="ListParagraph"/>
        <w:numPr>
          <w:ilvl w:val="0"/>
          <w:numId w:val="2"/>
        </w:numPr>
        <w:spacing w:after="80" w:line="280"/>
      </w:pPr>
      <w:r>
        <w:t xml:space="preserve">A non-Mason must never be exposed to signs, tokens or words - including when helping a member learn ritual at home.</w:t>
      </w:r>
    </w:p>
    <w:p>
      <w:pPr>
        <w:pStyle w:val="Heading1"/>
        <w:spacing w:after="160" w:before="360"/>
      </w:pPr>
      <w:r>
        <w:t xml:space="preserve">6. Using External Material</w:t>
      </w:r>
    </w:p>
    <w:p>
      <w:pPr>
        <w:pStyle w:val="ListParagraph"/>
        <w:numPr>
          <w:ilvl w:val="0"/>
          <w:numId w:val="2"/>
        </w:numPr>
        <w:spacing w:after="80" w:line="280"/>
      </w:pPr>
      <w:r>
        <w:rPr>
          <w:b/>
          <w:bCs/>
        </w:rPr>
        <w:t xml:space="preserve">Credit and localise - never lift. </w:t>
      </w:r>
      <w:r>
        <w:t xml:space="preserve">Ideas borrowed from UGLE, other Provinces or the wider mentoring literature are acknowledged and rewritten for Hertfordshire. (The knowledge base contains a cautionary example of a Provincial foreword recycling a UGLE letter nearly verbatim.)</w:t>
      </w:r>
    </w:p>
    <w:p>
      <w:pPr>
        <w:pStyle w:val="ListParagraph"/>
        <w:numPr>
          <w:ilvl w:val="0"/>
          <w:numId w:val="2"/>
        </w:numPr>
        <w:spacing w:after="80" w:line="280"/>
      </w:pPr>
      <w:r>
        <w:rPr>
          <w:b/>
          <w:bCs/>
        </w:rPr>
        <w:t xml:space="preserve">Date-stamp dependencies. </w:t>
      </w:r>
      <w:r>
        <w:t xml:space="preserve">Hermes processes, Building Together materials, Archway and national publications change; cite them with dates and verify currency at every issue.</w:t>
      </w:r>
    </w:p>
    <w:p>
      <w:pPr>
        <w:pStyle w:val="ListParagraph"/>
        <w:numPr>
          <w:ilvl w:val="0"/>
          <w:numId w:val="2"/>
        </w:numPr>
        <w:spacing w:after="80" w:line="280"/>
      </w:pPr>
      <w:r>
        <w:rPr>
          <w:b/>
          <w:bCs/>
        </w:rPr>
        <w:t xml:space="preserve">One owner per topic. </w:t>
      </w:r>
      <w:r>
        <w:t xml:space="preserve">Each subject (warning signs, migration, One Journey, learning) lives in exactly one owner-document; every other document cross-refers rather than duplicates. Duplication is how suites drift.</w:t>
      </w:r>
    </w:p>
    <w:p>
      <w:pPr>
        <w:pStyle w:val="Heading1"/>
        <w:spacing w:after="160" w:before="360"/>
      </w:pPr>
      <w:r>
        <w:t xml:space="preserve">7. Mentoring Records and Personal Data</w:t>
      </w:r>
    </w:p>
    <w:p>
      <w:pPr>
        <w:spacing w:after="140" w:line="300"/>
        <w:jc w:val="both"/>
      </w:pPr>
      <w:r>
        <w:rPr>
          <w:b/>
          <w:bCs/>
          <w:color w:val="595959"/>
        </w:rPr>
        <w:t xml:space="preserve">DRAFT - pending the Province's decision on data protection rules (Decisions Log, open item). </w:t>
      </w:r>
      <w:r>
        <w:t xml:space="preserve">The following is the recommended baseline for consultation with the Provincial Office:</w:t>
      </w:r>
    </w:p>
    <w:p>
      <w:pPr>
        <w:pStyle w:val="ListParagraph"/>
        <w:numPr>
          <w:ilvl w:val="0"/>
          <w:numId w:val="2"/>
        </w:numPr>
        <w:spacing w:after="80" w:line="280"/>
      </w:pPr>
      <w:r>
        <w:rPr>
          <w:b/>
          <w:bCs/>
        </w:rPr>
        <w:t xml:space="preserve">Minimum necessary data. </w:t>
      </w:r>
      <w:r>
        <w:t xml:space="preserve">The Personal Mentoring Plan records only what mentoring needs: contact details, key dates, milestones, notes of support given. Occupation/employer and date of birth are recorded only where genuinely useful and with the member's knowledge.</w:t>
      </w:r>
    </w:p>
    <w:p>
      <w:pPr>
        <w:pStyle w:val="ListParagraph"/>
        <w:numPr>
          <w:ilvl w:val="0"/>
          <w:numId w:val="2"/>
        </w:numPr>
        <w:spacing w:after="80" w:line="280"/>
      </w:pPr>
      <w:r>
        <w:rPr>
          <w:b/>
          <w:bCs/>
        </w:rPr>
        <w:t xml:space="preserve">Transparency. </w:t>
      </w:r>
      <w:r>
        <w:t xml:space="preserve">The member knows a plan is kept, what it contains, and may see it on request. (Whether he routinely holds a companion copy is an open decision.)</w:t>
      </w:r>
    </w:p>
    <w:p>
      <w:pPr>
        <w:pStyle w:val="ListParagraph"/>
        <w:numPr>
          <w:ilvl w:val="0"/>
          <w:numId w:val="2"/>
        </w:numPr>
        <w:spacing w:after="80" w:line="280"/>
      </w:pPr>
      <w:r>
        <w:rPr>
          <w:b/>
          <w:bCs/>
        </w:rPr>
        <w:t xml:space="preserve">Storage and access. </w:t>
      </w:r>
      <w:r>
        <w:t xml:space="preserve">Held by the Lodge Mentor (with the Personal Mentor's working notes kept to a minimum); not circulated; marked confidential; stored securely whether paper or digital.</w:t>
      </w:r>
    </w:p>
    <w:p>
      <w:pPr>
        <w:pStyle w:val="ListParagraph"/>
        <w:numPr>
          <w:ilvl w:val="0"/>
          <w:numId w:val="2"/>
        </w:numPr>
        <w:spacing w:after="80" w:line="280"/>
      </w:pPr>
      <w:r>
        <w:rPr>
          <w:b/>
          <w:bCs/>
        </w:rPr>
        <w:t xml:space="preserve">Welfare boundaries. </w:t>
      </w:r>
      <w:r>
        <w:t xml:space="preserve">Sensitive welfare matters are the Almoner's records, not the mentoring plan's. The plan may note 'referred to Almoner' and no more.</w:t>
      </w:r>
    </w:p>
    <w:p>
      <w:pPr>
        <w:pStyle w:val="ListParagraph"/>
        <w:numPr>
          <w:ilvl w:val="0"/>
          <w:numId w:val="2"/>
        </w:numPr>
        <w:spacing w:after="80" w:line="280"/>
      </w:pPr>
      <w:r>
        <w:rPr>
          <w:b/>
          <w:bCs/>
        </w:rPr>
        <w:t xml:space="preserve">Handover and retention. </w:t>
      </w:r>
      <w:r>
        <w:t xml:space="preserve">Plans pass to the incoming Lodge Mentor on change of office; they are reviewed annually; a plan is closed and securely destroyed within a defined period after a member resigns, migrates or dies (recommended: 12 months, allowing the Rule 183 window and any migration to complete).</w:t>
      </w:r>
    </w:p>
    <w:p>
      <w:pPr>
        <w:pStyle w:val="ListParagraph"/>
        <w:numPr>
          <w:ilvl w:val="0"/>
          <w:numId w:val="2"/>
        </w:numPr>
        <w:spacing w:after="80" w:line="280"/>
      </w:pPr>
      <w:r>
        <w:rPr>
          <w:b/>
          <w:bCs/>
        </w:rPr>
        <w:t xml:space="preserve">Every document that collects data </w:t>
      </w:r>
      <w:r>
        <w:t xml:space="preserve">carries a short data statement modelled on the Secretaries' Handbook's specimen Data Protection notice.</w:t>
      </w:r>
    </w:p>
    <w:p>
      <w:pPr>
        <w:pStyle w:val="Heading1"/>
        <w:spacing w:after="160" w:before="360"/>
      </w:pPr>
      <w:r>
        <w:t xml:space="preserve">8. Change Control</w:t>
      </w:r>
    </w:p>
    <w:p>
      <w:pPr>
        <w:pStyle w:val="ListParagraph"/>
        <w:numPr>
          <w:ilvl w:val="0"/>
          <w:numId w:val="2"/>
        </w:numPr>
        <w:spacing w:after="80" w:line="280"/>
      </w:pPr>
      <w:r>
        <w:t xml:space="preserve">Changes to the principles, definitions, vision or terminology are made in Tier A first, by decision of the Provincial Grand Mentor, and recorded in the Decisions Log.</w:t>
      </w:r>
    </w:p>
    <w:p>
      <w:pPr>
        <w:pStyle w:val="ListParagraph"/>
        <w:numPr>
          <w:ilvl w:val="0"/>
          <w:numId w:val="2"/>
        </w:numPr>
        <w:spacing w:after="80" w:line="280"/>
      </w:pPr>
      <w:r>
        <w:t xml:space="preserve">Corrections to published documents accumulate in the Corrections Register and are applied at each document's next issue - no emergency reprints unless a correction is materially misleading.</w:t>
      </w:r>
    </w:p>
    <w:p>
      <w:pPr>
        <w:pStyle w:val="ListParagraph"/>
        <w:numPr>
          <w:ilvl w:val="0"/>
          <w:numId w:val="2"/>
        </w:numPr>
        <w:spacing w:after="80" w:line="280"/>
      </w:pPr>
      <w:r>
        <w:t xml:space="preserve">Each document's revision-history table records what changed and why, so any reader can trace a document's lineage.</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 Provincial Grand Mentor, Province of Hertfordshire, 2026     |     Page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lvl>
    <w:lvl w:ilvl="1" w15:tentative="1">
      <w:start w:val="1"/>
      <w:numFmt w:val="bullet"/>
      <w:lvlText w:val="–"/>
      <w:lvlJc w:val="left"/>
      <w:pPr>
        <w:ind w:left="820" w:hanging="21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30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Calibri" w:cs="Calibri" w:eastAsia="Calibri" w:hAnsi="Calibri"/>
      <w:b/>
      <w:bCs/>
      <w:color w:val="1F3864"/>
      <w:sz w:val="32"/>
      <w:szCs w:val="32"/>
    </w:rPr>
  </w:style>
  <w:style w:type="paragraph" w:styleId="Heading2">
    <w:name w:val="Heading 2"/>
    <w:basedOn w:val="Normal"/>
    <w:next w:val="Normal"/>
    <w:qFormat/>
    <w:rPr>
      <w:rFonts w:ascii="Calibri" w:cs="Calibri" w:eastAsia="Calibri" w:hAnsi="Calibri"/>
      <w:b/>
      <w:bCs/>
      <w:color w:val="2E5395"/>
      <w:sz w:val="26"/>
      <w:szCs w:val="26"/>
    </w:rPr>
  </w:style>
  <w:style w:type="paragraph" w:styleId="Heading3">
    <w:name w:val="Heading 3"/>
    <w:basedOn w:val="Normal"/>
    <w:next w:val="Normal"/>
    <w:qFormat/>
    <w:rPr>
      <w:rFonts w:ascii="Calibri" w:cs="Calibri" w:eastAsia="Calibri" w:hAnsi="Calibri"/>
      <w:b/>
      <w:bCs/>
      <w:color w:val="595959"/>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2026-07-16T07:18:00.502Z</dcterms:created>
  <dcterms:modified xsi:type="dcterms:W3CDTF">2026-07-16T07:18:00.502Z</dcterms:modified>
</cp:coreProperties>
</file>

<file path=docProps/custom.xml><?xml version="1.0" encoding="utf-8"?>
<Properties xmlns="http://schemas.openxmlformats.org/officeDocument/2006/custom-properties" xmlns:vt="http://schemas.openxmlformats.org/officeDocument/2006/docPropsVTypes"/>
</file>