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</w:t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Warning Signs and Early Intervention</w:t>
      </w:r>
    </w:p>
    <w:p>
      <w:pPr>
        <w:spacing w:after="100"/>
      </w:pPr>
      <w:r>
        <w:rPr>
          <w:i/>
          <w:iCs/>
          <w:color w:val="2E5395"/>
          <w:sz w:val="18"/>
          <w:szCs w:val="18"/>
        </w:rPr>
        <w:t xml:space="preserve">The one-page card. Full guidance: Retention, Retrieval and Migration Guide.     Issue 1 (Draft), July 2026</w:t>
      </w:r>
    </w:p>
    <w:p>
      <w:pPr>
        <w:spacing w:after="140" w:line="300"/>
        <w:jc w:val="both"/>
      </w:pPr>
      <w:r>
        <w:rPr>
          <w:b/>
          <w:bCs/>
        </w:rPr>
        <w:t xml:space="preserve">The signal is a break in his pattern, </w:t>
      </w:r>
      <w:r>
        <w:t xml:space="preserve">not his absolute level of attendance. A Brother who has always come four times a year is not at risk; a Brother who always came and has stopped, is. None of these signs alone is cause for alarm - a combination, or a persistent pattern, warrants action. The two highest-risk windows: the first two years (before and just after Raising) and the year after the Chair.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Watch for</w:t>
            </w:r>
          </w:p>
        </w:tc>
        <w:tc>
          <w:tcPr>
            <w:tcW w:type="dxa" w:w="8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Signs a member may be beginning to disengage</w:t>
            </w:r>
          </w:p>
        </w:tc>
      </w:tr>
      <w:t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Two or more consecutive meetings missed without explanation • repeatedly arriving late or leaving early • attending only Installations or social events • no longer visiting other Lodges</w:t>
            </w:r>
          </w:p>
        </w:tc>
      </w:tr>
      <w:t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Reluctance to accept Lodge work or prepare for office • withdrawal from conversation and social interaction • missing LoI while holding office • distracted, disengaged or unhappy in meetings</w:t>
            </w:r>
          </w:p>
        </w:tc>
      </w:tr>
      <w:t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Not responding to calls or messages • frustration, disappointment or disillusionment • repeated mentions of money or time pressure • subscription falling into arrears (the Treasurer often sees this first)</w:t>
            </w:r>
          </w:p>
        </w:tc>
      </w:tr>
    </w:tbl>
    <w:p>
      <w:pPr>
        <w:spacing w:after="1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Personal Mentor - informal contact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Warm, friendly, unforced: a call, a message, a coffee. After any unexplained absence; always within seven days of a second consecutive miss. A welfare call, never a whip - he was missed, and several Brethren asked after him.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Lodge Mentor involved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If concern continues or the cause needs more than friendship: the Lodge Mentor takes an overview, considers what the Lodge can change, keeps a discreet note, and closes the loop - act, then confirm the member actually feels better.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Worshipful Master's conversation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Where the matter touches Lodge culture, office, or another member: a considered, private conversation - with the Almoner alongside for anything touching welfare.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Provincial referral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Where an impartial third party gives the best chance of keeping him - or he may thrive in a different Lodge. Contact the Provincial Grand Mentor's office. Referral is a sign of responsible mentoring, not failure.</w:t>
            </w:r>
          </w:p>
        </w:tc>
      </w:tr>
    </w:tbl>
    <w:p>
      <w:pPr>
        <w:spacing w:after="1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The right question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“How can we help?” - never “Why aren't you attending?” The first opens a door; the second puts a man on the defensive. Compassionate enquiry, not interrogation. Family, Work, Masonry - in that order, always: the member managing a busy life is not disengaged, and Freemasonry must fit into his life, not demand that life fit around it.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b/>
          <w:bCs/>
        </w:rPr>
        <w:t xml:space="preserve">If a resignation letter arrives: </w:t>
      </w:r>
      <w:r>
        <w:t xml:space="preserve">tell the Lodge Mentor, the Almoner and the Secretary the same day. The Secretary acknowledges receipt only - he cannot 'accept' a resignation - and the Lodge has a sixty-day window (Rule 183) in which a resignation can be withdrawn. Roughly one resignation in three is recovered when someone takes the trouble to have the conversation. See the Retention, Retrieval and Migration Guide.</w:t>
      </w:r>
    </w:p>
    <w:p>
      <w:pPr>
        <w:spacing w:after="140" w:line="300"/>
        <w:jc w:val="both"/>
      </w:pPr>
      <w:r>
        <w:rPr>
          <w:sz w:val="20"/>
          <w:szCs w:val="20"/>
        </w:rPr>
        <w:t xml:space="preserve">Welfare concerns - health, money, bereavement, family - belong to the Almoner: involve him at once. Relocation? Trigger the migration conversation early - see the Guide.</w:t>
      </w:r>
    </w:p>
    <w:p>
      <w:pPr>
        <w:spacing w:after="140" w:line="300"/>
        <w:jc w:val="both"/>
      </w:pPr>
      <w:r>
        <w:rPr>
          <w:color w:val="595959"/>
          <w:sz w:val="17"/>
          <w:szCs w:val="17"/>
        </w:rPr>
        <w:t xml:space="preserve">© Provincial Grand Mentor, Province of Hertfordshire, 2026  |  mentor@hertfordshirefreemasons.org.uk  |  Provincial Office 01727 833061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© Provincial Grand Mentor, Province of Hertfordshire, 2026     |  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–"/>
      <w:lvlJc w:val="left"/>
      <w:pPr>
        <w:ind w:left="8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2026-07-16T07:18:01.938Z</dcterms:created>
  <dcterms:modified xsi:type="dcterms:W3CDTF">2026-07-16T07:18:01.939Z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