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</w:pPr>
      <w:r>
        <w:rPr/>
        <w:t>Tools and checklists · D4</w:t>
      </w:r>
    </w:p>
    <w:p>
      <w:pPr>
        <w:pStyle w:val="Title"/>
      </w:pPr>
      <w:r>
        <w:rPr/>
        <w:t>Warning Signs and Early Intervention</w:t>
      </w:r>
    </w:p>
    <w:p>
      <w:pPr>
        <w:pStyle w:val="PurposeStatement"/>
      </w:pPr>
      <w:r>
        <w:rPr/>
        <w:t>The one-page card: the signs, the four steps, the right question, and what to do when a resignation letter arrives.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041"/>
        <w:gridCol w:w="7371"/>
      </w:tblGrid>
      <w:tr>
        <w:trPr>
          <w:cantSplit/>
        </w:trPr>
        <w:tc>
          <w:tcPr>
            <w:tcW w:type="dxa" w:w="2041"/>
          </w:tcPr>
          <w:p>
            <w:pPr>
              <w:keepNext/>
              <w:spacing w:before="60" w:after="60"/>
            </w:pPr>
            <w:r>
              <w:rPr/>
              <w:t>For</w:t>
            </w:r>
          </w:p>
        </w:tc>
        <w:tc>
          <w:tcPr>
            <w:tcW w:type="dxa" w:w="7371"/>
          </w:tcPr>
          <w:p>
            <w:pPr>
              <w:keepNext/>
              <w:spacing w:before="60" w:after="60"/>
            </w:pPr>
            <w:r>
              <w:rPr/>
              <w:t>Every mentor’s pocket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/>
            </w:pPr>
            <w:r>
              <w:rPr/>
              <w:t>Issue</w:t>
            </w:r>
          </w:p>
        </w:tc>
        <w:tc>
          <w:tcPr>
            <w:tcW w:type="dxa" w:w="7371"/>
          </w:tcPr>
          <w:p>
            <w:pPr>
              <w:spacing w:before="60" w:after="60"/>
            </w:pPr>
            <w:r>
              <w:rPr/>
              <w:t>Issue 1a (Draft for Review), October 2026: the July 2026 text set on the Provincial template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</w:rPr>
        <w:t>The signal is a break in his pattern,</w:t>
      </w:r>
      <w:r>
        <w:rPr/>
        <w:t xml:space="preserve"> not his absolute level of attendance. A Brother who has always come four times a year is not at risk; a Brother who always came and has stopped, is. None of these signs alone is cause for alarm - a combination, or a persistent pattern, warrants action. The two highest-risk windows: the first two years (before and just after Raising) and the year after the Chair.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Watch for</w:t>
            </w:r>
          </w:p>
        </w:tc>
        <w:tc>
          <w:tcPr>
            <w:tcW w:type="dxa" w:w="70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Signs a member may be beginning to disengage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Attendance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>Two or more consecutive meetings missed without explanation • repeatedly arriving late or leaving early • attending only Installations or social events • no longer visiting other Lodges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Participation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>Reluctance to accept Lodge work or prepare for office • withdrawal from conversation and social interaction • missing LoI while holding office • distracted, disengaged or unhappy in meetings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Communication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Not responding to calls or messages • frustration, disappointment or disillusionment • repeated mentions of money or time pressure • subscription falling into arrears (the Treasurer often sees this first)</w:t>
            </w:r>
          </w:p>
        </w:tc>
      </w:tr>
    </w:tbl>
    <w:p>
      <w:pPr>
        <w:spacing w:after="0"/>
      </w:pP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200"/>
        <w:gridCol w:w="2600"/>
        <w:gridCol w:w="5612"/>
      </w:tblGrid>
      <w:tr>
        <w:trPr>
          <w:cantSplit/>
        </w:trPr>
        <w:tc>
          <w:tcPr>
            <w:tcW w:type="dxa" w:w="1200"/>
            <w:shd w:val="clear" w:color="auto" w:fill="003668"/>
          </w:tcPr>
          <w:p>
            <w:pPr>
              <w:keepNext/>
              <w:spacing w:before="60" w:after="60"/>
            </w:pPr>
          </w:p>
        </w:tc>
        <w:tc>
          <w:tcPr>
            <w:tcW w:type="dxa" w:w="26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6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What happens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keepNext/>
              <w:spacing w:before="60" w:after="60"/>
            </w:pPr>
            <w:r>
              <w:rPr/>
              <w:t>1</w:t>
            </w:r>
          </w:p>
        </w:tc>
        <w:tc>
          <w:tcPr>
            <w:tcW w:type="dxa" w:w="2600"/>
          </w:tcPr>
          <w:p>
            <w:pPr>
              <w:keepNext/>
              <w:spacing w:before="60" w:after="60"/>
            </w:pPr>
            <w:r>
              <w:rPr>
                <w:b/>
              </w:rPr>
              <w:t>Personal Mentor - informal contact</w:t>
            </w:r>
          </w:p>
        </w:tc>
        <w:tc>
          <w:tcPr>
            <w:tcW w:type="dxa" w:w="5612"/>
          </w:tcPr>
          <w:p>
            <w:pPr>
              <w:keepNext/>
              <w:spacing w:before="60" w:after="60"/>
            </w:pPr>
            <w:r>
              <w:rPr/>
              <w:t>Warm, friendly, unforced: a call, a message, a coffee. After any unexplained absence; always within seven days of a second consecutive miss. A welfare call, never a whip - he was missed, and several Brethren asked after him.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keepNext/>
              <w:spacing w:before="60" w:after="60"/>
            </w:pPr>
            <w:r>
              <w:rPr/>
              <w:t>2</w:t>
            </w:r>
          </w:p>
        </w:tc>
        <w:tc>
          <w:tcPr>
            <w:tcW w:type="dxa" w:w="2600"/>
          </w:tcPr>
          <w:p>
            <w:pPr>
              <w:keepNext/>
              <w:spacing w:before="60" w:after="60"/>
            </w:pPr>
            <w:r>
              <w:rPr>
                <w:b/>
              </w:rPr>
              <w:t>Lodge Mentor involved</w:t>
            </w:r>
          </w:p>
        </w:tc>
        <w:tc>
          <w:tcPr>
            <w:tcW w:type="dxa" w:w="5612"/>
          </w:tcPr>
          <w:p>
            <w:pPr>
              <w:keepNext/>
              <w:spacing w:before="60" w:after="60"/>
            </w:pPr>
            <w:r>
              <w:rPr/>
              <w:t>If concern continues or the cause needs more than friendship: the Lodge Mentor takes an overview, considers what the Lodge can change, keeps a discreet note, and closes the loop - act, then confirm the member actually feels better.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keepNext/>
              <w:spacing w:before="60" w:after="60"/>
            </w:pPr>
            <w:r>
              <w:rPr/>
              <w:t>3</w:t>
            </w:r>
          </w:p>
        </w:tc>
        <w:tc>
          <w:tcPr>
            <w:tcW w:type="dxa" w:w="2600"/>
          </w:tcPr>
          <w:p>
            <w:pPr>
              <w:keepNext/>
              <w:spacing w:before="60" w:after="60"/>
            </w:pPr>
            <w:r>
              <w:rPr>
                <w:b/>
              </w:rPr>
              <w:t>Worshipful Master's conversation</w:t>
            </w:r>
          </w:p>
        </w:tc>
        <w:tc>
          <w:tcPr>
            <w:tcW w:type="dxa" w:w="5612"/>
          </w:tcPr>
          <w:p>
            <w:pPr>
              <w:keepNext/>
              <w:spacing w:before="60" w:after="60"/>
            </w:pPr>
            <w:r>
              <w:rPr/>
              <w:t>Where the matter touches Lodge culture, office, or another member: a considered, private conversation - with the Almoner alongside for anything touching welfare.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>
                <w:b/>
              </w:rPr>
              <w:t>Provincial referral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Where an impartial third party gives the best chance of keeping him - or he may thrive in a different Lodge. Contact the Provincial Grand Mentor's office. Referral is a sign of responsible mentoring, not failure.</w:t>
            </w:r>
          </w:p>
        </w:tc>
      </w:tr>
    </w:tbl>
    <w:p>
      <w:pPr>
        <w:spacing w:after="0"/>
      </w:pP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003668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7FC"/>
          </w:tcPr>
          <w:p>
            <w:pPr>
              <w:spacing w:after="40" w:before="40"/>
            </w:pPr>
            <w:r>
              <w:rPr>
                <w:b/>
                <w:color w:val="06345D"/>
              </w:rPr>
              <w:t>The right question.</w:t>
            </w:r>
            <w:r>
              <w:rPr>
                <w:color w:val="06345D"/>
              </w:rPr>
              <w:t xml:space="preserve"> “How can we help?” - never “Why aren't you attending?” The first opens a door; the second puts a man on the defensive. Compassionate enquiry, not interrogation. Family, Work, Masonry - in that order, always: the member managing a busy life is not disengaged, and Freemasonry must fit into his life, not demand that life fit around it.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</w:rPr>
        <w:t>If a resignation letter arrives:</w:t>
      </w:r>
      <w:r>
        <w:rPr/>
        <w:t xml:space="preserve"> tell the Lodge Mentor, the Almoner and the Secretary the same day. The Secretary acknowledges receipt only - he cannot 'accept' a resignation - and the Lodge has a sixty-day window (Rule 183) in which a resignation can be withdrawn. Roughly one resignation in three is recovered when someone takes the trouble to have the conversation. See the Retention, Retrieval and Migration Guide.</w:t>
      </w:r>
    </w:p>
    <w:p>
      <w:pPr>
        <w:spacing w:after="120"/>
      </w:pPr>
      <w:r>
        <w:rPr/>
        <w:t>Welfare concerns - health, money, bereavement, family - belong to the Almoner: involve him at once. Relocation? Trigger the migration conversation early - see the Guide.</w:t>
      </w:r>
    </w:p>
    <w:p>
      <w:pPr>
        <w:spacing w:after="120"/>
      </w:pPr>
      <w:r>
        <w:rPr/>
        <w:t>© Provincial Grand Mentor, Province of Hertfordshire, 2026 | mentor@hertfordshirefreemasons.org.uk | Provincial Office 01727 833061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474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Warning Signs and Early Intervention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