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40" w:before="0"/>
      </w:pPr>
      <w:r>
        <w:rPr>
          <w:sz w:val="48"/>
        </w:rPr>
        <w:t>Mentoring the Fellow Craft</w:t>
      </w:r>
    </w:p>
    <w:p>
      <w:pPr>
        <w:spacing w:after="60"/>
      </w:pPr>
      <w:r>
        <w:rPr>
          <w:b/>
          <w:color w:val="157A7C"/>
          <w:sz w:val="21"/>
        </w:rPr>
        <w:t>Second Degree · prompts for the Personal Mentor</w:t>
      </w:r>
    </w:p>
    <w:p>
      <w:pPr>
        <w:spacing w:after="100"/>
      </w:pPr>
      <w:r>
        <w:rPr>
          <w:color w:val="06345D"/>
          <w:sz w:val="19"/>
        </w:rPr>
        <w:t>Before, during and after his Passing. Sometimes called the forgotten degree; it should not be. The pace is his, never the calendar’s.</w:t>
      </w:r>
    </w:p>
    <w:tbl>
      <w:tblPr>
        <w:tblW w:type="dxa" w:w="9412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single" w:sz="12" w:space="0" w:color="FFFFFF"/>
          <w:insideV w:val="nil" w:sz="0" w:space="0" w:color="auto"/>
        </w:tblBorders>
        <w:tblCellMar>
          <w:top w:w="70" w:type="dxa"/>
          <w:left w:w="150" w:type="dxa"/>
          <w:bottom w:w="70" w:type="dxa"/>
          <w:right w:w="150" w:type="dxa"/>
        </w:tblCellMar>
      </w:tblPr>
      <w:tblGrid>
        <w:gridCol w:w="1700"/>
        <w:gridCol w:w="7712"/>
      </w:tblGrid>
      <w:tr>
        <w:trPr>
          <w:cantSplit/>
        </w:trPr>
        <w:tc>
          <w:tcPr>
            <w:tcW w:type="dxa" w:w="1700"/>
            <w:shd w:val="clear" w:color="auto" w:fill="003668"/>
            <w:vAlign w:val="center"/>
          </w:tcPr>
          <w:p>
            <w:pPr>
              <w:spacing w:after="0" w:before="0"/>
            </w:pPr>
            <w:r>
              <w:rPr>
                <w:b/>
                <w:color w:val="8FD3D1"/>
                <w:sz w:val="20"/>
              </w:rPr>
              <w:t>1</w:t>
            </w:r>
          </w:p>
          <w:p>
            <w:pPr>
              <w:spacing w:after="0" w:before="0"/>
            </w:pPr>
            <w:r>
              <w:rPr>
                <w:b/>
                <w:color w:val="FFFFFF"/>
                <w:sz w:val="22"/>
              </w:rPr>
              <w:t>PREPARE</w:t>
            </w:r>
          </w:p>
        </w:tc>
        <w:tc>
          <w:tcPr>
            <w:tcW w:type="dxa" w:w="7712"/>
            <w:shd w:val="clear" w:color="auto" w:fill="F2F7FC"/>
          </w:tcPr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Explain the timing, format and general structure of the evening, without giving away any ritual detail.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Make sure he knows the etiquette and dress code: punctuality, mobile phone off, cash for the raffle and charity.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Make sure he knows he will answer the questions in open Lodge, and offer help in practising them.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Practical reassurance: everyone has done this; arrive early, relax, and trust that the officers will guide and support him throughout.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0A4F72"/>
            <w:vAlign w:val="center"/>
          </w:tcPr>
          <w:p>
            <w:pPr>
              <w:spacing w:after="0" w:before="0"/>
            </w:pPr>
            <w:r>
              <w:rPr>
                <w:b/>
                <w:color w:val="8FD3D1"/>
                <w:sz w:val="20"/>
              </w:rPr>
              <w:t>2</w:t>
            </w:r>
          </w:p>
          <w:p>
            <w:pPr>
              <w:spacing w:after="0" w:before="0"/>
            </w:pPr>
            <w:r>
              <w:rPr>
                <w:b/>
                <w:color w:val="FFFFFF"/>
                <w:sz w:val="22"/>
              </w:rPr>
              <w:t>GUIDE</w:t>
            </w:r>
          </w:p>
        </w:tc>
        <w:tc>
          <w:tcPr>
            <w:tcW w:type="dxa" w:w="7712"/>
            <w:shd w:val="clear" w:color="auto" w:fill="FFFFFF"/>
          </w:tcPr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Re-introduce him to the Tyler, the Inner Guard and the Junior Deacon.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Explain that advancement builds on the symbolic foundation laid in the First Degree.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Revisit the Masonic values of integrity, friendship, respect and service, and how they deepen through knowledge.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Expectations: attendance, contribution, charity, and active participation at the Festive Board and the Lodge of Instruction.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Encourage him to visit another Lodge’s Second Degree.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106576"/>
            <w:vAlign w:val="center"/>
          </w:tcPr>
          <w:p>
            <w:pPr>
              <w:spacing w:after="0" w:before="0"/>
            </w:pPr>
            <w:r>
              <w:rPr>
                <w:b/>
                <w:color w:val="8FD3D1"/>
                <w:sz w:val="20"/>
              </w:rPr>
              <w:t>3</w:t>
            </w:r>
          </w:p>
          <w:p>
            <w:pPr>
              <w:spacing w:after="0" w:before="0"/>
            </w:pPr>
            <w:r>
              <w:rPr>
                <w:b/>
                <w:color w:val="FFFFFF"/>
                <w:sz w:val="22"/>
              </w:rPr>
              <w:t>SUPPORT</w:t>
            </w:r>
          </w:p>
        </w:tc>
        <w:tc>
          <w:tcPr>
            <w:tcW w:type="dxa" w:w="7712"/>
            <w:shd w:val="clear" w:color="auto" w:fill="F2F7FC"/>
          </w:tcPr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Explain that the Masonic journey continues beyond the Second Degree.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Reinforce that questions are encouraged: you, the officers and the Brethren are available after the ceremony.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Reassure him that ritual takes as long as each individual needs; he should not feel overwhelmed.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Reassure him that the ceremony is symbolic, dignified and entirely safe.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Begin to identify the areas of curiosity that will lead him towards his Third Degree.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Highlight the value of the Lodge of Instruction.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157A7C"/>
            <w:vAlign w:val="center"/>
          </w:tcPr>
          <w:p>
            <w:pPr>
              <w:spacing w:after="0" w:before="0"/>
            </w:pPr>
            <w:r>
              <w:rPr>
                <w:b/>
                <w:color w:val="8FD3D1"/>
                <w:sz w:val="20"/>
              </w:rPr>
              <w:t>4</w:t>
            </w:r>
          </w:p>
          <w:p>
            <w:pPr>
              <w:spacing w:after="0" w:before="0"/>
            </w:pPr>
            <w:r>
              <w:rPr>
                <w:b/>
                <w:color w:val="FFFFFF"/>
                <w:sz w:val="22"/>
              </w:rPr>
              <w:t>ENLIGHTEN</w:t>
            </w:r>
          </w:p>
        </w:tc>
        <w:tc>
          <w:tcPr>
            <w:tcW w:type="dxa" w:w="7712"/>
            <w:shd w:val="clear" w:color="auto" w:fill="FFFFFF"/>
          </w:tcPr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Discuss the moral and intellectual themes of the Second Degree: the pursuit of knowledge, the development of reason and the building of character.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Encourage reflection on how the lessons of diligence, study and self-improvement apply personally and professionally.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After the meeting, discuss the working tools of the first two degrees and their symbolic meaning.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After the meeting, discuss the apron and what the Master Mason’s apron will signify.</w:t>
            </w:r>
          </w:p>
          <w:p>
            <w:pPr>
              <w:pStyle w:val="ListBullet"/>
              <w:spacing w:after="10" w:before="0" w:line="240" w:lineRule="auto"/>
            </w:pPr>
            <w:r>
              <w:rPr>
                <w:sz w:val="19"/>
              </w:rPr>
              <w:t>Keep him on the Daily Advancement WhatsApp Group (DAWG), run by the Provincial Mentoring Team.</w:t>
            </w:r>
          </w:p>
        </w:tc>
      </w:tr>
    </w:tbl>
    <w:p>
      <w:pPr>
        <w:spacing w:after="0" w:before="100"/>
      </w:pPr>
      <w:r>
        <w:rPr>
          <w:color w:val="06345D"/>
          <w:sz w:val="16"/>
        </w:rPr>
        <w:t>Companion to the Personal Mentor’s Short Guide and the Stage Checklists · Never reveal ritual · Issue 1 (Draft for Review), October 2026 · © Provincial Grand Mentor, Province of Hertfordshire, 2026</w:t>
      </w:r>
    </w:p>
    <w:sectPr>
      <w:headerReference w:type="default" r:id="rId5"/>
      <w:headerReference w:type="first" r:id="rId4"/>
      <w:footerReference w:type="default" r:id="rId8"/>
      <w:footerReference w:type="first" r:id="rId7"/>
      <w:pgSz w:w="11906" w:h="16838"/>
      <w:pgMar w:top="1701" w:right="1247" w:bottom="1150" w:left="1247" w:header="0" w:footer="0" w:gutter="0"/>
      <w:pgNumType w:start="1"/>
      <w:cols w:space="708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[Email address]  ·  [Telephone]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4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p>
    <w:pPr>
      <w:pStyle w:val="Footer"/>
      <w:tabs>
        <w:tab w:val="right" w:pos="9412"/>
      </w:tabs>
      <w:spacing w:before="0" w:after="300"/>
    </w:pPr>
    <w:r>
      <w:t xml:space="preserve">Issue 1 (Draft for Review)  ·  October 2026</w:t>
    </w:r>
    <w:r>
      <w:tab/>
    </w:r>
    <w:r>
      <w:rPr>
        <w:b/>
        <w:bCs/>
        <w:color w:val="157A7C"/>
      </w:rPr>
      <w:t xml:space="preserve">Prepare • Guide • Support • Enlighten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1247"/>
      <w:gridCol w:w="1134"/>
      <w:gridCol w:w="340"/>
      <w:gridCol w:w="255"/>
      <w:gridCol w:w="2977"/>
      <w:gridCol w:w="2976"/>
      <w:gridCol w:w="1730"/>
      <w:gridCol w:w="1247"/>
    </w:tblGrid>
    <w:tr>
      <w:trPr>
        <w:cantSplit/>
        <w:trHeight w:val="340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1361" w:hRule="atLeast"/>
      </w:trPr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7682" w:type="dxa"/>
          <w:gridSpan w:val="5"/>
          <w:shd w:val="clear" w:color="auto" w:fill="FFFFFF"/>
          <w:vAlign w:val="center"/>
        </w:tcPr>
        <w:p>
          <w:pPr>
            <w:pStyle w:val="Header"/>
            <w:spacing w:after="60"/>
          </w:pPr>
          <w:r>
            <w:rPr>
              <w:rFonts w:ascii="DM Sans Medium" w:hAnsi="DM Sans Medium" w:cs="DM Sans Medium"/>
              <w:b/>
              <w:bCs/>
              <w:color w:val="003668"/>
              <w:sz w:val="60"/>
              <w:szCs w:val="60"/>
            </w:rPr>
            <w:t xml:space="preserve">Provincial Mentoring</w:t>
          </w:r>
        </w:p>
        <w:p>
          <w:pPr>
            <w:pStyle w:val="Header"/>
            <w:spacing w:after="30"/>
          </w:pPr>
          <w:r>
            <w:rPr>
              <w:color w:val="06345D"/>
              <w:sz w:val="22"/>
              <w:szCs w:val="22"/>
            </w:rPr>
            <w:t xml:space="preserve">Provincial Grand Lodge of Hertfordshire</w:t>
          </w:r>
        </w:p>
        <w:p>
          <w:pPr>
            <w:pStyle w:val="Header"/>
          </w:pPr>
          <w:r>
            <w:rPr>
              <w:b/>
              <w:bCs/>
              <w:color w:val="157A7C"/>
              <w:sz w:val="22"/>
              <w:szCs w:val="22"/>
            </w:rPr>
            <w:t xml:space="preserve">Prepare • Guide • Support • Enlighten</w:t>
          </w:r>
        </w:p>
      </w:tc>
      <w:tc>
        <w:tcPr>
          <w:tcW w:w="1730" w:type="dxa"/>
          <w:shd w:val="clear" w:color="auto" w:fill="FFFFFF"/>
          <w:vAlign w:val="center"/>
        </w:tcPr>
        <w:p>
          <w:pPr>
            <w:pStyle w:val="Header"/>
            <w:jc w:val="right"/>
            <w:spacing w:before="0"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>
                <wp:extent cx="907477" cy="104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GLH-Shield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7477" cy="104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397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454" w:hRule="exact"/>
      </w:trPr>
      <w:tc>
        <w:tcPr>
          <w:tcW w:w="2976" w:type="dxa"/>
          <w:gridSpan w:val="4"/>
          <w:shd w:val="clear" w:color="auto" w:fill="003668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1  </w:t>
          </w:r>
          <w:r>
            <w:rPr>
              <w:b/>
              <w:bCs/>
              <w:color w:val="FFFFFF"/>
              <w:sz w:val="20"/>
              <w:szCs w:val="20"/>
            </w:rPr>
            <w:t xml:space="preserve">Prepare</w:t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2  </w:t>
          </w:r>
          <w:r>
            <w:rPr>
              <w:b/>
              <w:bCs/>
              <w:color w:val="FFFFFF"/>
              <w:sz w:val="20"/>
              <w:szCs w:val="20"/>
            </w:rPr>
            <w:t xml:space="preserve">Guide</w:t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3  </w:t>
          </w:r>
          <w:r>
            <w:rPr>
              <w:b/>
              <w:bCs/>
              <w:color w:val="FFFFFF"/>
              <w:sz w:val="20"/>
              <w:szCs w:val="20"/>
            </w:rPr>
            <w:t xml:space="preserve">Support</w:t>
          </w:r>
        </w:p>
      </w:tc>
      <w:tc>
        <w:tcPr>
          <w:tcW w:w="2977" w:type="dxa"/>
          <w:gridSpan w:val="2"/>
          <w:shd w:val="clear" w:color="auto" w:fill="157A7C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4  </w:t>
          </w:r>
          <w:r>
            <w:rPr>
              <w:b/>
              <w:bCs/>
              <w:color w:val="FFFFFF"/>
              <w:sz w:val="20"/>
              <w:szCs w:val="20"/>
            </w:rPr>
            <w:t xml:space="preserve">Enlighten</w:t>
          </w:r>
        </w:p>
      </w:tc>
    </w:tr>
  </w:tbl>
  <w:p>
    <w:pPr>
      <w:pStyle w:val="Header"/>
    </w:pPr>
    <w:r>
      <w:t xml:space="preserve"/>
    </w:r>
  </w:p>
</w:hdr>
</file>

<file path=word/header2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680" w:hRule="exact"/>
      </w:trPr>
      <w:tc>
        <w:tcPr>
          <w:tcW w:w="11906" w:type="dxa"/>
          <w:gridSpan w:val="4"/>
          <w:shd w:val="clear" w:color="auto" w:fill="003668"/>
          <w:tcMar>
            <w:left w:w="1247" w:type="dxa"/>
            <w:right w:w="1247" w:type="dxa"/>
          </w:tcMar>
          <w:vAlign w:val="center"/>
        </w:tcPr>
        <w:p>
          <w:pPr>
            <w:pStyle w:val="Header"/>
            <w:tabs>
              <w:tab w:val="right" w:pos="9412"/>
            </w:tabs>
          </w:pPr>
          <w:r>
            <w:rPr>
              <w:rFonts w:ascii="DM Sans Medium" w:hAnsi="DM Sans Medium" w:cs="DM Sans Medium"/>
              <w:b/>
              <w:bCs/>
              <w:color w:val="FFFFFF"/>
              <w:sz w:val="24"/>
              <w:szCs w:val="24"/>
            </w:rPr>
            <w:t xml:space="preserve">Provincial Mentoring</w:t>
          </w:r>
          <w:r>
            <w:rPr>
              <w:color w:val="BFD6EA"/>
              <w:sz w:val="20"/>
              <w:szCs w:val="20"/>
            </w:rPr>
            <w:t xml:space="preserve">  ·  Hertfordshire</w:t>
          </w:r>
          <w:r>
            <w:tab/>
          </w:r>
          <w:r>
            <w:rPr>
              <w:color w:val="FFFFFF"/>
              <w:sz w:val="20"/>
              <w:szCs w:val="20"/>
            </w:rPr>
            <w:t xml:space="preserve">Mentoring the Fellow Craft</w:t>
          </w:r>
        </w:p>
      </w:tc>
    </w:tr>
    <w:tr>
      <w:trPr>
        <w:cantSplit/>
        <w:trHeight w:val="85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pStyle w:val="Header"/>
    </w:pPr>
    <w:r>
      <w:t xml:space="preserve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■"/>
      <w:lvlJc w:val="left"/>
      <w:pPr>
        <w:ind w:left="360" w:hanging="360"/>
      </w:pPr>
      <w:rPr>
        <w:color w:val="157A7C"/>
      </w:rPr>
    </w:lvl>
    <w:lvl w:ilvl="1">
      <w:start w:val="1"/>
      <w:numFmt w:val="bullet"/>
      <w:lvlText w:val="–"/>
      <w:lvlJc w:val="left"/>
      <w:pPr>
        <w:ind w:left="720" w:hanging="360"/>
      </w:pPr>
      <w:rPr>
        <w:color w:val="157A7C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color w:val="003668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color w:val="00366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DM Sans Medium" w:hAnsi="DM Sans Medium" w:cs="DM Sans Medium"/>
        <w:color w:val="1E2329"/>
        <w:sz w:val="24"/>
        <w:szCs w:val="24"/>
        <w:lang w:val="en-GB" w:eastAsia="en-GB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uiPriority w:val="0"/>
    <w:qFormat/>
  </w:style>
  <w:style w:type="paragraph" w:styleId="DocumentType">
    <w:name w:val="Document Type"/>
    <w:basedOn w:val="Normal"/>
    <w:next w:val="Title"/>
    <w:uiPriority w:val="10"/>
    <w:qFormat/>
    <w:pPr>
      <w:spacing w:before="120" w:after="60"/>
    </w:pPr>
    <w:rPr>
      <w:b/>
      <w:bCs/>
      <w:caps/>
      <w:color w:val="157A7C"/>
      <w:spacing w:val="30"/>
      <w:sz w:val="22"/>
      <w:szCs w:val="22"/>
    </w:rPr>
  </w:style>
  <w:style w:type="paragraph" w:styleId="Title">
    <w:name w:val="Title"/>
    <w:basedOn w:val="Normal"/>
    <w:next w:val="PurposeStatement"/>
    <w:uiPriority w:val="10"/>
    <w:qFormat/>
    <w:pPr>
      <w:spacing w:before="0" w:after="200" w:line="235" w:lineRule="auto"/>
    </w:pPr>
    <w:rPr>
      <w:rFonts w:ascii="DM Sans Medium" w:hAnsi="DM Sans Medium" w:cs="DM Sans Medium"/>
      <w:b/>
      <w:bCs/>
      <w:color w:val="003668"/>
      <w:sz w:val="76"/>
      <w:szCs w:val="76"/>
    </w:rPr>
  </w:style>
  <w:style w:type="paragraph" w:styleId="PurposeStatement">
    <w:name w:val="Purpose Statement"/>
    <w:basedOn w:val="Normal"/>
    <w:next w:val="Normal"/>
    <w:uiPriority w:val="10"/>
    <w:qFormat/>
    <w:pPr>
      <w:spacing w:after="320" w:line="264" w:lineRule="auto"/>
    </w:pPr>
    <w:rPr>
      <w:color w:val="06345D"/>
      <w:sz w:val="30"/>
      <w:szCs w:val="3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40" w:line="240" w:lineRule="auto"/>
      <w:outlineLvl w:val="0"/>
    </w:pPr>
    <w:rPr>
      <w:rFonts w:ascii="DM Sans Medium" w:hAnsi="DM Sans Medium" w:cs="DM Sans Medium"/>
      <w:b/>
      <w:bCs/>
      <w:color w:val="003668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60" w:after="80"/>
      <w:outlineLvl w:val="1"/>
    </w:pPr>
    <w:rPr>
      <w:b/>
      <w:bCs/>
      <w:color w:val="157A7C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60"/>
      <w:outlineLvl w:val="2"/>
    </w:pPr>
    <w:rPr>
      <w:b/>
      <w:bCs/>
      <w:color w:val="06345D"/>
      <w:sz w:val="24"/>
      <w:szCs w:val="24"/>
    </w:rPr>
  </w:style>
  <w:style w:type="paragraph" w:styleId="ListBullet">
    <w:name w:val="List Bullet"/>
    <w:basedOn w:val="Normal"/>
    <w:uiPriority w:val="11"/>
    <w:qFormat/>
    <w:pPr>
      <w:numPr>
        <w:ilvl w:val="0"/>
        <w:numId w:val="1"/>
      </w:numPr>
      <w:spacing w:after="80"/>
    </w:pPr>
  </w:style>
  <w:style w:type="paragraph" w:styleId="ListNumber">
    <w:name w:val="List Number"/>
    <w:basedOn w:val="Normal"/>
    <w:uiPriority w:val="11"/>
    <w:qFormat/>
    <w:pPr>
      <w:numPr>
        <w:ilvl w:val="0"/>
        <w:numId w:val="2"/>
      </w:numPr>
      <w:spacing w:after="80"/>
    </w:pPr>
  </w:style>
  <w:style w:type="paragraph" w:styleId="TemplateNote">
    <w:name w:val="Template Note"/>
    <w:basedOn w:val="Normal"/>
    <w:uiPriority w:val="20"/>
    <w:qFormat/>
    <w:pPr>
      <w:pBdr>
        <w:bottom w:val="dotted" w:sz="4" w:space="4" w:color="9FB3C8"/>
      </w:pBdr>
      <w:spacing w:after="280"/>
    </w:pPr>
    <w:rPr>
      <w:i/>
      <w:iCs/>
      <w:color w:val="3D4A57"/>
      <w:sz w:val="20"/>
      <w:szCs w:val="20"/>
    </w:rPr>
  </w:style>
  <w:style w:type="paragraph" w:styleId="AddressBlock">
    <w:name w:val="Address Block"/>
    <w:basedOn w:val="Normal"/>
    <w:uiPriority w:val="20"/>
    <w:qFormat/>
    <w:pPr>
      <w:spacing w:after="0"/>
    </w:pPr>
  </w:style>
  <w:style w:type="paragraph" w:styleId="LetterSubject">
    <w:name w:val="Letter Subject"/>
    <w:basedOn w:val="Normal"/>
    <w:next w:val="Normal"/>
    <w:uiPriority w:val="20"/>
    <w:qFormat/>
    <w:pPr>
      <w:pBdr>
        <w:top w:val="single" w:sz="18" w:space="8" w:color="157A7C"/>
      </w:pBdr>
      <w:spacing w:before="360" w:after="280" w:line="240" w:lineRule="auto"/>
    </w:pPr>
    <w:rPr>
      <w:rFonts w:ascii="DM Sans Medium" w:hAnsi="DM Sans Medium" w:cs="DM Sans Medium"/>
      <w:color w:val="003668"/>
      <w:sz w:val="34"/>
      <w:szCs w:val="34"/>
    </w:rPr>
  </w:style>
  <w:style w:type="paragraph" w:styleId="SignatureName">
    <w:name w:val="Signature Name"/>
    <w:basedOn w:val="Normal"/>
    <w:uiPriority w:val="20"/>
    <w:qFormat/>
    <w:pPr>
      <w:spacing w:after="0"/>
    </w:pPr>
    <w:rPr>
      <w:rFonts w:ascii="DM Sans Medium" w:hAnsi="DM Sans Medium" w:cs="DM Sans Medium"/>
      <w:color w:val="003668"/>
      <w:sz w:val="28"/>
      <w:szCs w:val="28"/>
    </w:rPr>
  </w:style>
  <w:style w:type="paragraph" w:styleId="Header">
    <w:name w:val="header"/>
    <w:basedOn w:val="Normal"/>
    <w:uiPriority w:val="99"/>
    <w:pPr>
      <w:spacing w:before="0" w:after="0" w:line="240" w:lineRule="auto"/>
    </w:pPr>
  </w:style>
  <w:style w:type="paragraph" w:styleId="Footer">
    <w:name w:val="footer"/>
    <w:basedOn w:val="Normal"/>
    <w:uiPriority w:val="99"/>
    <w:pPr>
      <w:spacing w:before="0" w:after="0" w:line="240" w:lineRule="auto"/>
    </w:pPr>
    <w:rPr>
      <w:color w:val="3D4A57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entoringTable">
    <w:name w:val="Mentoring Table"/>
    <w:basedOn w:val="TableNormal"/>
    <w:uiPriority w:val="40"/>
    <w:qFormat/>
    <w:pPr>
      <w:spacing w:before="80" w:after="80" w:line="240" w:lineRule="auto"/>
    </w:pPr>
    <w:rPr>
      <w:sz w:val="22"/>
      <w:szCs w:val="22"/>
    </w:rPr>
    <w:tblPr>
      <w:tblBorders>
        <w:top w:val="single" w:sz="12" w:space="0" w:color="003668"/>
        <w:left w:val="nil" w:sz="4" w:space="0" w:color="9FB3C8"/>
        <w:bottom w:val="single" w:sz="12" w:space="0" w:color="003668"/>
        <w:right w:val="nil" w:sz="4" w:space="0" w:color="9FB3C8"/>
        <w:insideH w:val="single" w:sz="4" w:space="0" w:color="9FB3C8"/>
        <w:insideV w:val="single" w:sz="4" w:space="0" w:color="9FB3C8"/>
      </w:tblBorders>
      <w:tblCellMar>
        <w:top w:w="57" w:type="dxa"/>
        <w:left w:w="142" w:type="dxa"/>
        <w:bottom w:w="57" w:type="dxa"/>
        <w:right w:w="142" w:type="dxa"/>
      </w:tblCellMar>
    </w:tblPr>
    <w:tblStylePr w:type="firstRow">
      <w:rPr>
        <w:b/>
        <w:bCs/>
        <w:color w:val="FFFFFF"/>
      </w:rPr>
      <w:tcPr>
        <w:shd w:val="clear" w:color="auto" w:fill="003668"/>
      </w:tcPr>
    </w:tblStylePr>
    <w:tblStylePr w:type="firstCol">
      <w:rPr>
        <w:b/>
        <w:bCs/>
        <w:color w:val="003668"/>
      </w:rPr>
      <w:tcPr>
        <w:shd w:val="clear" w:color="auto" w:fill="F2F7FC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Hertfordshire Provincial Mentoring – Document template</dc:title>
  <dc:creator>Hertfordshire Provincial Mentoring</dc:creator>
  <dcterms:created xsi:type="dcterms:W3CDTF">2026-10-09T09:00:00Z</dcterms:created>
</cp:coreProperties>
</file>