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Training and Development · E-R3</w:t>
      </w:r>
    </w:p>
    <w:p>
      <w:pPr>
        <w:pStyle w:val="Title"/>
      </w:pPr>
      <w:r>
        <w:rPr/>
        <w:t>Issue 3 Academy Consistency Review</w:t>
      </w:r>
    </w:p>
    <w:p>
      <w:pPr>
        <w:pStyle w:val="PurposeStatement"/>
      </w:pPr>
      <w:r>
        <w:rPr/>
        <w:t>Whether the eleven Issue 3 courses work together as one consistent Academy.</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Audience</w:t>
            </w:r>
          </w:p>
        </w:tc>
        <w:tc>
          <w:tcPr>
            <w:tcW w:type="dxa" w:w="7371"/>
          </w:tcPr>
          <w:p>
            <w:pPr>
              <w:keepNext/>
              <w:spacing w:before="60" w:after="60"/>
            </w:pPr>
            <w:r>
              <w:rPr/>
              <w:t>Provincial Mentoring Team</w:t>
            </w:r>
          </w:p>
        </w:tc>
      </w:tr>
      <w:tr>
        <w:trPr>
          <w:cantSplit/>
        </w:trPr>
        <w:tc>
          <w:tcPr>
            <w:tcW w:type="dxa" w:w="2041"/>
          </w:tcPr>
          <w:p>
            <w:pPr>
              <w:keepNext/>
              <w:spacing w:before="60" w:after="60"/>
            </w:pPr>
            <w:r>
              <w:rPr/>
              <w:t>Issue</w:t>
            </w:r>
          </w:p>
        </w:tc>
        <w:tc>
          <w:tcPr>
            <w:tcW w:type="dxa" w:w="7371"/>
          </w:tcPr>
          <w:p>
            <w:pPr>
              <w:keepNext/>
              <w:spacing w:before="60" w:after="60"/>
            </w:pPr>
            <w:r>
              <w:rPr/>
              <w:t>Issue 1, November 2026</w:t>
            </w:r>
          </w:p>
        </w:tc>
      </w:tr>
      <w:tr>
        <w:trPr>
          <w:cantSplit/>
        </w:trPr>
        <w:tc>
          <w:tcPr>
            <w:tcW w:type="dxa" w:w="2041"/>
          </w:tcPr>
          <w:p>
            <w:pPr>
              <w:spacing w:before="60" w:after="60"/>
            </w:pPr>
            <w:r>
              <w:rPr/>
              <w:t>Status</w:t>
            </w:r>
          </w:p>
        </w:tc>
        <w:tc>
          <w:tcPr>
            <w:tcW w:type="dxa" w:w="7371"/>
          </w:tcPr>
          <w:p>
            <w:pPr>
              <w:spacing w:before="60" w:after="60"/>
            </w:pPr>
            <w:r>
              <w:rPr/>
              <w:t>For Provincial review</w:t>
            </w:r>
          </w:p>
        </w:tc>
      </w:tr>
    </w:tbl>
    <w:p>
      <w:pPr>
        <w:spacing w:after="0"/>
      </w:pPr>
    </w:p>
    <w:p>
      <w:pPr>
        <w:pStyle w:val="Heading1"/>
      </w:pPr>
      <w:r>
        <w:t>About this review</w:t>
      </w:r>
    </w:p>
    <w:p>
      <w:pPr>
        <w:spacing w:after="120"/>
      </w:pPr>
      <w:r>
        <w:rPr/>
        <w:t>This review looks across the eleven Issue 3 courses as one Academy. It is based on the two QA reads (26 October 2026), the lead editor's decisions and the final course data files. Each section states what was checked, the evidence, and any residual issue. Item numbers in brackets refer to the Publication Readiness Register (E-R4).</w:t>
      </w:r>
    </w:p>
    <w:p>
      <w:pPr>
        <w:pStyle w:val="Heading1"/>
      </w:pPr>
      <w:r>
        <w:t>Mentoring principles</w:t>
      </w:r>
    </w:p>
    <w:p>
      <w:pPr>
        <w:spacing w:after="120"/>
      </w:pPr>
      <w:r>
        <w:rPr>
          <w:b/>
        </w:rPr>
        <w:t>Confirmed.</w:t>
      </w:r>
      <w:r>
        <w:rPr/>
        <w:t xml:space="preserve"> All eleven courses use the canon order Prepare, Guide, Support, Enlighten. E1 2.1 quotes the four A1 definitions verbatim and is the only course to do so; E2 and E6 link to it, and E7g quotes the Enlighten definition alone. Every course carries one principle tag: Prepare (E1, E7c, E7d), Guide (E6, E7b, E7h), Support (E2, E7a, E7e, E7f) and Enlighten (E7g).</w:t>
      </w:r>
    </w:p>
    <w:p>
      <w:pPr>
        <w:spacing w:after="120"/>
      </w:pPr>
      <w:r>
        <w:rPr/>
        <w:t>The Issue 3 philosophy is applied in every course: the individual comes first; no pressure towards or away from office, the Chair, ritual or the Royal Arch; noticing change is not surveillance; not every departure is a failure.</w:t>
      </w:r>
    </w:p>
    <w:p>
      <w:pPr>
        <w:spacing w:after="120"/>
      </w:pPr>
      <w:r>
        <w:rPr/>
        <w:t>Residual issues:</w:t>
      </w:r>
    </w:p>
    <w:p>
      <w:pPr>
        <w:pStyle w:val="ListBullet"/>
      </w:pPr>
      <w:r>
        <w:rPr/>
        <w:t>E7h's tag was changed from Enlighten to Guide by the lead editor (23).</w:t>
      </w:r>
    </w:p>
    <w:p>
      <w:pPr>
        <w:pStyle w:val="ListBullet"/>
      </w:pPr>
      <w:r>
        <w:rPr/>
        <w:t>The Hub's principles panel in E1 2.1 shows the Hub's own short definitions, which differ from the A1 text quoted straight after (36).</w:t>
      </w:r>
    </w:p>
    <w:p>
      <w:pPr>
        <w:pStyle w:val="ListBullet"/>
      </w:pPr>
      <w:r>
        <w:rPr/>
        <w:t>A2 still uses the old order (PMF-1).</w:t>
      </w:r>
    </w:p>
    <w:p>
      <w:pPr>
        <w:pStyle w:val="Heading1"/>
      </w:pPr>
      <w:r>
        <w:t>Terminology</w:t>
      </w:r>
    </w:p>
    <w:p>
      <w:pPr>
        <w:spacing w:after="120"/>
      </w:pPr>
      <w:r>
        <w:rPr>
          <w:b/>
        </w:rPr>
        <w:t>Confirmed.</w:t>
      </w:r>
      <w:r>
        <w:rPr/>
        <w:t xml:space="preserve"> A scan of the teaching text in all eleven data files found no "new man", "mentee", "Hermes Province", "two windows", "discreet note" or em-dashes, and no "Provincial Grand Mentor" outside devNotes. "Fourth degree" appears only in E2 and E7h as a wrong answer or an "avoid" item, and is always corrected. "Re-engagement" replaces "retrieval" in E7e's teaching text. QA made these fixes:</w:t>
      </w:r>
    </w:p>
    <w:p>
      <w:pPr>
        <w:pStyle w:val="ListBullet"/>
      </w:pPr>
      <w:r>
        <w:rPr/>
        <w:t>the Royal Arch Representative is no longer called a Lodge officer (E6 3.1);</w:t>
      </w:r>
    </w:p>
    <w:p>
      <w:pPr>
        <w:pStyle w:val="ListBullet"/>
      </w:pPr>
      <w:r>
        <w:rPr/>
        <w:t>no "mentee" remains (QA replaced it in E2);</w:t>
      </w:r>
    </w:p>
    <w:p>
      <w:pPr>
        <w:pStyle w:val="ListBullet"/>
      </w:pPr>
      <w:r>
        <w:rPr/>
        <w:t>"new man" removed (E1 1.3, E7b 2.1);</w:t>
      </w:r>
    </w:p>
    <w:p>
      <w:pPr>
        <w:pStyle w:val="ListBullet"/>
      </w:pPr>
      <w:r>
        <w:rPr/>
        <w:t>office names capitalised (E7g 4.1).</w:t>
      </w:r>
    </w:p>
    <w:p>
      <w:pPr>
        <w:spacing w:after="120"/>
      </w:pPr>
      <w:r>
        <w:rPr/>
        <w:t>Residual issues:</w:t>
      </w:r>
    </w:p>
    <w:p>
      <w:pPr>
        <w:pStyle w:val="ListBullet"/>
      </w:pPr>
      <w:r>
        <w:rPr/>
        <w:t>Provincial titles are used consistently but await confirmation (6).</w:t>
      </w:r>
    </w:p>
    <w:p>
      <w:pPr>
        <w:pStyle w:val="ListBullet"/>
      </w:pPr>
      <w:r>
        <w:rPr/>
        <w:t>The year after the Chair is a "second risk window" in E6 and E7e but "a time to keep in touch" in E1 (19).</w:t>
      </w:r>
    </w:p>
    <w:p>
      <w:pPr>
        <w:pStyle w:val="ListBullet"/>
      </w:pPr>
      <w:r>
        <w:rPr/>
        <w:t>"Navigates" appears in E1 2.1, inside the verbatim A1 quotation, and in the Charge (7).</w:t>
      </w:r>
    </w:p>
    <w:p>
      <w:pPr>
        <w:pStyle w:val="Heading1"/>
      </w:pPr>
      <w:r>
        <w:t>Course boundaries</w:t>
      </w:r>
    </w:p>
    <w:p>
      <w:pPr>
        <w:spacing w:after="120"/>
      </w:pPr>
      <w:r>
        <w:rPr/>
        <w:t>Each topic is taught in full in one course. Other courses give a short hand-off and point to it.</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Course</w:t>
            </w:r>
          </w:p>
        </w:tc>
        <w:tc>
          <w:tcPr>
            <w:tcW w:type="dxa" w:w="2600"/>
            <w:shd w:val="clear" w:color="auto" w:fill="003668"/>
          </w:tcPr>
          <w:p>
            <w:pPr>
              <w:keepNext/>
              <w:spacing w:before="60" w:after="60"/>
            </w:pPr>
            <w:r>
              <w:rPr>
                <w:b/>
                <w:color w:val="FFFFFF"/>
              </w:rPr>
              <w:t>Owns</w:t>
            </w:r>
          </w:p>
        </w:tc>
        <w:tc>
          <w:tcPr>
            <w:tcW w:type="dxa" w:w="5612"/>
            <w:shd w:val="clear" w:color="auto" w:fill="003668"/>
          </w:tcPr>
          <w:p>
            <w:pPr>
              <w:keepNext/>
              <w:spacing w:before="60" w:after="60"/>
            </w:pPr>
            <w:r>
              <w:rPr>
                <w:b/>
                <w:color w:val="FFFFFF"/>
              </w:rPr>
              <w:t>Points to</w:t>
            </w:r>
          </w:p>
        </w:tc>
      </w:tr>
      <w:tr>
        <w:trPr>
          <w:cantSplit/>
        </w:trPr>
        <w:tc>
          <w:tcPr>
            <w:tcW w:type="dxa" w:w="1200"/>
          </w:tcPr>
          <w:p>
            <w:pPr>
              <w:spacing w:before="60" w:after="60"/>
            </w:pPr>
            <w:r>
              <w:rPr/>
              <w:t>E1 Lodge Mentor Essentials</w:t>
            </w:r>
          </w:p>
        </w:tc>
        <w:tc>
          <w:tcPr>
            <w:tcW w:type="dxa" w:w="2600"/>
          </w:tcPr>
          <w:p>
            <w:pPr>
              <w:spacing w:before="60" w:after="60"/>
            </w:pPr>
            <w:r>
              <w:rPr/>
              <w:t>The Lodge Mentor's role; the full A1 principles; choosing Personal Mentors; who to involve</w:t>
            </w:r>
          </w:p>
        </w:tc>
        <w:tc>
          <w:tcPr>
            <w:tcW w:type="dxa" w:w="5612"/>
          </w:tcPr>
          <w:p>
            <w:pPr>
              <w:spacing w:before="60" w:after="60"/>
            </w:pPr>
            <w:r>
              <w:rPr/>
              <w:t>E2, E7b, E7c, E7d, E7e, E7f, E7g, E7h</w:t>
            </w:r>
          </w:p>
        </w:tc>
      </w:tr>
      <w:tr>
        <w:trPr>
          <w:cantSplit/>
        </w:trPr>
        <w:tc>
          <w:tcPr>
            <w:tcW w:type="dxa" w:w="1200"/>
          </w:tcPr>
          <w:p>
            <w:pPr>
              <w:spacing w:before="60" w:after="60"/>
            </w:pPr>
            <w:r>
              <w:rPr/>
              <w:t>E2 Personal Mentor Course</w:t>
            </w:r>
          </w:p>
        </w:tc>
        <w:tc>
          <w:tcPr>
            <w:tcW w:type="dxa" w:w="2600"/>
          </w:tcPr>
          <w:p>
            <w:pPr>
              <w:spacing w:before="60" w:after="60"/>
            </w:pPr>
            <w:r>
              <w:rPr/>
              <w:t>The composite story; first contacts and the one-to-one; question and listening basics</w:t>
            </w:r>
          </w:p>
        </w:tc>
        <w:tc>
          <w:tcPr>
            <w:tcW w:type="dxa" w:w="5612"/>
          </w:tcPr>
          <w:p>
            <w:pPr>
              <w:spacing w:before="60" w:after="60"/>
            </w:pPr>
            <w:r>
              <w:rPr/>
              <w:t>E1 (principles), E7a, E7d, E7e, E7f, E7h, E7c</w:t>
            </w:r>
          </w:p>
        </w:tc>
      </w:tr>
      <w:tr>
        <w:trPr>
          <w:cantSplit/>
        </w:trPr>
        <w:tc>
          <w:tcPr>
            <w:tcW w:type="dxa" w:w="1200"/>
          </w:tcPr>
          <w:p>
            <w:pPr>
              <w:spacing w:before="60" w:after="60"/>
            </w:pPr>
            <w:r>
              <w:rPr/>
              <w:t>E6 The Chair and Beyond</w:t>
            </w:r>
          </w:p>
        </w:tc>
        <w:tc>
          <w:tcPr>
            <w:tcW w:type="dxa" w:w="2600"/>
          </w:tcPr>
          <w:p>
            <w:pPr>
              <w:spacing w:before="60" w:after="60"/>
            </w:pPr>
            <w:r>
              <w:rPr/>
              <w:t>Chair facts; the Master's year; the year after the Chair</w:t>
            </w:r>
          </w:p>
        </w:tc>
        <w:tc>
          <w:tcPr>
            <w:tcW w:type="dxa" w:w="5612"/>
          </w:tcPr>
          <w:p>
            <w:pPr>
              <w:spacing w:before="60" w:after="60"/>
            </w:pPr>
            <w:r>
              <w:rPr/>
              <w:t>E7c (office plans), E7e, E7f, E7h</w:t>
            </w:r>
          </w:p>
        </w:tc>
      </w:tr>
      <w:tr>
        <w:trPr>
          <w:cantSplit/>
        </w:trPr>
        <w:tc>
          <w:tcPr>
            <w:tcW w:type="dxa" w:w="1200"/>
          </w:tcPr>
          <w:p>
            <w:pPr>
              <w:spacing w:before="60" w:after="60"/>
            </w:pPr>
            <w:r>
              <w:rPr/>
              <w:t>E7a The Mentoring Conversation</w:t>
            </w:r>
          </w:p>
        </w:tc>
        <w:tc>
          <w:tcPr>
            <w:tcW w:type="dxa" w:w="2600"/>
          </w:tcPr>
          <w:p>
            <w:pPr>
              <w:spacing w:before="60" w:after="60"/>
            </w:pPr>
            <w:r>
              <w:rPr/>
              <w:t>Conversation skills beyond E2; the Personal Mentor's own notes</w:t>
            </w:r>
          </w:p>
        </w:tc>
        <w:tc>
          <w:tcPr>
            <w:tcW w:type="dxa" w:w="5612"/>
          </w:tcPr>
          <w:p>
            <w:pPr>
              <w:spacing w:before="60" w:after="60"/>
            </w:pPr>
            <w:r>
              <w:rPr/>
              <w:t>E2, E7e, E7f, E7h</w:t>
            </w:r>
          </w:p>
        </w:tc>
      </w:tr>
      <w:tr>
        <w:trPr>
          <w:cantSplit/>
        </w:trPr>
        <w:tc>
          <w:tcPr>
            <w:tcW w:type="dxa" w:w="1200"/>
          </w:tcPr>
          <w:p>
            <w:pPr>
              <w:spacing w:before="60" w:after="60"/>
            </w:pPr>
            <w:r>
              <w:rPr/>
              <w:t>E7b Organising Mentoring in Your Lodge</w:t>
            </w:r>
          </w:p>
        </w:tc>
        <w:tc>
          <w:tcPr>
            <w:tcW w:type="dxa" w:w="2600"/>
          </w:tcPr>
          <w:p>
            <w:pPr>
              <w:spacing w:before="60" w:after="60"/>
            </w:pPr>
            <w:r>
              <w:rPr/>
              <w:t>Matching, briefing, support rhythm, the Personal Mentoring Plan</w:t>
            </w:r>
          </w:p>
        </w:tc>
        <w:tc>
          <w:tcPr>
            <w:tcW w:type="dxa" w:w="5612"/>
          </w:tcPr>
          <w:p>
            <w:pPr>
              <w:spacing w:before="60" w:after="60"/>
            </w:pPr>
            <w:r>
              <w:rPr/>
              <w:t>E1 (role), E7e, E7f</w:t>
            </w:r>
          </w:p>
        </w:tc>
      </w:tr>
      <w:tr>
        <w:trPr>
          <w:cantSplit/>
        </w:trPr>
        <w:tc>
          <w:tcPr>
            <w:tcW w:type="dxa" w:w="1200"/>
          </w:tcPr>
          <w:p>
            <w:pPr>
              <w:spacing w:before="60" w:after="60"/>
            </w:pPr>
            <w:r>
              <w:rPr/>
              <w:t>E7c Succession Planning</w:t>
            </w:r>
          </w:p>
        </w:tc>
        <w:tc>
          <w:tcPr>
            <w:tcW w:type="dxa" w:w="2600"/>
          </w:tcPr>
          <w:p>
            <w:pPr>
              <w:spacing w:before="60" w:after="60"/>
            </w:pPr>
            <w:r>
              <w:rPr/>
              <w:t>Office plans; readiness conversations; Lodge Mentor succession</w:t>
            </w:r>
          </w:p>
        </w:tc>
        <w:tc>
          <w:tcPr>
            <w:tcW w:type="dxa" w:w="5612"/>
          </w:tcPr>
          <w:p>
            <w:pPr>
              <w:spacing w:before="60" w:after="60"/>
            </w:pPr>
            <w:r>
              <w:rPr/>
              <w:t>E6 (Chair facts, Past Masters), E7e (migration), E7f</w:t>
            </w:r>
          </w:p>
        </w:tc>
      </w:tr>
      <w:tr>
        <w:trPr>
          <w:cantSplit/>
        </w:trPr>
        <w:tc>
          <w:tcPr>
            <w:tcW w:type="dxa" w:w="1200"/>
          </w:tcPr>
          <w:p>
            <w:pPr>
              <w:spacing w:before="60" w:after="60"/>
            </w:pPr>
            <w:r>
              <w:rPr/>
              <w:t>E7d The First Two Years</w:t>
            </w:r>
          </w:p>
        </w:tc>
        <w:tc>
          <w:tcPr>
            <w:tcW w:type="dxa" w:w="2600"/>
          </w:tcPr>
          <w:p>
            <w:pPr>
              <w:spacing w:before="60" w:after="60"/>
            </w:pPr>
            <w:r>
              <w:rPr/>
              <w:t>Evidence on early leaving; Initiation night, second meeting, pacing</w:t>
            </w:r>
          </w:p>
        </w:tc>
        <w:tc>
          <w:tcPr>
            <w:tcW w:type="dxa" w:w="5612"/>
          </w:tcPr>
          <w:p>
            <w:pPr>
              <w:spacing w:before="60" w:after="60"/>
            </w:pPr>
            <w:r>
              <w:rPr/>
              <w:t>E2 (first contacts), E7e, E7g, E7h</w:t>
            </w:r>
          </w:p>
        </w:tc>
      </w:tr>
      <w:tr>
        <w:trPr>
          <w:cantSplit/>
        </w:trPr>
        <w:tc>
          <w:tcPr>
            <w:tcW w:type="dxa" w:w="1200"/>
          </w:tcPr>
          <w:p>
            <w:pPr>
              <w:spacing w:before="60" w:after="60"/>
            </w:pPr>
            <w:r>
              <w:rPr/>
              <w:t>E7e Keeping Good Men</w:t>
            </w:r>
          </w:p>
        </w:tc>
        <w:tc>
          <w:tcPr>
            <w:tcW w:type="dxa" w:w="2600"/>
          </w:tcPr>
          <w:p>
            <w:pPr>
              <w:spacing w:before="60" w:after="60"/>
            </w:pPr>
            <w:r>
              <w:rPr/>
              <w:t>Warning signs; the four steps; Rule 183; resignations; migration</w:t>
            </w:r>
          </w:p>
        </w:tc>
        <w:tc>
          <w:tcPr>
            <w:tcW w:type="dxa" w:w="5612"/>
          </w:tcPr>
          <w:p>
            <w:pPr>
              <w:spacing w:before="60" w:after="60"/>
            </w:pPr>
            <w:r>
              <w:rPr/>
              <w:t>E7d, E7f</w:t>
            </w:r>
          </w:p>
        </w:tc>
      </w:tr>
      <w:tr>
        <w:trPr>
          <w:cantSplit/>
        </w:trPr>
        <w:tc>
          <w:tcPr>
            <w:tcW w:type="dxa" w:w="1200"/>
          </w:tcPr>
          <w:p>
            <w:pPr>
              <w:spacing w:before="60" w:after="60"/>
            </w:pPr>
            <w:r>
              <w:rPr/>
              <w:t>E7f Welfare, Wellbeing and Knowing Your Limits</w:t>
            </w:r>
          </w:p>
        </w:tc>
        <w:tc>
          <w:tcPr>
            <w:tcW w:type="dxa" w:w="2600"/>
          </w:tcPr>
          <w:p>
            <w:pPr>
              <w:spacing w:before="60" w:after="60"/>
            </w:pPr>
            <w:r>
              <w:rPr/>
              <w:t>Welfare, confidentiality, risk and safeguarding</w:t>
            </w:r>
          </w:p>
        </w:tc>
        <w:tc>
          <w:tcPr>
            <w:tcW w:type="dxa" w:w="5612"/>
          </w:tcPr>
          <w:p>
            <w:pPr>
              <w:spacing w:before="60" w:after="60"/>
            </w:pPr>
            <w:r>
              <w:rPr/>
              <w:t>E7a, E7e</w:t>
            </w:r>
          </w:p>
        </w:tc>
      </w:tr>
      <w:tr>
        <w:trPr>
          <w:cantSplit/>
        </w:trPr>
        <w:tc>
          <w:tcPr>
            <w:tcW w:type="dxa" w:w="1200"/>
          </w:tcPr>
          <w:p>
            <w:pPr>
              <w:spacing w:before="60" w:after="60"/>
            </w:pPr>
            <w:r>
              <w:rPr/>
              <w:t>E7g Helping Brethren Learn</w:t>
            </w:r>
          </w:p>
        </w:tc>
        <w:tc>
          <w:tcPr>
            <w:tcW w:type="dxa" w:w="2600"/>
          </w:tcPr>
          <w:p>
            <w:pPr>
              <w:spacing w:before="60" w:after="60"/>
            </w:pPr>
            <w:r>
              <w:rPr/>
              <w:t>Reflection after ceremonies; learning ritual; sources</w:t>
            </w:r>
          </w:p>
        </w:tc>
        <w:tc>
          <w:tcPr>
            <w:tcW w:type="dxa" w:w="5612"/>
          </w:tcPr>
          <w:p>
            <w:pPr>
              <w:spacing w:before="60" w:after="60"/>
            </w:pPr>
            <w:r>
              <w:rPr/>
              <w:t>E2 (arrangements), E7h</w:t>
            </w:r>
          </w:p>
        </w:tc>
      </w:tr>
      <w:tr>
        <w:trPr>
          <w:cantSplit/>
        </w:trPr>
        <w:tc>
          <w:tcPr>
            <w:tcW w:type="dxa" w:w="1200"/>
          </w:tcPr>
          <w:p>
            <w:pPr>
              <w:spacing w:before="60" w:after="60"/>
            </w:pPr>
            <w:r>
              <w:rPr/>
              <w:t>E7h One Journey</w:t>
            </w:r>
          </w:p>
        </w:tc>
        <w:tc>
          <w:tcPr>
            <w:tcW w:type="dxa" w:w="2600"/>
          </w:tcPr>
          <w:p>
            <w:pPr>
              <w:spacing w:before="60" w:after="60"/>
            </w:pPr>
            <w:r>
              <w:rPr/>
              <w:t>The Royal Arch; the Festive Board pressure scenario</w:t>
            </w:r>
          </w:p>
        </w:tc>
        <w:tc>
          <w:tcPr>
            <w:tcW w:type="dxa" w:w="5612"/>
          </w:tcPr>
          <w:p>
            <w:pPr>
              <w:spacing w:before="60" w:after="60"/>
            </w:pPr>
            <w:r>
              <w:rPr/>
              <w:t>Pointed to by E1, E2, E6, E7a, E7d and E7g</w:t>
            </w:r>
          </w:p>
        </w:tc>
      </w:tr>
    </w:tbl>
    <w:p>
      <w:pPr>
        <w:spacing w:after="0"/>
      </w:pPr>
    </w:p>
    <w:p>
      <w:pPr>
        <w:spacing w:after="120"/>
      </w:pPr>
      <w:r>
        <w:rPr/>
        <w:t>Evidence: E1 and E2 keep only a hand-off on warning signs and resignations. E1 4.4's resignation branch was removed. E6 dropped the BGP tenure recommendation in favour of E7c, and E7c dropped its Chair facts in favour of E6.</w:t>
      </w:r>
    </w:p>
    <w:p>
      <w:pPr>
        <w:spacing w:after="120"/>
      </w:pPr>
      <w:r>
        <w:rPr/>
        <w:t>Residual issue: E2 keeps a short "when to talk to the Lodge Mentor" list that mentions a resignation and its sixty days. This is deliberate reinforcement, not re-teaching.</w:t>
      </w:r>
    </w:p>
    <w:p>
      <w:pPr>
        <w:pStyle w:val="Heading1"/>
      </w:pPr>
      <w:r>
        <w:t>Duplication</w:t>
      </w:r>
    </w:p>
    <w:p>
      <w:pPr>
        <w:keepNext/>
        <w:spacing w:after="40" w:before="80"/>
      </w:pPr>
      <w:r>
        <w:rPr>
          <w:b/>
          <w:color w:val="003668"/>
        </w:rPr>
        <w:t>Removed</w:t>
      </w:r>
    </w:p>
    <w:p>
      <w:pPr>
        <w:pStyle w:val="ListBullet"/>
      </w:pPr>
      <w:r>
        <w:rPr/>
        <w:t>E1's composite story (E2 owns it).</w:t>
      </w:r>
    </w:p>
    <w:p>
      <w:pPr>
        <w:pStyle w:val="ListBullet"/>
      </w:pPr>
      <w:r>
        <w:rPr/>
        <w:t>E2's Scenario B, which duplicated E1's "quiet drift" case.</w:t>
      </w:r>
    </w:p>
    <w:p>
      <w:pPr>
        <w:pStyle w:val="ListBullet"/>
      </w:pPr>
      <w:r>
        <w:rPr/>
        <w:t>The proposal form and Festive Board rescue in E2 Scenario D (E7h owns them).</w:t>
      </w:r>
    </w:p>
    <w:p>
      <w:pPr>
        <w:pStyle w:val="ListBullet"/>
      </w:pPr>
      <w:r>
        <w:rPr/>
        <w:t>E1 4.4's resignation branch.</w:t>
      </w:r>
    </w:p>
    <w:p>
      <w:pPr>
        <w:pStyle w:val="ListBullet"/>
      </w:pPr>
      <w:r>
        <w:rPr/>
        <w:t>E6's reuse of E2's story lines, and two of E6's three full year-after-the-Chair paragraphs.</w:t>
      </w:r>
    </w:p>
    <w:p>
      <w:pPr>
        <w:pStyle w:val="ListBullet"/>
      </w:pPr>
      <w:r>
        <w:rPr/>
        <w:t>E7b Q1's shift-worker echo of E1.</w:t>
      </w:r>
    </w:p>
    <w:p>
      <w:pPr>
        <w:pStyle w:val="ListBullet"/>
      </w:pPr>
      <w:r>
        <w:rPr/>
        <w:t>E7c Q2, which matched E1 Q9.</w:t>
      </w:r>
    </w:p>
    <w:p>
      <w:pPr>
        <w:pStyle w:val="ListBullet"/>
      </w:pPr>
      <w:r>
        <w:rPr/>
        <w:t>E7d's line and insight that repeated E2 Scenario A.</w:t>
      </w:r>
    </w:p>
    <w:p>
      <w:pPr>
        <w:pStyle w:val="ListBullet"/>
      </w:pPr>
      <w:r>
        <w:rPr/>
        <w:t>E7e's "obviously lost interest" line, which echoed E1.</w:t>
      </w:r>
    </w:p>
    <w:p>
      <w:pPr>
        <w:pStyle w:val="ListBullet"/>
      </w:pPr>
      <w:r>
        <w:rPr/>
        <w:t>The brief's example sentence "careful at both ends", reworded in E6, E7c, E7d and E1.</w:t>
      </w:r>
    </w:p>
    <w:p>
      <w:pPr>
        <w:keepNext/>
        <w:spacing w:after="40" w:before="80"/>
      </w:pPr>
      <w:r>
        <w:rPr>
          <w:b/>
          <w:color w:val="003668"/>
        </w:rPr>
        <w:t>Deliberate reinforcement that remains</w:t>
      </w:r>
    </w:p>
    <w:p>
      <w:pPr>
        <w:pStyle w:val="ListBullet"/>
      </w:pPr>
      <w:r>
        <w:rPr/>
        <w:t>Rule 183 approved wording 1 (E1 4.3, E2 1.4, E6 6.1, E7e 4.1).</w:t>
      </w:r>
    </w:p>
    <w:p>
      <w:pPr>
        <w:pStyle w:val="ListBullet"/>
      </w:pPr>
      <w:r>
        <w:rPr/>
        <w:t>The two-misses habit (E1, E2, E6, E7e).</w:t>
      </w:r>
    </w:p>
    <w:p>
      <w:pPr>
        <w:pStyle w:val="ListBullet"/>
      </w:pPr>
      <w:r>
        <w:rPr/>
        <w:t>Approved wording 10 on the year after the Chair (E6 5.1, E7e 2.1).</w:t>
      </w:r>
    </w:p>
    <w:p>
      <w:pPr>
        <w:pStyle w:val="ListBullet"/>
      </w:pPr>
      <w:r>
        <w:rPr/>
        <w:t>The 999 and NHS 111 safety line (E1, E2, E7a, E7f).</w:t>
      </w:r>
    </w:p>
    <w:p>
      <w:pPr>
        <w:pStyle w:val="ListBullet"/>
      </w:pPr>
      <w:r>
        <w:rPr/>
        <w:t>One Royal Arch question in each of E1, E2, E6 and E7a.</w:t>
      </w:r>
    </w:p>
    <w:p>
      <w:pPr>
        <w:pStyle w:val="ListBullet"/>
      </w:pPr>
      <w:r>
        <w:rPr/>
        <w:t>The "Thirty days on" pattern.</w:t>
      </w:r>
    </w:p>
    <w:p>
      <w:pPr>
        <w:spacing w:after="120"/>
      </w:pPr>
      <w:r>
        <w:rPr/>
        <w:t>Residual issues:</w:t>
      </w:r>
    </w:p>
    <w:p>
      <w:pPr>
        <w:pStyle w:val="ListBullet"/>
      </w:pPr>
      <w:r>
        <w:rPr/>
        <w:t>E1 1.2 and E7e 1.1 open with almost the same sentence ("If a Brother enjoys his Lodge ... far more likely to want to stay involved").</w:t>
      </w:r>
    </w:p>
    <w:p>
      <w:pPr>
        <w:pStyle w:val="ListBullet"/>
      </w:pPr>
      <w:r>
        <w:rPr/>
        <w:t>E2 Scenario B and E7e 3.2 share a similar opening; QA judged them distinct enough.</w:t>
      </w:r>
    </w:p>
    <w:p>
      <w:pPr>
        <w:pStyle w:val="ListBullet"/>
      </w:pPr>
      <w:r>
        <w:rPr/>
        <w:t>E7a 5.2 and E7g 4.3 both concern a first piece of ritual, at different moments; QA suggested a pointer from E7a to E7g (37).</w:t>
      </w:r>
    </w:p>
    <w:p>
      <w:pPr>
        <w:pStyle w:val="Heading1"/>
      </w:pPr>
      <w:r>
        <w:t>Learning progression</w:t>
      </w:r>
    </w:p>
    <w:p>
      <w:pPr>
        <w:spacing w:after="120"/>
      </w:pPr>
      <w:r>
        <w:rPr/>
        <w:t>The foundation courses (E1, E2, E6) set out the role, the principles and the basics. The specialist courses build on them and say so: E7a starts from E2's question basics, and E7b starts from E1's role. E1 and E2 are essential, E6 is recommended, and E7f is recommended for every mentor. The other E7 courses are optional, and the Hub shows them as Optional because it has no specialist level (34).</w:t>
      </w:r>
    </w:p>
    <w:p>
      <w:pPr>
        <w:spacing w:after="120"/>
      </w:pPr>
      <w:r>
        <w:rPr/>
        <w:t>Suggested pathways, based on each course's stated audience:</w:t>
      </w:r>
    </w:p>
    <w:p>
      <w:pPr>
        <w:pStyle w:val="ListBullet"/>
      </w:pPr>
      <w:r>
        <w:rPr>
          <w:b/>
        </w:rPr>
        <w:t>Lodge Mentors:</w:t>
      </w:r>
      <w:r>
        <w:rPr/>
        <w:t xml:space="preserve"> E1, then E2, then E7f; then E7b, E7e and E7c; then E7d, E7a, E7g and E7h as needed.</w:t>
      </w:r>
    </w:p>
    <w:p>
      <w:pPr>
        <w:pStyle w:val="ListBullet"/>
      </w:pPr>
      <w:r>
        <w:rPr>
          <w:b/>
        </w:rPr>
        <w:t>Personal Mentors:</w:t>
      </w:r>
      <w:r>
        <w:rPr/>
        <w:t xml:space="preserve"> E2, then E7f; then E7a, E7d and E7g; then E7h and E7e.</w:t>
      </w:r>
    </w:p>
    <w:p>
      <w:pPr>
        <w:pStyle w:val="ListBullet"/>
      </w:pPr>
      <w:r>
        <w:rPr>
          <w:b/>
        </w:rPr>
        <w:t>Wardens:</w:t>
      </w:r>
      <w:r>
        <w:rPr/>
        <w:t xml:space="preserve"> E6 (including "Preparing for the Chair"), then E7c; E7f if they mentor.</w:t>
      </w:r>
    </w:p>
    <w:p>
      <w:pPr>
        <w:pStyle w:val="ListBullet"/>
      </w:pPr>
      <w:r>
        <w:rPr>
          <w:b/>
        </w:rPr>
        <w:t>Masters:</w:t>
      </w:r>
      <w:r>
        <w:rPr/>
        <w:t xml:space="preserve"> E6, then E7c; E7b and E7h are also aimed at Masters; E7e and E7f are useful background.</w:t>
      </w:r>
    </w:p>
    <w:p>
      <w:pPr>
        <w:pStyle w:val="Heading1"/>
      </w:pPr>
      <w:r>
        <w:t>Assessment</w:t>
      </w:r>
    </w:p>
    <w:p>
      <w:pPr>
        <w:spacing w:after="120"/>
      </w:pPr>
      <w:r>
        <w:rPr/>
        <w:t>Every final assessment is an assessed quiz with a pass mark and judgement-based questions. Each question has both feedbacks and an explanation; each course has multiple-answer questions and true/false items where the fact matters. Warm-up quizzes and E2's practice quiz are optional and not assessed. Completion means the required lessons plus the final assessment.</w:t>
      </w:r>
    </w:p>
    <w:tbl>
      <w:tblPr>
        <w:tblStyle w:val="MentoringTable"/>
        <w:tblW w:type="dxa" w:w="9408"/>
        <w:tblLayout w:type="fixed"/>
        <w:tblLook w:firstColumn="0" w:firstRow="1" w:lastColumn="0" w:lastRow="0" w:noHBand="1" w:noVBand="1" w:val="0620"/>
        <w:tblLayout w:type="fixed"/>
      </w:tblPr>
      <w:tblGrid>
        <w:gridCol w:w="1344"/>
        <w:gridCol w:w="1344"/>
        <w:gridCol w:w="1344"/>
        <w:gridCol w:w="1344"/>
        <w:gridCol w:w="1344"/>
        <w:gridCol w:w="1344"/>
        <w:gridCol w:w="1344"/>
      </w:tblGrid>
      <w:tr>
        <w:trPr>
          <w:cantSplit/>
        </w:trPr>
        <w:tc>
          <w:tcPr>
            <w:tcW w:type="dxa" w:w="1344"/>
            <w:shd w:val="clear" w:color="auto" w:fill="003668"/>
          </w:tcPr>
          <w:p>
            <w:pPr>
              <w:keepNext/>
              <w:spacing w:before="60" w:after="60"/>
            </w:pPr>
            <w:r>
              <w:rPr>
                <w:b/>
                <w:color w:val="FFFFFF"/>
              </w:rPr>
              <w:t>Course</w:t>
            </w:r>
          </w:p>
        </w:tc>
        <w:tc>
          <w:tcPr>
            <w:tcW w:type="dxa" w:w="1344"/>
            <w:shd w:val="clear" w:color="auto" w:fill="003668"/>
          </w:tcPr>
          <w:p>
            <w:pPr>
              <w:keepNext/>
              <w:spacing w:before="60" w:after="60"/>
            </w:pPr>
            <w:r>
              <w:rPr>
                <w:b/>
                <w:color w:val="FFFFFF"/>
              </w:rPr>
              <w:t>Lessons</w:t>
            </w:r>
          </w:p>
        </w:tc>
        <w:tc>
          <w:tcPr>
            <w:tcW w:type="dxa" w:w="1344"/>
            <w:shd w:val="clear" w:color="auto" w:fill="003668"/>
          </w:tcPr>
          <w:p>
            <w:pPr>
              <w:keepNext/>
              <w:spacing w:before="60" w:after="60"/>
            </w:pPr>
            <w:r>
              <w:rPr>
                <w:b/>
                <w:color w:val="FFFFFF"/>
              </w:rPr>
              <w:t>Final questions</w:t>
            </w:r>
          </w:p>
        </w:tc>
        <w:tc>
          <w:tcPr>
            <w:tcW w:type="dxa" w:w="1344"/>
            <w:shd w:val="clear" w:color="auto" w:fill="003668"/>
          </w:tcPr>
          <w:p>
            <w:pPr>
              <w:keepNext/>
              <w:spacing w:before="60" w:after="60"/>
            </w:pPr>
            <w:r>
              <w:rPr>
                <w:b/>
                <w:color w:val="FFFFFF"/>
              </w:rPr>
              <w:t>Pass mark</w:t>
            </w:r>
          </w:p>
        </w:tc>
        <w:tc>
          <w:tcPr>
            <w:tcW w:type="dxa" w:w="1344"/>
            <w:shd w:val="clear" w:color="auto" w:fill="003668"/>
          </w:tcPr>
          <w:p>
            <w:pPr>
              <w:keepNext/>
              <w:spacing w:before="60" w:after="60"/>
            </w:pPr>
            <w:r>
              <w:rPr>
                <w:b/>
                <w:color w:val="FFFFFF"/>
              </w:rPr>
              <w:t>Minutes</w:t>
            </w:r>
          </w:p>
        </w:tc>
        <w:tc>
          <w:tcPr>
            <w:tcW w:type="dxa" w:w="1344"/>
            <w:shd w:val="clear" w:color="auto" w:fill="003668"/>
          </w:tcPr>
          <w:p>
            <w:pPr>
              <w:keepNext/>
              <w:spacing w:before="60" w:after="60"/>
            </w:pPr>
            <w:r>
              <w:rPr>
                <w:b/>
                <w:color w:val="FFFFFF"/>
              </w:rPr>
              <w:t>Required minutes</w:t>
            </w:r>
          </w:p>
        </w:tc>
        <w:tc>
          <w:tcPr>
            <w:tcW w:type="dxa" w:w="1344"/>
            <w:shd w:val="clear" w:color="auto" w:fill="003668"/>
          </w:tcPr>
          <w:p>
            <w:pPr>
              <w:keepNext/>
              <w:spacing w:before="60" w:after="60"/>
            </w:pPr>
            <w:r>
              <w:rPr>
                <w:b/>
                <w:color w:val="FFFFFF"/>
              </w:rPr>
              <w:t>Scenarios</w:t>
            </w:r>
          </w:p>
        </w:tc>
      </w:tr>
      <w:tr>
        <w:trPr>
          <w:cantSplit/>
        </w:trPr>
        <w:tc>
          <w:tcPr>
            <w:tcW w:type="dxa" w:w="1344"/>
          </w:tcPr>
          <w:p>
            <w:pPr>
              <w:spacing w:before="60" w:after="60"/>
            </w:pPr>
            <w:r>
              <w:rPr/>
              <w:t>E1</w:t>
            </w:r>
          </w:p>
        </w:tc>
        <w:tc>
          <w:tcPr>
            <w:tcW w:type="dxa" w:w="1344"/>
          </w:tcPr>
          <w:p>
            <w:pPr>
              <w:spacing w:before="60" w:after="60"/>
            </w:pPr>
            <w:r>
              <w:rPr/>
              <w:t>18</w:t>
            </w:r>
          </w:p>
        </w:tc>
        <w:tc>
          <w:tcPr>
            <w:tcW w:type="dxa" w:w="1344"/>
          </w:tcPr>
          <w:p>
            <w:pPr>
              <w:spacing w:before="60" w:after="60"/>
            </w:pPr>
            <w:r>
              <w:rPr/>
              <w:t>11</w:t>
            </w:r>
          </w:p>
        </w:tc>
        <w:tc>
          <w:tcPr>
            <w:tcW w:type="dxa" w:w="1344"/>
          </w:tcPr>
          <w:p>
            <w:pPr>
              <w:spacing w:before="60" w:after="60"/>
            </w:pPr>
            <w:r>
              <w:rPr/>
              <w:t>75%</w:t>
            </w:r>
          </w:p>
        </w:tc>
        <w:tc>
          <w:tcPr>
            <w:tcW w:type="dxa" w:w="1344"/>
          </w:tcPr>
          <w:p>
            <w:pPr>
              <w:spacing w:before="60" w:after="60"/>
            </w:pPr>
            <w:r>
              <w:rPr/>
              <w:t>80</w:t>
            </w:r>
          </w:p>
        </w:tc>
        <w:tc>
          <w:tcPr>
            <w:tcW w:type="dxa" w:w="1344"/>
          </w:tcPr>
          <w:p>
            <w:pPr>
              <w:spacing w:before="60" w:after="60"/>
            </w:pPr>
            <w:r>
              <w:rPr/>
              <w:t>70</w:t>
            </w:r>
          </w:p>
        </w:tc>
        <w:tc>
          <w:tcPr>
            <w:tcW w:type="dxa" w:w="1344"/>
          </w:tcPr>
          <w:p>
            <w:pPr>
              <w:spacing w:before="60" w:after="60"/>
            </w:pPr>
            <w:r>
              <w:rPr/>
              <w:t>2</w:t>
            </w:r>
          </w:p>
        </w:tc>
      </w:tr>
      <w:tr>
        <w:trPr>
          <w:cantSplit/>
        </w:trPr>
        <w:tc>
          <w:tcPr>
            <w:tcW w:type="dxa" w:w="1344"/>
          </w:tcPr>
          <w:p>
            <w:pPr>
              <w:spacing w:before="60" w:after="60"/>
            </w:pPr>
            <w:r>
              <w:rPr/>
              <w:t>E2</w:t>
            </w:r>
          </w:p>
        </w:tc>
        <w:tc>
          <w:tcPr>
            <w:tcW w:type="dxa" w:w="1344"/>
          </w:tcPr>
          <w:p>
            <w:pPr>
              <w:spacing w:before="60" w:after="60"/>
            </w:pPr>
            <w:r>
              <w:rPr/>
              <w:t>21</w:t>
            </w:r>
          </w:p>
        </w:tc>
        <w:tc>
          <w:tcPr>
            <w:tcW w:type="dxa" w:w="1344"/>
          </w:tcPr>
          <w:p>
            <w:pPr>
              <w:spacing w:before="60" w:after="60"/>
            </w:pPr>
            <w:r>
              <w:rPr/>
              <w:t>11</w:t>
            </w:r>
          </w:p>
        </w:tc>
        <w:tc>
          <w:tcPr>
            <w:tcW w:type="dxa" w:w="1344"/>
          </w:tcPr>
          <w:p>
            <w:pPr>
              <w:spacing w:before="60" w:after="60"/>
            </w:pPr>
            <w:r>
              <w:rPr/>
              <w:t>75%</w:t>
            </w:r>
          </w:p>
        </w:tc>
        <w:tc>
          <w:tcPr>
            <w:tcW w:type="dxa" w:w="1344"/>
          </w:tcPr>
          <w:p>
            <w:pPr>
              <w:spacing w:before="60" w:after="60"/>
            </w:pPr>
            <w:r>
              <w:rPr/>
              <w:t>80</w:t>
            </w:r>
          </w:p>
        </w:tc>
        <w:tc>
          <w:tcPr>
            <w:tcW w:type="dxa" w:w="1344"/>
          </w:tcPr>
          <w:p>
            <w:pPr>
              <w:spacing w:before="60" w:after="60"/>
            </w:pPr>
            <w:r>
              <w:rPr/>
              <w:t>69</w:t>
            </w:r>
          </w:p>
        </w:tc>
        <w:tc>
          <w:tcPr>
            <w:tcW w:type="dxa" w:w="1344"/>
          </w:tcPr>
          <w:p>
            <w:pPr>
              <w:spacing w:before="60" w:after="60"/>
            </w:pPr>
            <w:r>
              <w:rPr/>
              <w:t>4</w:t>
            </w:r>
          </w:p>
        </w:tc>
      </w:tr>
      <w:tr>
        <w:trPr>
          <w:cantSplit/>
        </w:trPr>
        <w:tc>
          <w:tcPr>
            <w:tcW w:type="dxa" w:w="1344"/>
          </w:tcPr>
          <w:p>
            <w:pPr>
              <w:spacing w:before="60" w:after="60"/>
            </w:pPr>
            <w:r>
              <w:rPr/>
              <w:t>E6</w:t>
            </w:r>
          </w:p>
        </w:tc>
        <w:tc>
          <w:tcPr>
            <w:tcW w:type="dxa" w:w="1344"/>
          </w:tcPr>
          <w:p>
            <w:pPr>
              <w:spacing w:before="60" w:after="60"/>
            </w:pPr>
            <w:r>
              <w:rPr/>
              <w:t>15</w:t>
            </w:r>
          </w:p>
        </w:tc>
        <w:tc>
          <w:tcPr>
            <w:tcW w:type="dxa" w:w="1344"/>
          </w:tcPr>
          <w:p>
            <w:pPr>
              <w:spacing w:before="60" w:after="60"/>
            </w:pPr>
            <w:r>
              <w:rPr/>
              <w:t>12</w:t>
            </w:r>
          </w:p>
        </w:tc>
        <w:tc>
          <w:tcPr>
            <w:tcW w:type="dxa" w:w="1344"/>
          </w:tcPr>
          <w:p>
            <w:pPr>
              <w:spacing w:before="60" w:after="60"/>
            </w:pPr>
            <w:r>
              <w:rPr/>
              <w:t>75%</w:t>
            </w:r>
          </w:p>
        </w:tc>
        <w:tc>
          <w:tcPr>
            <w:tcW w:type="dxa" w:w="1344"/>
          </w:tcPr>
          <w:p>
            <w:pPr>
              <w:spacing w:before="60" w:after="60"/>
            </w:pPr>
            <w:r>
              <w:rPr/>
              <w:t>75</w:t>
            </w:r>
          </w:p>
        </w:tc>
        <w:tc>
          <w:tcPr>
            <w:tcW w:type="dxa" w:w="1344"/>
          </w:tcPr>
          <w:p>
            <w:pPr>
              <w:spacing w:before="60" w:after="60"/>
            </w:pPr>
            <w:r>
              <w:rPr/>
              <w:t>63</w:t>
            </w:r>
          </w:p>
        </w:tc>
        <w:tc>
          <w:tcPr>
            <w:tcW w:type="dxa" w:w="1344"/>
          </w:tcPr>
          <w:p>
            <w:pPr>
              <w:spacing w:before="60" w:after="60"/>
            </w:pPr>
            <w:r>
              <w:rPr/>
              <w:t>1</w:t>
            </w:r>
          </w:p>
        </w:tc>
      </w:tr>
      <w:tr>
        <w:trPr>
          <w:cantSplit/>
        </w:trPr>
        <w:tc>
          <w:tcPr>
            <w:tcW w:type="dxa" w:w="1344"/>
          </w:tcPr>
          <w:p>
            <w:pPr>
              <w:spacing w:before="60" w:after="60"/>
            </w:pPr>
            <w:r>
              <w:rPr/>
              <w:t>E7a</w:t>
            </w:r>
          </w:p>
        </w:tc>
        <w:tc>
          <w:tcPr>
            <w:tcW w:type="dxa" w:w="1344"/>
          </w:tcPr>
          <w:p>
            <w:pPr>
              <w:spacing w:before="60" w:after="60"/>
            </w:pPr>
            <w:r>
              <w:rPr/>
              <w:t>15</w:t>
            </w:r>
          </w:p>
        </w:tc>
        <w:tc>
          <w:tcPr>
            <w:tcW w:type="dxa" w:w="1344"/>
          </w:tcPr>
          <w:p>
            <w:pPr>
              <w:spacing w:before="60" w:after="60"/>
            </w:pPr>
            <w:r>
              <w:rPr/>
              <w:t>12</w:t>
            </w:r>
          </w:p>
        </w:tc>
        <w:tc>
          <w:tcPr>
            <w:tcW w:type="dxa" w:w="1344"/>
          </w:tcPr>
          <w:p>
            <w:pPr>
              <w:spacing w:before="60" w:after="60"/>
            </w:pPr>
            <w:r>
              <w:rPr/>
              <w:t>75%</w:t>
            </w:r>
          </w:p>
        </w:tc>
        <w:tc>
          <w:tcPr>
            <w:tcW w:type="dxa" w:w="1344"/>
          </w:tcPr>
          <w:p>
            <w:pPr>
              <w:spacing w:before="60" w:after="60"/>
            </w:pPr>
            <w:r>
              <w:rPr/>
              <w:t>65</w:t>
            </w:r>
          </w:p>
        </w:tc>
        <w:tc>
          <w:tcPr>
            <w:tcW w:type="dxa" w:w="1344"/>
          </w:tcPr>
          <w:p>
            <w:pPr>
              <w:spacing w:before="60" w:after="60"/>
            </w:pPr>
            <w:r>
              <w:rPr/>
              <w:t>56</w:t>
            </w:r>
          </w:p>
        </w:tc>
        <w:tc>
          <w:tcPr>
            <w:tcW w:type="dxa" w:w="1344"/>
          </w:tcPr>
          <w:p>
            <w:pPr>
              <w:spacing w:before="60" w:after="60"/>
            </w:pPr>
            <w:r>
              <w:rPr/>
              <w:t>2</w:t>
            </w:r>
          </w:p>
        </w:tc>
      </w:tr>
      <w:tr>
        <w:trPr>
          <w:cantSplit/>
        </w:trPr>
        <w:tc>
          <w:tcPr>
            <w:tcW w:type="dxa" w:w="1344"/>
          </w:tcPr>
          <w:p>
            <w:pPr>
              <w:spacing w:before="60" w:after="60"/>
            </w:pPr>
            <w:r>
              <w:rPr/>
              <w:t>E7b</w:t>
            </w:r>
          </w:p>
        </w:tc>
        <w:tc>
          <w:tcPr>
            <w:tcW w:type="dxa" w:w="1344"/>
          </w:tcPr>
          <w:p>
            <w:pPr>
              <w:spacing w:before="60" w:after="60"/>
            </w:pPr>
            <w:r>
              <w:rPr/>
              <w:t>14</w:t>
            </w:r>
          </w:p>
        </w:tc>
        <w:tc>
          <w:tcPr>
            <w:tcW w:type="dxa" w:w="1344"/>
          </w:tcPr>
          <w:p>
            <w:pPr>
              <w:spacing w:before="60" w:after="60"/>
            </w:pPr>
            <w:r>
              <w:rPr/>
              <w:t>10</w:t>
            </w:r>
          </w:p>
        </w:tc>
        <w:tc>
          <w:tcPr>
            <w:tcW w:type="dxa" w:w="1344"/>
          </w:tcPr>
          <w:p>
            <w:pPr>
              <w:spacing w:before="60" w:after="60"/>
            </w:pPr>
            <w:r>
              <w:rPr/>
              <w:t>75%</w:t>
            </w:r>
          </w:p>
        </w:tc>
        <w:tc>
          <w:tcPr>
            <w:tcW w:type="dxa" w:w="1344"/>
          </w:tcPr>
          <w:p>
            <w:pPr>
              <w:spacing w:before="60" w:after="60"/>
            </w:pPr>
            <w:r>
              <w:rPr/>
              <w:t>65</w:t>
            </w:r>
          </w:p>
        </w:tc>
        <w:tc>
          <w:tcPr>
            <w:tcW w:type="dxa" w:w="1344"/>
          </w:tcPr>
          <w:p>
            <w:pPr>
              <w:spacing w:before="60" w:after="60"/>
            </w:pPr>
            <w:r>
              <w:rPr/>
              <w:t>53</w:t>
            </w:r>
          </w:p>
        </w:tc>
        <w:tc>
          <w:tcPr>
            <w:tcW w:type="dxa" w:w="1344"/>
          </w:tcPr>
          <w:p>
            <w:pPr>
              <w:spacing w:before="60" w:after="60"/>
            </w:pPr>
            <w:r>
              <w:rPr/>
              <w:t>1</w:t>
            </w:r>
          </w:p>
        </w:tc>
      </w:tr>
      <w:tr>
        <w:trPr>
          <w:cantSplit/>
        </w:trPr>
        <w:tc>
          <w:tcPr>
            <w:tcW w:type="dxa" w:w="1344"/>
          </w:tcPr>
          <w:p>
            <w:pPr>
              <w:spacing w:before="60" w:after="60"/>
            </w:pPr>
            <w:r>
              <w:rPr/>
              <w:t>E7c</w:t>
            </w:r>
          </w:p>
        </w:tc>
        <w:tc>
          <w:tcPr>
            <w:tcW w:type="dxa" w:w="1344"/>
          </w:tcPr>
          <w:p>
            <w:pPr>
              <w:spacing w:before="60" w:after="60"/>
            </w:pPr>
            <w:r>
              <w:rPr/>
              <w:t>14</w:t>
            </w:r>
          </w:p>
        </w:tc>
        <w:tc>
          <w:tcPr>
            <w:tcW w:type="dxa" w:w="1344"/>
          </w:tcPr>
          <w:p>
            <w:pPr>
              <w:spacing w:before="60" w:after="60"/>
            </w:pPr>
            <w:r>
              <w:rPr/>
              <w:t>10</w:t>
            </w:r>
          </w:p>
        </w:tc>
        <w:tc>
          <w:tcPr>
            <w:tcW w:type="dxa" w:w="1344"/>
          </w:tcPr>
          <w:p>
            <w:pPr>
              <w:spacing w:before="60" w:after="60"/>
            </w:pPr>
            <w:r>
              <w:rPr/>
              <w:t>75%</w:t>
            </w:r>
          </w:p>
        </w:tc>
        <w:tc>
          <w:tcPr>
            <w:tcW w:type="dxa" w:w="1344"/>
          </w:tcPr>
          <w:p>
            <w:pPr>
              <w:spacing w:before="60" w:after="60"/>
            </w:pPr>
            <w:r>
              <w:rPr/>
              <w:t>65</w:t>
            </w:r>
          </w:p>
        </w:tc>
        <w:tc>
          <w:tcPr>
            <w:tcW w:type="dxa" w:w="1344"/>
          </w:tcPr>
          <w:p>
            <w:pPr>
              <w:spacing w:before="60" w:after="60"/>
            </w:pPr>
            <w:r>
              <w:rPr/>
              <w:t>53</w:t>
            </w:r>
          </w:p>
        </w:tc>
        <w:tc>
          <w:tcPr>
            <w:tcW w:type="dxa" w:w="1344"/>
          </w:tcPr>
          <w:p>
            <w:pPr>
              <w:spacing w:before="60" w:after="60"/>
            </w:pPr>
            <w:r>
              <w:rPr/>
              <w:t>1</w:t>
            </w:r>
          </w:p>
        </w:tc>
      </w:tr>
      <w:tr>
        <w:trPr>
          <w:cantSplit/>
        </w:trPr>
        <w:tc>
          <w:tcPr>
            <w:tcW w:type="dxa" w:w="1344"/>
          </w:tcPr>
          <w:p>
            <w:pPr>
              <w:spacing w:before="60" w:after="60"/>
            </w:pPr>
            <w:r>
              <w:rPr/>
              <w:t>E7d</w:t>
            </w:r>
          </w:p>
        </w:tc>
        <w:tc>
          <w:tcPr>
            <w:tcW w:type="dxa" w:w="1344"/>
          </w:tcPr>
          <w:p>
            <w:pPr>
              <w:spacing w:before="60" w:after="60"/>
            </w:pPr>
            <w:r>
              <w:rPr/>
              <w:t>14</w:t>
            </w:r>
          </w:p>
        </w:tc>
        <w:tc>
          <w:tcPr>
            <w:tcW w:type="dxa" w:w="1344"/>
          </w:tcPr>
          <w:p>
            <w:pPr>
              <w:spacing w:before="60" w:after="60"/>
            </w:pPr>
            <w:r>
              <w:rPr/>
              <w:t>11</w:t>
            </w:r>
          </w:p>
        </w:tc>
        <w:tc>
          <w:tcPr>
            <w:tcW w:type="dxa" w:w="1344"/>
          </w:tcPr>
          <w:p>
            <w:pPr>
              <w:spacing w:before="60" w:after="60"/>
            </w:pPr>
            <w:r>
              <w:rPr/>
              <w:t>75%</w:t>
            </w:r>
          </w:p>
        </w:tc>
        <w:tc>
          <w:tcPr>
            <w:tcW w:type="dxa" w:w="1344"/>
          </w:tcPr>
          <w:p>
            <w:pPr>
              <w:spacing w:before="60" w:after="60"/>
            </w:pPr>
            <w:r>
              <w:rPr/>
              <w:t>65</w:t>
            </w:r>
          </w:p>
        </w:tc>
        <w:tc>
          <w:tcPr>
            <w:tcW w:type="dxa" w:w="1344"/>
          </w:tcPr>
          <w:p>
            <w:pPr>
              <w:spacing w:before="60" w:after="60"/>
            </w:pPr>
            <w:r>
              <w:rPr/>
              <w:t>55</w:t>
            </w:r>
          </w:p>
        </w:tc>
        <w:tc>
          <w:tcPr>
            <w:tcW w:type="dxa" w:w="1344"/>
          </w:tcPr>
          <w:p>
            <w:pPr>
              <w:spacing w:before="60" w:after="60"/>
            </w:pPr>
            <w:r>
              <w:rPr/>
              <w:t>2</w:t>
            </w:r>
          </w:p>
        </w:tc>
      </w:tr>
      <w:tr>
        <w:trPr>
          <w:cantSplit/>
        </w:trPr>
        <w:tc>
          <w:tcPr>
            <w:tcW w:type="dxa" w:w="1344"/>
          </w:tcPr>
          <w:p>
            <w:pPr>
              <w:spacing w:before="60" w:after="60"/>
            </w:pPr>
            <w:r>
              <w:rPr/>
              <w:t>E7e</w:t>
            </w:r>
          </w:p>
        </w:tc>
        <w:tc>
          <w:tcPr>
            <w:tcW w:type="dxa" w:w="1344"/>
          </w:tcPr>
          <w:p>
            <w:pPr>
              <w:spacing w:before="60" w:after="60"/>
            </w:pPr>
            <w:r>
              <w:rPr/>
              <w:t>15</w:t>
            </w:r>
          </w:p>
        </w:tc>
        <w:tc>
          <w:tcPr>
            <w:tcW w:type="dxa" w:w="1344"/>
          </w:tcPr>
          <w:p>
            <w:pPr>
              <w:spacing w:before="60" w:after="60"/>
            </w:pPr>
            <w:r>
              <w:rPr/>
              <w:t>12</w:t>
            </w:r>
          </w:p>
        </w:tc>
        <w:tc>
          <w:tcPr>
            <w:tcW w:type="dxa" w:w="1344"/>
          </w:tcPr>
          <w:p>
            <w:pPr>
              <w:spacing w:before="60" w:after="60"/>
            </w:pPr>
            <w:r>
              <w:rPr/>
              <w:t>75%</w:t>
            </w:r>
          </w:p>
        </w:tc>
        <w:tc>
          <w:tcPr>
            <w:tcW w:type="dxa" w:w="1344"/>
          </w:tcPr>
          <w:p>
            <w:pPr>
              <w:spacing w:before="60" w:after="60"/>
            </w:pPr>
            <w:r>
              <w:rPr/>
              <w:t>70</w:t>
            </w:r>
          </w:p>
        </w:tc>
        <w:tc>
          <w:tcPr>
            <w:tcW w:type="dxa" w:w="1344"/>
          </w:tcPr>
          <w:p>
            <w:pPr>
              <w:spacing w:before="60" w:after="60"/>
            </w:pPr>
            <w:r>
              <w:rPr/>
              <w:t>60</w:t>
            </w:r>
          </w:p>
        </w:tc>
        <w:tc>
          <w:tcPr>
            <w:tcW w:type="dxa" w:w="1344"/>
          </w:tcPr>
          <w:p>
            <w:pPr>
              <w:spacing w:before="60" w:after="60"/>
            </w:pPr>
            <w:r>
              <w:rPr/>
              <w:t>2</w:t>
            </w:r>
          </w:p>
        </w:tc>
      </w:tr>
      <w:tr>
        <w:trPr>
          <w:cantSplit/>
        </w:trPr>
        <w:tc>
          <w:tcPr>
            <w:tcW w:type="dxa" w:w="1344"/>
          </w:tcPr>
          <w:p>
            <w:pPr>
              <w:spacing w:before="60" w:after="60"/>
            </w:pPr>
            <w:r>
              <w:rPr/>
              <w:t>E7f</w:t>
            </w:r>
          </w:p>
        </w:tc>
        <w:tc>
          <w:tcPr>
            <w:tcW w:type="dxa" w:w="1344"/>
          </w:tcPr>
          <w:p>
            <w:pPr>
              <w:spacing w:before="60" w:after="60"/>
            </w:pPr>
            <w:r>
              <w:rPr/>
              <w:t>15</w:t>
            </w:r>
          </w:p>
        </w:tc>
        <w:tc>
          <w:tcPr>
            <w:tcW w:type="dxa" w:w="1344"/>
          </w:tcPr>
          <w:p>
            <w:pPr>
              <w:spacing w:before="60" w:after="60"/>
            </w:pPr>
            <w:r>
              <w:rPr/>
              <w:t>12</w:t>
            </w:r>
          </w:p>
        </w:tc>
        <w:tc>
          <w:tcPr>
            <w:tcW w:type="dxa" w:w="1344"/>
          </w:tcPr>
          <w:p>
            <w:pPr>
              <w:spacing w:before="60" w:after="60"/>
            </w:pPr>
            <w:r>
              <w:rPr/>
              <w:t>80%</w:t>
            </w:r>
          </w:p>
        </w:tc>
        <w:tc>
          <w:tcPr>
            <w:tcW w:type="dxa" w:w="1344"/>
          </w:tcPr>
          <w:p>
            <w:pPr>
              <w:spacing w:before="60" w:after="60"/>
            </w:pPr>
            <w:r>
              <w:rPr/>
              <w:t>70</w:t>
            </w:r>
          </w:p>
        </w:tc>
        <w:tc>
          <w:tcPr>
            <w:tcW w:type="dxa" w:w="1344"/>
          </w:tcPr>
          <w:p>
            <w:pPr>
              <w:spacing w:before="60" w:after="60"/>
            </w:pPr>
            <w:r>
              <w:rPr/>
              <w:t>59</w:t>
            </w:r>
          </w:p>
        </w:tc>
        <w:tc>
          <w:tcPr>
            <w:tcW w:type="dxa" w:w="1344"/>
          </w:tcPr>
          <w:p>
            <w:pPr>
              <w:spacing w:before="60" w:after="60"/>
            </w:pPr>
            <w:r>
              <w:rPr/>
              <w:t>2</w:t>
            </w:r>
          </w:p>
        </w:tc>
      </w:tr>
      <w:tr>
        <w:trPr>
          <w:cantSplit/>
        </w:trPr>
        <w:tc>
          <w:tcPr>
            <w:tcW w:type="dxa" w:w="1344"/>
          </w:tcPr>
          <w:p>
            <w:pPr>
              <w:spacing w:before="60" w:after="60"/>
            </w:pPr>
            <w:r>
              <w:rPr/>
              <w:t>E7g</w:t>
            </w:r>
          </w:p>
        </w:tc>
        <w:tc>
          <w:tcPr>
            <w:tcW w:type="dxa" w:w="1344"/>
          </w:tcPr>
          <w:p>
            <w:pPr>
              <w:spacing w:before="60" w:after="60"/>
            </w:pPr>
            <w:r>
              <w:rPr/>
              <w:t>14</w:t>
            </w:r>
          </w:p>
        </w:tc>
        <w:tc>
          <w:tcPr>
            <w:tcW w:type="dxa" w:w="1344"/>
          </w:tcPr>
          <w:p>
            <w:pPr>
              <w:spacing w:before="60" w:after="60"/>
            </w:pPr>
            <w:r>
              <w:rPr/>
              <w:t>11</w:t>
            </w:r>
          </w:p>
        </w:tc>
        <w:tc>
          <w:tcPr>
            <w:tcW w:type="dxa" w:w="1344"/>
          </w:tcPr>
          <w:p>
            <w:pPr>
              <w:spacing w:before="60" w:after="60"/>
            </w:pPr>
            <w:r>
              <w:rPr/>
              <w:t>75%</w:t>
            </w:r>
          </w:p>
        </w:tc>
        <w:tc>
          <w:tcPr>
            <w:tcW w:type="dxa" w:w="1344"/>
          </w:tcPr>
          <w:p>
            <w:pPr>
              <w:spacing w:before="60" w:after="60"/>
            </w:pPr>
            <w:r>
              <w:rPr/>
              <w:t>65</w:t>
            </w:r>
          </w:p>
        </w:tc>
        <w:tc>
          <w:tcPr>
            <w:tcW w:type="dxa" w:w="1344"/>
          </w:tcPr>
          <w:p>
            <w:pPr>
              <w:spacing w:before="60" w:after="60"/>
            </w:pPr>
            <w:r>
              <w:rPr/>
              <w:t>56</w:t>
            </w:r>
          </w:p>
        </w:tc>
        <w:tc>
          <w:tcPr>
            <w:tcW w:type="dxa" w:w="1344"/>
          </w:tcPr>
          <w:p>
            <w:pPr>
              <w:spacing w:before="60" w:after="60"/>
            </w:pPr>
            <w:r>
              <w:rPr/>
              <w:t>2</w:t>
            </w:r>
          </w:p>
        </w:tc>
      </w:tr>
      <w:tr>
        <w:trPr>
          <w:cantSplit/>
        </w:trPr>
        <w:tc>
          <w:tcPr>
            <w:tcW w:type="dxa" w:w="1344"/>
          </w:tcPr>
          <w:p>
            <w:pPr>
              <w:spacing w:before="60" w:after="60"/>
            </w:pPr>
            <w:r>
              <w:rPr/>
              <w:t>E7h</w:t>
            </w:r>
          </w:p>
        </w:tc>
        <w:tc>
          <w:tcPr>
            <w:tcW w:type="dxa" w:w="1344"/>
          </w:tcPr>
          <w:p>
            <w:pPr>
              <w:spacing w:before="60" w:after="60"/>
            </w:pPr>
            <w:r>
              <w:rPr/>
              <w:t>12</w:t>
            </w:r>
          </w:p>
        </w:tc>
        <w:tc>
          <w:tcPr>
            <w:tcW w:type="dxa" w:w="1344"/>
          </w:tcPr>
          <w:p>
            <w:pPr>
              <w:spacing w:before="60" w:after="60"/>
            </w:pPr>
            <w:r>
              <w:rPr/>
              <w:t>10</w:t>
            </w:r>
          </w:p>
        </w:tc>
        <w:tc>
          <w:tcPr>
            <w:tcW w:type="dxa" w:w="1344"/>
          </w:tcPr>
          <w:p>
            <w:pPr>
              <w:spacing w:before="60" w:after="60"/>
            </w:pPr>
            <w:r>
              <w:rPr/>
              <w:t>75%</w:t>
            </w:r>
          </w:p>
        </w:tc>
        <w:tc>
          <w:tcPr>
            <w:tcW w:type="dxa" w:w="1344"/>
          </w:tcPr>
          <w:p>
            <w:pPr>
              <w:spacing w:before="60" w:after="60"/>
            </w:pPr>
            <w:r>
              <w:rPr/>
              <w:t>60</w:t>
            </w:r>
          </w:p>
        </w:tc>
        <w:tc>
          <w:tcPr>
            <w:tcW w:type="dxa" w:w="1344"/>
          </w:tcPr>
          <w:p>
            <w:pPr>
              <w:spacing w:before="60" w:after="60"/>
            </w:pPr>
            <w:r>
              <w:rPr/>
              <w:t>46</w:t>
            </w:r>
          </w:p>
        </w:tc>
        <w:tc>
          <w:tcPr>
            <w:tcW w:type="dxa" w:w="1344"/>
          </w:tcPr>
          <w:p>
            <w:pPr>
              <w:spacing w:before="60" w:after="60"/>
            </w:pPr>
            <w:r>
              <w:rPr/>
              <w:t>1</w:t>
            </w:r>
          </w:p>
        </w:tc>
      </w:tr>
      <w:tr>
        <w:trPr>
          <w:cantSplit/>
        </w:trPr>
        <w:tc>
          <w:tcPr>
            <w:tcW w:type="dxa" w:w="1344"/>
          </w:tcPr>
          <w:p>
            <w:pPr>
              <w:spacing w:before="60" w:after="60"/>
            </w:pPr>
            <w:r>
              <w:rPr/>
              <w:t>Total</w:t>
            </w:r>
          </w:p>
        </w:tc>
        <w:tc>
          <w:tcPr>
            <w:tcW w:type="dxa" w:w="1344"/>
          </w:tcPr>
          <w:p>
            <w:pPr>
              <w:spacing w:before="60" w:after="60"/>
            </w:pPr>
            <w:r>
              <w:rPr/>
              <w:t>167</w:t>
            </w:r>
          </w:p>
        </w:tc>
        <w:tc>
          <w:tcPr>
            <w:tcW w:type="dxa" w:w="1344"/>
          </w:tcPr>
          <w:p>
            <w:pPr>
              <w:spacing w:before="60" w:after="60"/>
            </w:pPr>
            <w:r>
              <w:rPr/>
              <w:t>122</w:t>
            </w:r>
          </w:p>
        </w:tc>
        <w:tc>
          <w:tcPr>
            <w:tcW w:type="dxa" w:w="1344"/>
          </w:tcPr>
          <w:p>
            <w:pPr>
              <w:spacing w:before="60" w:after="60"/>
            </w:pPr>
          </w:p>
        </w:tc>
        <w:tc>
          <w:tcPr>
            <w:tcW w:type="dxa" w:w="1344"/>
          </w:tcPr>
          <w:p>
            <w:pPr>
              <w:spacing w:before="60" w:after="60"/>
            </w:pPr>
          </w:p>
        </w:tc>
        <w:tc>
          <w:tcPr>
            <w:tcW w:type="dxa" w:w="1344"/>
          </w:tcPr>
          <w:p>
            <w:pPr>
              <w:spacing w:before="60" w:after="60"/>
            </w:pPr>
          </w:p>
        </w:tc>
        <w:tc>
          <w:tcPr>
            <w:tcW w:type="dxa" w:w="1344"/>
          </w:tcPr>
          <w:p>
            <w:pPr>
              <w:spacing w:before="60" w:after="60"/>
            </w:pPr>
            <w:r>
              <w:rPr/>
              <w:t>20</w:t>
            </w:r>
          </w:p>
        </w:tc>
      </w:tr>
    </w:tbl>
    <w:p>
      <w:pPr>
        <w:spacing w:after="0"/>
      </w:pPr>
    </w:p>
    <w:p>
      <w:pPr>
        <w:spacing w:after="120"/>
      </w:pPr>
      <w:r>
        <w:rPr/>
        <w:t>Minutes are the sum of all lessons, including optional ones, rounded to the nearest 5. Required minutes are the sum of the required lessons. There are also 46 optional warm-up or practice questions, making 168 questions in all. All pass the Hub's validation.</w:t>
      </w:r>
    </w:p>
    <w:p>
      <w:pPr>
        <w:spacing w:after="120"/>
      </w:pPr>
      <w:r>
        <w:rPr/>
        <w:t>Residual issues:</w:t>
      </w:r>
    </w:p>
    <w:p>
      <w:pPr>
        <w:pStyle w:val="ListBullet"/>
      </w:pPr>
      <w:r>
        <w:rPr/>
        <w:t>The pass mark is 75% everywhere except E7f, which is 80% for safety; E6's rise from 70% needs confirmation (24).</w:t>
      </w:r>
    </w:p>
    <w:p>
      <w:pPr>
        <w:pStyle w:val="ListBullet"/>
      </w:pPr>
      <w:r>
        <w:rPr/>
        <w:t>E7f's completion text adds "you can try again"; the others do not.</w:t>
      </w:r>
    </w:p>
    <w:p>
      <w:pPr>
        <w:pStyle w:val="ListBullet"/>
      </w:pPr>
      <w:r>
        <w:rPr/>
        <w:t>The Hub's docx export prints a placeholder pass mark (35).</w:t>
      </w:r>
    </w:p>
    <w:p>
      <w:pPr>
        <w:pStyle w:val="Heading1"/>
      </w:pPr>
      <w:r>
        <w:t>Confidentiality and welfare</w:t>
      </w:r>
    </w:p>
    <w:p>
      <w:pPr>
        <w:spacing w:after="120"/>
      </w:pPr>
      <w:r>
        <w:rPr>
          <w:b/>
        </w:rPr>
        <w:t>Confirmed.</w:t>
      </w:r>
      <w:r>
        <w:rPr/>
        <w:t xml:space="preserve"> E7f's model is used throughout:</w:t>
      </w:r>
    </w:p>
    <w:p>
      <w:pPr>
        <w:pStyle w:val="ListBullet"/>
      </w:pPr>
      <w:r>
        <w:rPr/>
        <w:t>the Almoner is involved with the Brother's agreement;</w:t>
      </w:r>
    </w:p>
    <w:p>
      <w:pPr>
        <w:pStyle w:val="ListBullet"/>
      </w:pPr>
      <w:r>
        <w:rPr/>
        <w:t>the Lodge Mentor is told only what he needs ("support is in hand");</w:t>
      </w:r>
    </w:p>
    <w:p>
      <w:pPr>
        <w:pStyle w:val="ListBullet"/>
      </w:pPr>
      <w:r>
        <w:rPr/>
        <w:t>absolute secrecy is never promised;</w:t>
      </w:r>
    </w:p>
    <w:p>
      <w:pPr>
        <w:pStyle w:val="ListBullet"/>
      </w:pPr>
      <w:r>
        <w:rPr/>
        <w:t>notes say only "referred to Almoner", and health information is special category data;</w:t>
      </w:r>
    </w:p>
    <w:p>
      <w:pPr>
        <w:pStyle w:val="ListBullet"/>
      </w:pPr>
      <w:r>
        <w:rPr/>
        <w:t>999 if life is at immediate risk, or you cannot keep him safe;</w:t>
      </w:r>
    </w:p>
    <w:p>
      <w:pPr>
        <w:pStyle w:val="ListBullet"/>
      </w:pPr>
      <w:r>
        <w:rPr/>
        <w:t>NHS 111 mental health option (option 2 in Hertfordshire) for an urgent crisis that is not immediately life-threatening.</w:t>
      </w:r>
    </w:p>
    <w:p>
      <w:pPr>
        <w:spacing w:after="120"/>
      </w:pPr>
      <w:r>
        <w:rPr/>
        <w:t>QA aligned E1 4.3, E2 6.2 and Q10, E7a 5.1, E7b and E7c with this model. E2's after-a-crisis callout now asks, with his agreement, whether the Almoner can help, rather than telling the Almoner and Lodge Mentor. E7d, E7g and E7h contain no conflicting welfare handling. No reflection or Lodge task asks for names or circumstances.</w:t>
      </w:r>
    </w:p>
    <w:p>
      <w:pPr>
        <w:spacing w:after="120"/>
      </w:pPr>
      <w:r>
        <w:rPr/>
        <w:t>Residual issues:</w:t>
      </w:r>
    </w:p>
    <w:p>
      <w:pPr>
        <w:pStyle w:val="ListBullet"/>
      </w:pPr>
      <w:r>
        <w:rPr/>
        <w:t>The Provincial safeguarding contact is not named (1).</w:t>
      </w:r>
    </w:p>
    <w:p>
      <w:pPr>
        <w:pStyle w:val="ListBullet"/>
      </w:pPr>
      <w:r>
        <w:rPr/>
        <w:t>The nhs.uk page needs rechecking (5).</w:t>
      </w:r>
    </w:p>
    <w:p>
      <w:pPr>
        <w:pStyle w:val="ListBullet"/>
      </w:pPr>
      <w:r>
        <w:rPr/>
        <w:t>A3 section 7 is still draft (12).</w:t>
      </w:r>
    </w:p>
    <w:p>
      <w:pPr>
        <w:pStyle w:val="ListBullet"/>
      </w:pPr>
      <w:r>
        <w:rPr/>
        <w:t>B1 and B2 still send welfare matters to both the Almoner and the Lodge Mentor (32).</w:t>
      </w:r>
    </w:p>
    <w:p>
      <w:pPr>
        <w:pStyle w:val="ListBullet"/>
      </w:pPr>
      <w:r>
        <w:rPr/>
        <w:t>The MCF email is unconfirmed (8).</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Issue 3 Academy Consistency Review</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