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DocumentType"/>
      </w:pPr>
      <w:r>
        <w:rPr/>
        <w:t>Training and development · E1</w:t>
      </w:r>
    </w:p>
    <w:p>
      <w:pPr>
        <w:pStyle w:val="Title"/>
      </w:pPr>
      <w:r>
        <w:rPr/>
        <w:t>Lodge Mentor Induction and the Charge</w:t>
      </w:r>
    </w:p>
    <w:p>
      <w:pPr>
        <w:pStyle w:val="PurposeStatement"/>
      </w:pPr>
      <w:r>
        <w:rPr/>
        <w:t>The two-hour induction session plan for the Provincial Mentoring Team, with the Charge to the newly appointed Lodge Mentor.</w:t>
      </w:r>
    </w:p>
    <w:tbl>
      <w:tblPr>
        <w:tblStyle w:val="MentoringTable"/>
        <w:tblW w:type="dxa" w:w="9412"/>
        <w:tblLayout w:type="fixed"/>
        <w:tblLook w:firstColumn="1" w:firstRow="0" w:lastColumn="0" w:lastRow="0" w:noHBand="1" w:noVBand="1" w:val="0680"/>
        <w:tblLayout w:type="fixed"/>
      </w:tblPr>
      <w:tblGrid>
        <w:gridCol w:w="2041"/>
        <w:gridCol w:w="7371"/>
      </w:tblGrid>
      <w:tr>
        <w:trPr>
          <w:cantSplit/>
        </w:trPr>
        <w:tc>
          <w:tcPr>
            <w:tcW w:type="dxa" w:w="2041"/>
          </w:tcPr>
          <w:p>
            <w:pPr>
              <w:keepNext/>
              <w:spacing w:before="60" w:after="60"/>
            </w:pPr>
            <w:r>
              <w:rPr/>
              <w:t>For</w:t>
            </w:r>
          </w:p>
        </w:tc>
        <w:tc>
          <w:tcPr>
            <w:tcW w:type="dxa" w:w="7371"/>
          </w:tcPr>
          <w:p>
            <w:pPr>
              <w:keepNext/>
              <w:spacing w:before="60" w:after="60"/>
            </w:pPr>
            <w:r>
              <w:rPr/>
              <w:t>The Provincial Mentoring Team</w:t>
            </w:r>
          </w:p>
        </w:tc>
      </w:tr>
      <w:tr>
        <w:trPr>
          <w:cantSplit/>
        </w:trPr>
        <w:tc>
          <w:tcPr>
            <w:tcW w:type="dxa" w:w="2041"/>
          </w:tcPr>
          <w:p>
            <w:pPr>
              <w:keepNext/>
              <w:spacing w:before="60" w:after="60"/>
            </w:pPr>
            <w:r>
              <w:rPr/>
              <w:t>Issue</w:t>
            </w:r>
          </w:p>
        </w:tc>
        <w:tc>
          <w:tcPr>
            <w:tcW w:type="dxa" w:w="7371"/>
          </w:tcPr>
          <w:p>
            <w:pPr>
              <w:keepNext/>
              <w:spacing w:before="60" w:after="60"/>
            </w:pPr>
            <w:r>
              <w:rPr/>
              <w:t>Issue 1a (Draft for Review), October 2026: the July 2026 text set on the Provincial template</w:t>
            </w:r>
          </w:p>
        </w:tc>
      </w:tr>
      <w:tr>
        <w:trPr>
          <w:cantSplit/>
        </w:trPr>
        <w:tc>
          <w:tcPr>
            <w:tcW w:type="dxa" w:w="2041"/>
          </w:tcPr>
          <w:p>
            <w:pPr>
              <w:spacing w:before="60" w:after="60"/>
            </w:pPr>
            <w:r>
              <w:rPr/>
              <w:t>See also</w:t>
            </w:r>
          </w:p>
        </w:tc>
        <w:tc>
          <w:tcPr>
            <w:tcW w:type="dxa" w:w="7371"/>
          </w:tcPr>
          <w:p>
            <w:pPr>
              <w:spacing w:before="60" w:after="60"/>
            </w:pPr>
            <w:r>
              <w:rPr/>
              <w:t>E1a Lodge Mentor Essentials, the one-hour in-person version</w:t>
            </w:r>
          </w:p>
        </w:tc>
      </w:tr>
    </w:tbl>
    <w:p>
      <w:pPr>
        <w:spacing w:after="0"/>
      </w:pPr>
    </w:p>
    <w:p>
      <w:pPr>
        <w:pStyle w:val="Heading1"/>
      </w:pPr>
      <w:r>
        <w:rPr>
          <w:color w:val="FFFFFF"/>
          <w:shd w:val="clear" w:color="auto" w:fill="003668"/>
        </w:rPr>
        <w:t xml:space="preserve"> 1 </w:t>
      </w:r>
      <w:r>
        <w:t xml:space="preserve">  Purpose and Format</w:t>
      </w:r>
    </w:p>
    <w:p>
      <w:pPr>
        <w:spacing w:after="120"/>
      </w:pPr>
      <w:r>
        <w:rPr/>
        <w:t>Every newly appointed Lodge Mentor in Hertfordshire receives an induction within three months of appointment - ideally before it. Its aims: that he leaves knowing exactly what the role is (and is not); that he has met the Provincial team and his fellow Lodge Mentors; that he can find and use every tool in the library; and that he has heard, in person, the philosophy the Province expects him to embody.</w:t>
      </w:r>
    </w:p>
    <w:p>
      <w:pPr>
        <w:pStyle w:val="ListBullet"/>
      </w:pPr>
      <w:r>
        <w:rPr>
          <w:b/>
        </w:rPr>
        <w:t>Format:</w:t>
      </w:r>
      <w:r>
        <w:rPr/>
        <w:t xml:space="preserve"> a single evening of about two hours, delivered by an Assistant Provincial Grand Mentor (or the Deputy/Provincial Grand Mentor), in person where numbers allow or via Teams. Run whenever three or more new Lodge Mentors are awaiting induction; individual induction by an APGMen where waiting would leave a Lodge unsupported.</w:t>
      </w:r>
    </w:p>
    <w:p>
      <w:pPr>
        <w:pStyle w:val="ListBullet"/>
      </w:pPr>
      <w:r>
        <w:rPr>
          <w:b/>
        </w:rPr>
        <w:t>Materials:</w:t>
      </w:r>
      <w:r>
        <w:rPr/>
        <w:t xml:space="preserve"> Lodge Mentor's Guide; Personal Mentor's Guide; Personal Mentoring Plan; Mentor Meeting Guide; Stage Checklists; Warning Signs card; Retention, Retrieval and Migration Guide; The Hertfordshire Mentoring Principles (one per attendee, printed); the F3 Lodge presentation for them to take away and deliver in their own Lodge.</w:t>
      </w:r>
    </w:p>
    <w:p>
      <w:pPr>
        <w:pStyle w:val="ListBullet"/>
      </w:pPr>
      <w:r>
        <w:rPr>
          <w:b/>
        </w:rPr>
        <w:t>Follow-up:</w:t>
      </w:r>
      <w:r>
        <w:rPr/>
        <w:t xml:space="preserve"> the new Lodge Mentor is added to the monthly mentoring call and to DAWG; his APGMen makes contact within a month of the induction; the appointment is recorded on the Provincial register.</w:t>
      </w:r>
    </w:p>
    <w:p>
      <w:pPr>
        <w:pStyle w:val="Heading1"/>
      </w:pPr>
      <w:r>
        <w:rPr>
          <w:color w:val="FFFFFF"/>
          <w:shd w:val="clear" w:color="auto" w:fill="003668"/>
        </w:rPr>
        <w:t xml:space="preserve"> 2 </w:t>
      </w:r>
      <w:r>
        <w:t xml:space="preserve">  Session Plan</w:t>
      </w:r>
    </w:p>
    <w:tbl>
      <w:tblPr>
        <w:tblStyle w:val="MentoringTable"/>
        <w:tblW w:type="dxa" w:w="9412"/>
        <w:tblLayout w:type="fixed"/>
        <w:tblLook w:firstColumn="0" w:firstRow="1" w:lastColumn="0" w:lastRow="0" w:noHBand="1" w:noVBand="1" w:val="0620"/>
        <w:tblLayout w:type="fixed"/>
      </w:tblPr>
      <w:tblGrid>
        <w:gridCol w:w="1200"/>
        <w:gridCol w:w="2600"/>
        <w:gridCol w:w="5612"/>
      </w:tblGrid>
      <w:tr>
        <w:trPr>
          <w:cantSplit/>
        </w:trPr>
        <w:tc>
          <w:tcPr>
            <w:tcW w:type="dxa" w:w="1200"/>
            <w:shd w:val="clear" w:color="auto" w:fill="003668"/>
          </w:tcPr>
          <w:p>
            <w:pPr>
              <w:keepNext/>
              <w:spacing w:before="60" w:after="60"/>
            </w:pPr>
            <w:r>
              <w:rPr>
                <w:b/>
                <w:color w:val="FFFFFF"/>
              </w:rPr>
              <w:t>Time</w:t>
            </w:r>
          </w:p>
        </w:tc>
        <w:tc>
          <w:tcPr>
            <w:tcW w:type="dxa" w:w="2600"/>
            <w:shd w:val="clear" w:color="auto" w:fill="003668"/>
          </w:tcPr>
          <w:p>
            <w:pPr>
              <w:keepNext/>
              <w:spacing w:before="60" w:after="60"/>
            </w:pPr>
            <w:r>
              <w:rPr>
                <w:b/>
                <w:color w:val="FFFFFF"/>
              </w:rPr>
              <w:t>Segment</w:t>
            </w:r>
          </w:p>
        </w:tc>
        <w:tc>
          <w:tcPr>
            <w:tcW w:type="dxa" w:w="5612"/>
            <w:shd w:val="clear" w:color="auto" w:fill="003668"/>
          </w:tcPr>
          <w:p>
            <w:pPr>
              <w:keepNext/>
              <w:spacing w:before="60" w:after="60"/>
            </w:pPr>
            <w:r>
              <w:rPr>
                <w:b/>
                <w:color w:val="FFFFFF"/>
              </w:rPr>
              <w:t>Content and method</w:t>
            </w:r>
          </w:p>
        </w:tc>
      </w:tr>
      <w:tr>
        <w:trPr>
          <w:cantSplit/>
        </w:trPr>
        <w:tc>
          <w:tcPr>
            <w:tcW w:type="dxa" w:w="1200"/>
          </w:tcPr>
          <w:p>
            <w:pPr>
              <w:spacing w:before="60" w:after="60"/>
            </w:pPr>
            <w:r>
              <w:rPr/>
              <w:t>0.00-0.15</w:t>
            </w:r>
          </w:p>
        </w:tc>
        <w:tc>
          <w:tcPr>
            <w:tcW w:type="dxa" w:w="2600"/>
          </w:tcPr>
          <w:p>
            <w:pPr>
              <w:spacing w:before="60" w:after="60"/>
            </w:pPr>
            <w:r>
              <w:rPr>
                <w:b/>
              </w:rPr>
              <w:t>Why mentoring - the story</w:t>
            </w:r>
          </w:p>
        </w:tc>
        <w:tc>
          <w:tcPr>
            <w:tcW w:type="dxa" w:w="5612"/>
          </w:tcPr>
          <w:p>
            <w:pPr>
              <w:spacing w:before="60" w:after="60"/>
            </w:pPr>
            <w:r>
              <w:rPr/>
              <w:t>Open with a true resignation story (facilitator's own, or the anonymised case in the workshop pack): a good man lost because nobody noticed. Then the Hertfordshire answer: 'Freemasonry must be fun' - a man who enjoys himself attends, participates, belongs, and does not resign. Retention is the outcome of culture, never a target.</w:t>
            </w:r>
          </w:p>
        </w:tc>
      </w:tr>
      <w:tr>
        <w:trPr>
          <w:cantSplit/>
        </w:trPr>
        <w:tc>
          <w:tcPr>
            <w:tcW w:type="dxa" w:w="1200"/>
          </w:tcPr>
          <w:p>
            <w:pPr>
              <w:spacing w:before="60" w:after="60"/>
            </w:pPr>
            <w:r>
              <w:rPr/>
              <w:t>0.15-0.35</w:t>
            </w:r>
          </w:p>
        </w:tc>
        <w:tc>
          <w:tcPr>
            <w:tcW w:type="dxa" w:w="2600"/>
          </w:tcPr>
          <w:p>
            <w:pPr>
              <w:spacing w:before="60" w:after="60"/>
            </w:pPr>
            <w:r>
              <w:rPr>
                <w:b/>
              </w:rPr>
              <w:t>The role - organiser, not everything</w:t>
            </w:r>
          </w:p>
        </w:tc>
        <w:tc>
          <w:tcPr>
            <w:tcW w:type="dxa" w:w="5612"/>
          </w:tcPr>
          <w:p>
            <w:pPr>
              <w:spacing w:before="60" w:after="60"/>
            </w:pPr>
            <w:r>
              <w:rPr/>
              <w:t>The Lodge Mentor is a co-ordinator: he ensures mentoring happens; he does not do it all himself. Assigning Personal Mentors (time, temperament, friendship potential over seniority - the Proposer is considered first, never defaulted to); supporting them; keeping simple records; the Provincial link; developing a successor from day one. Tenure 3-5 years. Exercise: attendees list every member of their Lodge who could be a Personal Mentor - the list is always longer than they expect.</w:t>
            </w:r>
          </w:p>
        </w:tc>
      </w:tr>
      <w:tr>
        <w:trPr>
          <w:cantSplit/>
        </w:trPr>
        <w:tc>
          <w:tcPr>
            <w:tcW w:type="dxa" w:w="1200"/>
          </w:tcPr>
          <w:p>
            <w:pPr>
              <w:spacing w:before="60" w:after="60"/>
            </w:pPr>
            <w:r>
              <w:rPr/>
              <w:t>0.35-1.00</w:t>
            </w:r>
          </w:p>
        </w:tc>
        <w:tc>
          <w:tcPr>
            <w:tcW w:type="dxa" w:w="2600"/>
          </w:tcPr>
          <w:p>
            <w:pPr>
              <w:spacing w:before="60" w:after="60"/>
            </w:pPr>
            <w:r>
              <w:rPr>
                <w:b/>
              </w:rPr>
              <w:t>The four principles and the journey</w:t>
            </w:r>
          </w:p>
        </w:tc>
        <w:tc>
          <w:tcPr>
            <w:tcW w:type="dxa" w:w="5612"/>
          </w:tcPr>
          <w:p>
            <w:pPr>
              <w:spacing w:before="60" w:after="60"/>
            </w:pPr>
            <w:r>
              <w:rPr/>
              <w:t>Walk the one-page canon: Prepare, Guide, Support, Enlighten - continuous, not sequential. Then the nine-stage journey with the two risk windows (first two years; after the Chair). For each principle, attendees name one thing their Lodge already does well and one thing it does not do at all. Capture the second list - it becomes their action plan.</w:t>
            </w:r>
          </w:p>
        </w:tc>
      </w:tr>
      <w:tr>
        <w:trPr>
          <w:cantSplit/>
        </w:trPr>
        <w:tc>
          <w:tcPr>
            <w:tcW w:type="dxa" w:w="1200"/>
          </w:tcPr>
          <w:p>
            <w:pPr>
              <w:spacing w:before="60" w:after="60"/>
            </w:pPr>
            <w:r>
              <w:rPr/>
              <w:t>1.00-1.25</w:t>
            </w:r>
          </w:p>
        </w:tc>
        <w:tc>
          <w:tcPr>
            <w:tcW w:type="dxa" w:w="2600"/>
          </w:tcPr>
          <w:p>
            <w:pPr>
              <w:spacing w:before="60" w:after="60"/>
            </w:pPr>
            <w:r>
              <w:rPr>
                <w:b/>
              </w:rPr>
              <w:t>The tools - a guided tour</w:t>
            </w:r>
          </w:p>
        </w:tc>
        <w:tc>
          <w:tcPr>
            <w:tcW w:type="dxa" w:w="5612"/>
          </w:tcPr>
          <w:p>
            <w:pPr>
              <w:spacing w:before="60" w:after="60"/>
            </w:pPr>
            <w:r>
              <w:rPr/>
              <w:t>Hands on, not described: the Personal Mentoring Plan (one per Brother, confidential); the Mentor Meeting Guide; the five Stage Checklists; the Warning Signs card. Where everything lives (Provincial website Members' Resources; Solomon - including the Mentors' modules). Ten minutes in pairs: run the Meeting Guide's opening on each other, using 'What did you make of tonight?'</w:t>
            </w:r>
          </w:p>
        </w:tc>
      </w:tr>
      <w:tr>
        <w:trPr>
          <w:cantSplit/>
        </w:trPr>
        <w:tc>
          <w:tcPr>
            <w:tcW w:type="dxa" w:w="1200"/>
          </w:tcPr>
          <w:p>
            <w:pPr>
              <w:spacing w:before="60" w:after="60"/>
            </w:pPr>
            <w:r>
              <w:rPr/>
              <w:t>1.25-1.45</w:t>
            </w:r>
          </w:p>
        </w:tc>
        <w:tc>
          <w:tcPr>
            <w:tcW w:type="dxa" w:w="2600"/>
          </w:tcPr>
          <w:p>
            <w:pPr>
              <w:spacing w:before="60" w:after="60"/>
            </w:pPr>
            <w:r>
              <w:rPr>
                <w:b/>
              </w:rPr>
              <w:t>When it gets difficult</w:t>
            </w:r>
          </w:p>
        </w:tc>
        <w:tc>
          <w:tcPr>
            <w:tcW w:type="dxa" w:w="5612"/>
          </w:tcPr>
          <w:p>
            <w:pPr>
              <w:spacing w:before="60" w:after="60"/>
            </w:pPr>
            <w:r>
              <w:rPr/>
              <w:t>The four intervention steps and the two-misses/seven-day habit; the hand-offs (Almoner for welfare, Secretary's acknowledge-only rule, the sixty-day window, migration); protection from pressure in both directions - the pushed member and the under-used member. Message repeated until it sticks: escalation is a strength, and no mentor in Hertfordshire works alone.</w:t>
            </w:r>
          </w:p>
        </w:tc>
      </w:tr>
      <w:tr>
        <w:trPr>
          <w:cantSplit/>
        </w:trPr>
        <w:tc>
          <w:tcPr>
            <w:tcW w:type="dxa" w:w="1200"/>
          </w:tcPr>
          <w:p>
            <w:pPr>
              <w:spacing w:before="60" w:after="60"/>
            </w:pPr>
            <w:r>
              <w:rPr/>
              <w:t>1.45-2.00</w:t>
            </w:r>
          </w:p>
        </w:tc>
        <w:tc>
          <w:tcPr>
            <w:tcW w:type="dxa" w:w="2600"/>
          </w:tcPr>
          <w:p>
            <w:pPr>
              <w:spacing w:before="60" w:after="60"/>
            </w:pPr>
            <w:r>
              <w:rPr>
                <w:b/>
              </w:rPr>
              <w:t>The Province behind you - and the Charge</w:t>
            </w:r>
          </w:p>
        </w:tc>
        <w:tc>
          <w:tcPr>
            <w:tcW w:type="dxa" w:w="5612"/>
          </w:tcPr>
          <w:p>
            <w:pPr>
              <w:spacing w:before="60" w:after="60"/>
            </w:pPr>
            <w:r>
              <w:rPr/>
              <w:t>The support rhythm: monthly mentoring call (first Tuesday, 7pm, Teams), DAWG, the APGMen for their area, training, one-to-one help in confidence. Close by reading the Charge (Section 3) aloud - the same words their Lodge heard, or will hear, when they received the Mentor's Jewel.</w:t>
            </w:r>
          </w:p>
        </w:tc>
      </w:tr>
    </w:tbl>
    <w:p>
      <w:pPr>
        <w:spacing w:after="0"/>
      </w:pPr>
    </w:p>
    <w:p>
      <w:pPr>
        <w:pStyle w:val="Heading1"/>
      </w:pPr>
      <w:r>
        <w:rPr>
          <w:color w:val="FFFFFF"/>
          <w:shd w:val="clear" w:color="auto" w:fill="003668"/>
        </w:rPr>
        <w:t xml:space="preserve"> 3 </w:t>
      </w:r>
      <w:r>
        <w:t xml:space="preserve">  The Charge to the Newly Appointed Lodge Mentor</w:t>
      </w:r>
    </w:p>
    <w:p>
      <w:pPr>
        <w:spacing w:after="120"/>
      </w:pPr>
      <w:r>
        <w:rPr>
          <w:i/>
        </w:rPr>
        <w:t>To be presented in writing to every new Lodge Mentor on appointment, and read at the induction. It complements - and never replaces - the presentation and explanation of the Mentor's Jewel in open Lodge.</w:t>
      </w:r>
    </w:p>
    <w:p>
      <w:pPr>
        <w:spacing w:after="120"/>
      </w:pPr>
      <w:r>
        <w:rPr/>
        <w:t>Brother, the office you have accepted is unlike any other in the Lodge. The Treasurer keeps the accounts and the Secretary keeps the record; you keep something less visible and more easily lost - the experience of every member, from the man who has not yet been Initiated to the Past Master wondering what his Freemasonry is now for.</w:t>
      </w:r>
    </w:p>
    <w:p>
      <w:pPr>
        <w:spacing w:after="120"/>
      </w:pPr>
      <w:r>
        <w:rPr/>
        <w:t>Your duty is not to mentor every member yourself. It is to make sure that every member is mentored: that each new Brother has a Personal Mentor chosen with care; that those mentors are supported, encouraged and thanked; that no one's absence goes unnoticed and no one's question goes unasked; and that the Brethren of your Lodge come to understand that mentoring is not an office but a culture - that we are all mentors to others in Freemasonry.</w:t>
      </w:r>
    </w:p>
    <w:p>
      <w:pPr>
        <w:spacing w:after="120"/>
      </w:pPr>
      <w:r>
        <w:rPr/>
        <w:t>Four words describe the work: Prepare, Guide, Support, Enlighten. Prepare every member for what lies ahead of him, so that there are never any surprises. Guide him with accurate and honest information, so that he navigates an unfamiliar world with confidence. Support him through whatever life and the Lodge may bring, asking always 'How can we help?' and never 'Why weren't you there?' And enlighten him - patiently, at his pace, following his curiosity and not your own - so that Freemasonry becomes to him not information learned but a life enjoyed and understood.</w:t>
      </w:r>
    </w:p>
    <w:p>
      <w:pPr>
        <w:spacing w:after="120"/>
      </w:pPr>
      <w:r>
        <w:rPr/>
        <w:t>Remember the order of things: his family first, his work second, his Masonry third. Hold that line for him even when the Lodge's programme tempts otherwise, and you will keep men the calendar would have lost.</w:t>
      </w:r>
    </w:p>
    <w:p>
      <w:pPr>
        <w:spacing w:after="120"/>
      </w:pPr>
      <w:r>
        <w:rPr/>
        <w:t>You do not hold this office alone. Behind you stand the mentors of every Lodge in this Province, the Provincial Mentoring Team, and guidance for every stage of the road. Ask for help early and often; in Hertfordshire, asking is a strength.</w:t>
      </w:r>
    </w:p>
    <w:p>
      <w:pPr>
        <w:spacing w:after="120"/>
      </w:pPr>
      <w:r>
        <w:rPr/>
        <w:t>And from your first day, look for the Brother who will one day succeed you - for the measure of your work is not what mentoring looks like in your Lodge during your tenure, but what it looks like after it.</w:t>
      </w:r>
    </w:p>
    <w:p>
      <w:pPr>
        <w:spacing w:after="120"/>
      </w:pPr>
      <w:r>
        <w:rPr>
          <w:i/>
        </w:rPr>
        <w:t>May the work be patient and purposeful - and may Freemasonry flourish, root and branch.</w:t>
      </w:r>
    </w:p>
    <w:p>
      <w:pPr>
        <w:spacing w:after="120"/>
      </w:pPr>
      <w:r>
        <w:rPr/>
        <w:t>Presented on behalf of the Provincial Grand Mentor, Province of Hertfordshire.</w:t>
      </w:r>
    </w:p>
    <w:sectPr>
      <w:headerReference w:type="default" r:id="rId5"/>
      <w:headerReference w:type="first" r:id="rId4"/>
      <w:footerReference w:type="default" r:id="rId8"/>
      <w:footerReference w:type="first" r:id="rId7"/>
      <w:pgSz w:w="11906" w:h="16838"/>
      <w:pgMar w:top="1701" w:right="1247" w:bottom="1474" w:left="1247" w:header="0" w:footer="0" w:gutter="0"/>
      <w:pgNumType w:start="1"/>
      <w:cols w:space="708"/>
      <w:titlePg/>
      <w:docGrid w:linePitch="360"/>
    </w:sectPr>
  </w:body>
</w:document>
</file>

<file path=word/footer1.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[Email address]  ·  [Telephone]</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2.xml><?xml version="1.0" encoding="utf-8"?>
<w:ftr xmlns:w="http://schemas.openxmlformats.org/wordprocessingml/2006/main" xmlns:r="http://schemas.openxmlformats.org/officeDocument/2006/relationships">
  <w:p>
    <w:pPr>
      <w:pStyle w:val="Footer"/>
      <w:tabs>
        <w:tab w:val="right" w:pos="9412"/>
      </w:tabs>
      <w:spacing w:before="0" w:after="4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p>
    <w:pPr>
      <w:pStyle w:val="Footer"/>
      <w:tabs>
        <w:tab w:val="right" w:pos="9412"/>
      </w:tabs>
      <w:spacing w:before="0" w:after="300"/>
    </w:pPr>
    <w:r>
      <w:t xml:space="preserve">Issue 1 (Draft for Review)  ·  October 2026</w:t>
    </w:r>
    <w:r>
      <w:tab/>
    </w:r>
    <w:r>
      <w:rPr>
        <w:b/>
        <w:bCs/>
        <w:color w:val="157A7C"/>
      </w:rPr>
      <w:t xml:space="preserve">Prepare • Guide • Support • Enlighten</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3.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header1.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1247"/>
      <w:gridCol w:w="1134"/>
      <w:gridCol w:w="340"/>
      <w:gridCol w:w="255"/>
      <w:gridCol w:w="2977"/>
      <w:gridCol w:w="2976"/>
      <w:gridCol w:w="1730"/>
      <w:gridCol w:w="1247"/>
    </w:tblGrid>
    <w:tr>
      <w:trPr>
        <w:cantSplit/>
        <w:trHeight w:val="340"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1361" w:hRule="atLeast"/>
      </w:trPr>
      <w:tc>
        <w:tcPr>
          <w:tcW w:w="1247" w:type="dxa"/>
          <w:shd w:val="clear" w:color="auto" w:fill="FFFFFF"/>
          <w:vAlign w:val="center"/>
        </w:tcPr>
        <w:p>
          <w:pPr>
            <w:pStyle w:val="Header"/>
            <w:spacing w:before="0" w:after="0" w:line="240" w:lineRule="auto"/>
            <w:rPr>
              <w:sz w:val="2"/>
            </w:rPr>
          </w:pPr>
          <w:r>
            <w:t xml:space="preserve"/>
          </w:r>
        </w:p>
      </w:tc>
      <w:tc>
        <w:tcPr>
          <w:tcW w:w="7682" w:type="dxa"/>
          <w:gridSpan w:val="5"/>
          <w:shd w:val="clear" w:color="auto" w:fill="FFFFFF"/>
          <w:vAlign w:val="center"/>
        </w:tcPr>
        <w:p>
          <w:pPr>
            <w:pStyle w:val="Header"/>
            <w:spacing w:after="60"/>
          </w:pPr>
          <w:r>
            <w:rPr>
              <w:rFonts w:ascii="DM Sans Medium" w:hAnsi="DM Sans Medium" w:cs="DM Sans Medium"/>
              <w:b/>
              <w:bCs/>
              <w:color w:val="003668"/>
              <w:sz w:val="60"/>
              <w:szCs w:val="60"/>
            </w:rPr>
            <w:t xml:space="preserve">Provincial Mentoring</w:t>
          </w:r>
        </w:p>
        <w:p>
          <w:pPr>
            <w:pStyle w:val="Header"/>
            <w:spacing w:after="30"/>
          </w:pPr>
          <w:r>
            <w:rPr>
              <w:color w:val="06345D"/>
              <w:sz w:val="22"/>
              <w:szCs w:val="22"/>
            </w:rPr>
            <w:t xml:space="preserve">Provincial Grand Lodge of Hertfordshire</w:t>
          </w:r>
        </w:p>
        <w:p>
          <w:pPr>
            <w:pStyle w:val="Header"/>
          </w:pPr>
          <w:r>
            <w:rPr>
              <w:b/>
              <w:bCs/>
              <w:color w:val="157A7C"/>
              <w:sz w:val="22"/>
              <w:szCs w:val="22"/>
            </w:rPr>
            <w:t xml:space="preserve">Prepare • Guide • Support • Enlighten</w:t>
          </w:r>
        </w:p>
      </w:tc>
      <w:tc>
        <w:tcPr>
          <w:tcW w:w="1730" w:type="dxa"/>
          <w:shd w:val="clear" w:color="auto" w:fill="FFFFFF"/>
          <w:vAlign w:val="center"/>
        </w:tcPr>
        <w:p>
          <w:pPr>
            <w:pStyle w:val="Header"/>
            <w:jc w:val="right"/>
            <w:spacing w:before="0" w:after="0"/>
          </w:pPr>
          <w:r>
            <w:drawing>
              <wp:inline xmlns:wp="http://schemas.openxmlformats.org/drawingml/2006/wordprocessingDrawing" xmlns:a="http://schemas.openxmlformats.org/drawingml/2006/main" xmlns:pic="http://schemas.openxmlformats.org/drawingml/2006/picture">
                <wp:extent cx="907477" cy="1044000"/>
                <wp:docPr id="1" name="Picture 1"/>
                <wp:cNvGraphicFramePr>
                  <a:graphicFrameLocks noChangeAspect="1"/>
                </wp:cNvGraphicFramePr>
                <a:graphic>
                  <a:graphicData uri="http://schemas.openxmlformats.org/drawingml/2006/picture">
                    <pic:pic>
                      <pic:nvPicPr>
                        <pic:cNvPr id="0" name="PGLH-Shield-header.png"/>
                        <pic:cNvPicPr/>
                      </pic:nvPicPr>
                      <pic:blipFill>
                        <a:blip r:embed="rId1"/>
                        <a:stretch>
                          <a:fillRect/>
                        </a:stretch>
                      </pic:blipFill>
                      <pic:spPr>
                        <a:xfrm>
                          <a:off x="0" y="0"/>
                          <a:ext cx="907477" cy="1044000"/>
                        </a:xfrm>
                        <a:prstGeom prst="rect"/>
                      </pic:spPr>
                    </pic:pic>
                  </a:graphicData>
                </a:graphic>
              </wp:inline>
            </w:drawing>
          </w:r>
        </w:p>
      </w:tc>
      <w:tc>
        <w:tcPr>
          <w:tcW w:w="1247" w:type="dxa"/>
          <w:shd w:val="clear" w:color="auto" w:fill="FFFFFF"/>
          <w:vAlign w:val="center"/>
        </w:tcPr>
        <w:p>
          <w:pPr>
            <w:pStyle w:val="Header"/>
            <w:spacing w:before="0" w:after="0" w:line="240" w:lineRule="auto"/>
            <w:rPr>
              <w:sz w:val="2"/>
            </w:rPr>
          </w:pPr>
          <w:r>
            <w:t xml:space="preserve"/>
          </w:r>
        </w:p>
      </w:tc>
    </w:tr>
    <w:tr>
      <w:trPr>
        <w:cantSplit/>
        <w:trHeight w:val="397"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454" w:hRule="exact"/>
      </w:trPr>
      <w:tc>
        <w:tcPr>
          <w:tcW w:w="2976" w:type="dxa"/>
          <w:gridSpan w:val="4"/>
          <w:shd w:val="clear" w:color="auto" w:fill="003668"/>
          <w:vAlign w:val="center"/>
        </w:tcPr>
        <w:p>
          <w:pPr>
            <w:pStyle w:val="Header"/>
            <w:jc w:val="center"/>
          </w:pPr>
          <w:r>
            <w:rPr>
              <w:rFonts w:ascii="DM Sans Medium" w:hAnsi="DM Sans Medium" w:cs="DM Sans Medium"/>
              <w:color w:val="BFD6EA"/>
              <w:sz w:val="20"/>
              <w:szCs w:val="20"/>
            </w:rPr>
            <w:t xml:space="preserve">1  </w:t>
          </w:r>
          <w:r>
            <w:rPr>
              <w:b/>
              <w:bCs/>
              <w:color w:val="FFFFFF"/>
              <w:sz w:val="20"/>
              <w:szCs w:val="20"/>
            </w:rPr>
            <w:t xml:space="preserve">Prepare</w:t>
          </w:r>
        </w:p>
      </w:tc>
      <w:tc>
        <w:tcPr>
          <w:tcW w:w="2977" w:type="dxa"/>
          <w:shd w:val="clear" w:color="auto" w:fill="0A4F72"/>
          <w:vAlign w:val="center"/>
        </w:tcPr>
        <w:p>
          <w:pPr>
            <w:pStyle w:val="Header"/>
            <w:jc w:val="center"/>
          </w:pPr>
          <w:r>
            <w:rPr>
              <w:rFonts w:ascii="DM Sans Medium" w:hAnsi="DM Sans Medium" w:cs="DM Sans Medium"/>
              <w:color w:val="BFD6EA"/>
              <w:sz w:val="20"/>
              <w:szCs w:val="20"/>
            </w:rPr>
            <w:t xml:space="preserve">2  </w:t>
          </w:r>
          <w:r>
            <w:rPr>
              <w:b/>
              <w:bCs/>
              <w:color w:val="FFFFFF"/>
              <w:sz w:val="20"/>
              <w:szCs w:val="20"/>
            </w:rPr>
            <w:t xml:space="preserve">Guide</w:t>
          </w:r>
        </w:p>
      </w:tc>
      <w:tc>
        <w:tcPr>
          <w:tcW w:w="2976" w:type="dxa"/>
          <w:shd w:val="clear" w:color="auto" w:fill="106576"/>
          <w:vAlign w:val="center"/>
        </w:tcPr>
        <w:p>
          <w:pPr>
            <w:pStyle w:val="Header"/>
            <w:jc w:val="center"/>
          </w:pPr>
          <w:r>
            <w:rPr>
              <w:rFonts w:ascii="DM Sans Medium" w:hAnsi="DM Sans Medium" w:cs="DM Sans Medium"/>
              <w:color w:val="BFD6EA"/>
              <w:sz w:val="20"/>
              <w:szCs w:val="20"/>
            </w:rPr>
            <w:t xml:space="preserve">3  </w:t>
          </w:r>
          <w:r>
            <w:rPr>
              <w:b/>
              <w:bCs/>
              <w:color w:val="FFFFFF"/>
              <w:sz w:val="20"/>
              <w:szCs w:val="20"/>
            </w:rPr>
            <w:t xml:space="preserve">Support</w:t>
          </w:r>
        </w:p>
      </w:tc>
      <w:tc>
        <w:tcPr>
          <w:tcW w:w="2977" w:type="dxa"/>
          <w:gridSpan w:val="2"/>
          <w:shd w:val="clear" w:color="auto" w:fill="157A7C"/>
          <w:vAlign w:val="center"/>
        </w:tcPr>
        <w:p>
          <w:pPr>
            <w:pStyle w:val="Header"/>
            <w:jc w:val="center"/>
          </w:pPr>
          <w:r>
            <w:rPr>
              <w:rFonts w:ascii="DM Sans Medium" w:hAnsi="DM Sans Medium" w:cs="DM Sans Medium"/>
              <w:color w:val="BFD6EA"/>
              <w:sz w:val="20"/>
              <w:szCs w:val="20"/>
            </w:rPr>
            <w:t xml:space="preserve">4  </w:t>
          </w:r>
          <w:r>
            <w:rPr>
              <w:b/>
              <w:bCs/>
              <w:color w:val="FFFFFF"/>
              <w:sz w:val="20"/>
              <w:szCs w:val="20"/>
            </w:rPr>
            <w:t xml:space="preserve">Enlighten</w:t>
          </w:r>
        </w:p>
      </w:tc>
    </w:tr>
  </w:tbl>
  <w:p>
    <w:pPr>
      <w:pStyle w:val="Header"/>
    </w:pPr>
    <w:r>
      <w:t xml:space="preserve"/>
    </w:r>
  </w:p>
</w:hdr>
</file>

<file path=word/header2.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680" w:hRule="exact"/>
      </w:trPr>
      <w:tc>
        <w:tcPr>
          <w:tcW w:w="11906" w:type="dxa"/>
          <w:gridSpan w:val="4"/>
          <w:shd w:val="clear" w:color="auto" w:fill="003668"/>
          <w:tcMar>
            <w:left w:w="1247" w:type="dxa"/>
            <w:right w:w="1247" w:type="dxa"/>
          </w:tcMar>
          <w:vAlign w:val="center"/>
        </w:tcPr>
        <w:p>
          <w:pPr>
            <w:pStyle w:val="Header"/>
            <w:tabs>
              <w:tab w:val="right" w:pos="9412"/>
            </w:tabs>
          </w:pPr>
          <w:r>
            <w:rPr>
              <w:rFonts w:ascii="DM Sans Medium" w:hAnsi="DM Sans Medium" w:cs="DM Sans Medium"/>
              <w:b/>
              <w:bCs/>
              <w:color w:val="FFFFFF"/>
              <w:sz w:val="24"/>
              <w:szCs w:val="24"/>
            </w:rPr>
            <w:t xml:space="preserve">Provincial Mentoring</w:t>
          </w:r>
          <w:r>
            <w:rPr>
              <w:color w:val="BFD6EA"/>
              <w:sz w:val="20"/>
              <w:szCs w:val="20"/>
            </w:rPr>
            <w:t xml:space="preserve">  ·  Hertfordshire</w:t>
          </w:r>
          <w:r>
            <w:tab/>
          </w:r>
          <w:r>
            <w:rPr>
              <w:color w:val="FFFFFF"/>
              <w:sz w:val="20"/>
              <w:szCs w:val="20"/>
            </w:rPr>
            <w:t xml:space="preserve">Lodge Mentor Induction and the Charge</w:t>
          </w:r>
        </w:p>
      </w:tc>
    </w:tr>
    <w:tr>
      <w:trPr>
        <w:cantSplit/>
        <w:trHeight w:val="85"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pStyle w:val="Header"/>
    </w:pPr>
    <w:r>
      <w:t xml:space="preserve"/>
    </w:r>
  </w:p>
</w:hd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360" w:hanging="360"/>
      </w:pPr>
      <w:rPr>
        <w:color w:val="157A7C"/>
      </w:rPr>
    </w:lvl>
    <w:lvl w:ilvl="1">
      <w:start w:val="1"/>
      <w:numFmt w:val="bullet"/>
      <w:lvlText w:val="–"/>
      <w:lvlJc w:val="left"/>
      <w:pPr>
        <w:ind w:left="720" w:hanging="360"/>
      </w:pPr>
      <w:rPr>
        <w:color w:val="157A7C"/>
      </w:rPr>
    </w:lvl>
  </w:abstractNum>
  <w:abstractNum w:abstractNumId="1">
    <w:multiLevelType w:val="hybridMultilevel"/>
    <w:lvl w:ilvl="0">
      <w:start w:val="1"/>
      <w:numFmt w:val="decimal"/>
      <w:lvlText w:val="%1."/>
      <w:lvlJc w:val="left"/>
      <w:pPr>
        <w:ind w:left="360" w:hanging="360"/>
      </w:pPr>
      <w:rPr>
        <w:b/>
        <w:color w:val="003668"/>
      </w:rPr>
    </w:lvl>
    <w:lvl w:ilvl="1">
      <w:start w:val="1"/>
      <w:numFmt w:val="lowerLetter"/>
      <w:lvlText w:val="%2."/>
      <w:lvlJc w:val="left"/>
      <w:pPr>
        <w:ind w:left="720" w:hanging="360"/>
      </w:pPr>
      <w:rPr>
        <w:color w:val="003668"/>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DM Sans Medium" w:hAnsi="DM Sans Medium" w:cs="DM Sans Medium"/>
        <w:color w:val="1E2329"/>
        <w:sz w:val="24"/>
        <w:szCs w:val="24"/>
        <w:lang w:val="en-GB" w:eastAsia="en-GB" w:bidi="ar-SA"/>
      </w:rPr>
    </w:rPrDefault>
    <w:pPrDefault>
      <w:pPr>
        <w:spacing w:after="160" w:line="276" w:lineRule="auto"/>
      </w:pPr>
    </w:pPrDefault>
  </w:docDefaults>
  <w:style w:type="paragraph" w:default="1" w:styleId="Normal">
    <w:name w:val="Normal"/>
    <w:uiPriority w:val="0"/>
    <w:qFormat/>
  </w:style>
  <w:style w:type="paragraph" w:styleId="DocumentType">
    <w:name w:val="Document Type"/>
    <w:basedOn w:val="Normal"/>
    <w:next w:val="Title"/>
    <w:uiPriority w:val="10"/>
    <w:qFormat/>
    <w:pPr>
      <w:spacing w:before="120" w:after="60"/>
    </w:pPr>
    <w:rPr>
      <w:b/>
      <w:bCs/>
      <w:caps/>
      <w:color w:val="157A7C"/>
      <w:spacing w:val="30"/>
      <w:sz w:val="22"/>
      <w:szCs w:val="22"/>
    </w:rPr>
  </w:style>
  <w:style w:type="paragraph" w:styleId="Title">
    <w:name w:val="Title"/>
    <w:basedOn w:val="Normal"/>
    <w:next w:val="PurposeStatement"/>
    <w:uiPriority w:val="10"/>
    <w:qFormat/>
    <w:pPr>
      <w:spacing w:before="0" w:after="200" w:line="235" w:lineRule="auto"/>
    </w:pPr>
    <w:rPr>
      <w:rFonts w:ascii="DM Sans Medium" w:hAnsi="DM Sans Medium" w:cs="DM Sans Medium"/>
      <w:b/>
      <w:bCs/>
      <w:color w:val="003668"/>
      <w:sz w:val="76"/>
      <w:szCs w:val="76"/>
    </w:rPr>
  </w:style>
  <w:style w:type="paragraph" w:styleId="PurposeStatement">
    <w:name w:val="Purpose Statement"/>
    <w:basedOn w:val="Normal"/>
    <w:next w:val="Normal"/>
    <w:uiPriority w:val="10"/>
    <w:qFormat/>
    <w:pPr>
      <w:spacing w:after="320" w:line="264" w:lineRule="auto"/>
    </w:pPr>
    <w:rPr>
      <w:color w:val="06345D"/>
      <w:sz w:val="30"/>
      <w:szCs w:val="30"/>
    </w:rPr>
  </w:style>
  <w:style w:type="paragraph" w:styleId="Heading1">
    <w:name w:val="heading 1"/>
    <w:basedOn w:val="Normal"/>
    <w:next w:val="Normal"/>
    <w:uiPriority w:val="9"/>
    <w:qFormat/>
    <w:pPr>
      <w:keepNext/>
      <w:keepLines/>
      <w:spacing w:before="400" w:after="140" w:line="240" w:lineRule="auto"/>
      <w:outlineLvl w:val="0"/>
    </w:pPr>
    <w:rPr>
      <w:rFonts w:ascii="DM Sans Medium" w:hAnsi="DM Sans Medium" w:cs="DM Sans Medium"/>
      <w:b/>
      <w:bCs/>
      <w:color w:val="003668"/>
      <w:sz w:val="40"/>
      <w:szCs w:val="40"/>
    </w:rPr>
  </w:style>
  <w:style w:type="paragraph" w:styleId="Heading2">
    <w:name w:val="heading 2"/>
    <w:basedOn w:val="Normal"/>
    <w:next w:val="Normal"/>
    <w:uiPriority w:val="9"/>
    <w:qFormat/>
    <w:pPr>
      <w:keepNext/>
      <w:keepLines/>
      <w:spacing w:before="260" w:after="80"/>
      <w:outlineLvl w:val="1"/>
    </w:pPr>
    <w:rPr>
      <w:b/>
      <w:bCs/>
      <w:color w:val="157A7C"/>
      <w:sz w:val="28"/>
      <w:szCs w:val="28"/>
    </w:rPr>
  </w:style>
  <w:style w:type="paragraph" w:styleId="Heading3">
    <w:name w:val="heading 3"/>
    <w:basedOn w:val="Normal"/>
    <w:next w:val="Normal"/>
    <w:uiPriority w:val="9"/>
    <w:qFormat/>
    <w:pPr>
      <w:keepNext/>
      <w:keepLines/>
      <w:spacing w:before="200" w:after="60"/>
      <w:outlineLvl w:val="2"/>
    </w:pPr>
    <w:rPr>
      <w:b/>
      <w:bCs/>
      <w:color w:val="06345D"/>
      <w:sz w:val="24"/>
      <w:szCs w:val="24"/>
    </w:rPr>
  </w:style>
  <w:style w:type="paragraph" w:styleId="ListBullet">
    <w:name w:val="List Bullet"/>
    <w:basedOn w:val="Normal"/>
    <w:uiPriority w:val="11"/>
    <w:qFormat/>
    <w:pPr>
      <w:numPr>
        <w:ilvl w:val="0"/>
        <w:numId w:val="1"/>
      </w:numPr>
      <w:spacing w:after="80"/>
    </w:pPr>
  </w:style>
  <w:style w:type="paragraph" w:styleId="ListNumber">
    <w:name w:val="List Number"/>
    <w:basedOn w:val="Normal"/>
    <w:uiPriority w:val="11"/>
    <w:qFormat/>
    <w:pPr>
      <w:numPr>
        <w:ilvl w:val="0"/>
        <w:numId w:val="2"/>
      </w:numPr>
      <w:spacing w:after="80"/>
    </w:pPr>
  </w:style>
  <w:style w:type="paragraph" w:styleId="TemplateNote">
    <w:name w:val="Template Note"/>
    <w:basedOn w:val="Normal"/>
    <w:uiPriority w:val="20"/>
    <w:qFormat/>
    <w:pPr>
      <w:pBdr>
        <w:bottom w:val="dotted" w:sz="4" w:space="4" w:color="9FB3C8"/>
      </w:pBdr>
      <w:spacing w:after="280"/>
    </w:pPr>
    <w:rPr>
      <w:i/>
      <w:iCs/>
      <w:color w:val="3D4A57"/>
      <w:sz w:val="20"/>
      <w:szCs w:val="20"/>
    </w:rPr>
  </w:style>
  <w:style w:type="paragraph" w:styleId="AddressBlock">
    <w:name w:val="Address Block"/>
    <w:basedOn w:val="Normal"/>
    <w:uiPriority w:val="20"/>
    <w:qFormat/>
    <w:pPr>
      <w:spacing w:after="0"/>
    </w:pPr>
  </w:style>
  <w:style w:type="paragraph" w:styleId="LetterSubject">
    <w:name w:val="Letter Subject"/>
    <w:basedOn w:val="Normal"/>
    <w:next w:val="Normal"/>
    <w:uiPriority w:val="20"/>
    <w:qFormat/>
    <w:pPr>
      <w:pBdr>
        <w:top w:val="single" w:sz="18" w:space="8" w:color="157A7C"/>
      </w:pBdr>
      <w:spacing w:before="360" w:after="280" w:line="240" w:lineRule="auto"/>
    </w:pPr>
    <w:rPr>
      <w:rFonts w:ascii="DM Sans Medium" w:hAnsi="DM Sans Medium" w:cs="DM Sans Medium"/>
      <w:color w:val="003668"/>
      <w:sz w:val="34"/>
      <w:szCs w:val="34"/>
    </w:rPr>
  </w:style>
  <w:style w:type="paragraph" w:styleId="SignatureName">
    <w:name w:val="Signature Name"/>
    <w:basedOn w:val="Normal"/>
    <w:uiPriority w:val="20"/>
    <w:qFormat/>
    <w:pPr>
      <w:spacing w:after="0"/>
    </w:pPr>
    <w:rPr>
      <w:rFonts w:ascii="DM Sans Medium" w:hAnsi="DM Sans Medium" w:cs="DM Sans Medium"/>
      <w:color w:val="003668"/>
      <w:sz w:val="28"/>
      <w:szCs w:val="28"/>
    </w:rPr>
  </w:style>
  <w:style w:type="paragraph" w:styleId="Header">
    <w:name w:val="header"/>
    <w:basedOn w:val="Normal"/>
    <w:uiPriority w:val="99"/>
    <w:pPr>
      <w:spacing w:before="0" w:after="0" w:line="240" w:lineRule="auto"/>
    </w:pPr>
  </w:style>
  <w:style w:type="paragraph" w:styleId="Footer">
    <w:name w:val="footer"/>
    <w:basedOn w:val="Normal"/>
    <w:uiPriority w:val="99"/>
    <w:pPr>
      <w:spacing w:before="0" w:after="0" w:line="240" w:lineRule="auto"/>
    </w:pPr>
    <w:rPr>
      <w:color w:val="3D4A57"/>
      <w:sz w:val="20"/>
      <w:szCs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MentoringTable">
    <w:name w:val="Mentoring Table"/>
    <w:basedOn w:val="TableNormal"/>
    <w:uiPriority w:val="40"/>
    <w:qFormat/>
    <w:pPr>
      <w:spacing w:before="80" w:after="80" w:line="240" w:lineRule="auto"/>
    </w:pPr>
    <w:rPr>
      <w:sz w:val="22"/>
      <w:szCs w:val="22"/>
    </w:rPr>
    <w:tblPr>
      <w:tblBorders>
        <w:top w:val="single" w:sz="12" w:space="0" w:color="003668"/>
        <w:left w:val="nil" w:sz="4" w:space="0" w:color="9FB3C8"/>
        <w:bottom w:val="single" w:sz="12" w:space="0" w:color="003668"/>
        <w:right w:val="nil" w:sz="4" w:space="0" w:color="9FB3C8"/>
        <w:insideH w:val="single" w:sz="4" w:space="0" w:color="9FB3C8"/>
        <w:insideV w:val="single" w:sz="4" w:space="0" w:color="9FB3C8"/>
      </w:tblBorders>
      <w:tblCellMar>
        <w:top w:w="57" w:type="dxa"/>
        <w:left w:w="142" w:type="dxa"/>
        <w:bottom w:w="57" w:type="dxa"/>
        <w:right w:w="142" w:type="dxa"/>
      </w:tblCellMar>
    </w:tblPr>
    <w:tblStylePr w:type="firstRow">
      <w:rPr>
        <w:b/>
        <w:bCs/>
        <w:color w:val="FFFFFF"/>
      </w:rPr>
      <w:tcPr>
        <w:shd w:val="clear" w:color="auto" w:fill="003668"/>
      </w:tcPr>
    </w:tblStylePr>
    <w:tblStylePr w:type="firstCol">
      <w:rPr>
        <w:b/>
        <w:bCs/>
        <w:color w:val="003668"/>
      </w:rPr>
      <w:tcPr>
        <w:shd w:val="clear" w:color="auto" w:fill="F2F7FC"/>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Hertfordshire Provincial Mentoring – Document template</dc:title>
  <dc:creator>Hertfordshire Provincial Mentoring</dc:creator>
  <dcterms:created xsi:type="dcterms:W3CDTF">2026-10-09T09:00:00Z</dcterms:created>
</cp:coreProperties>
</file>