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Training and development · E2a</w:t>
      </w:r>
    </w:p>
    <w:p>
      <w:pPr>
        <w:pStyle w:val="Title"/>
      </w:pPr>
      <w:r>
        <w:rPr/>
        <w:t>Personal Mentor Course</w:t>
      </w:r>
    </w:p>
    <w:p>
      <w:pPr>
        <w:pStyle w:val="PurposeStatement"/>
      </w:pPr>
      <w:r>
        <w:rPr/>
        <w:t>The facilitator’s guide for the Province’s Personal Mentor course: a two-hour evening delivered in person by the Deputy Provincial Grand Mentor. Conversation is the method as well as the subject.</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spacing w:before="60" w:after="60"/>
            </w:pPr>
            <w:r>
              <w:rPr/>
              <w:t>Audience</w:t>
            </w:r>
          </w:p>
        </w:tc>
        <w:tc>
          <w:tcPr>
            <w:tcW w:type="dxa" w:w="7371"/>
          </w:tcPr>
          <w:p>
            <w:pPr>
              <w:spacing w:before="60" w:after="60"/>
            </w:pPr>
            <w:r>
              <w:rPr/>
              <w:t>Facilitator (W Bro Wes Pierce, Deputy Provincial Grand Mentor); any APGMen or Lodge Mentor delivering it on his behalf</w:t>
            </w:r>
          </w:p>
        </w:tc>
      </w:tr>
      <w:tr>
        <w:trPr>
          <w:cantSplit/>
        </w:trPr>
        <w:tc>
          <w:tcPr>
            <w:tcW w:type="dxa" w:w="2041"/>
          </w:tcPr>
          <w:p>
            <w:pPr>
              <w:spacing w:before="60" w:after="60"/>
            </w:pPr>
            <w:r>
              <w:rPr/>
              <w:t>Issue</w:t>
            </w:r>
          </w:p>
        </w:tc>
        <w:tc>
          <w:tcPr>
            <w:tcW w:type="dxa" w:w="7371"/>
          </w:tcPr>
          <w:p>
            <w:pPr>
              <w:spacing w:before="60" w:after="60"/>
            </w:pPr>
            <w:r>
              <w:rPr/>
              <w:t>Issue 1 (Draft for Review), October 2026 · Builds on the Personal Mentor Workshop (E2, July 2026)</w:t>
            </w:r>
          </w:p>
        </w:tc>
      </w:tr>
    </w:tbl>
    <w:p>
      <w:pPr>
        <w:spacing w:after="0"/>
      </w:pPr>
    </w:p>
    <w:p>
      <w:pPr>
        <w:pStyle w:val="Heading1"/>
      </w:pPr>
      <w:r>
        <w:rPr>
          <w:color w:val="FFFFFF"/>
          <w:shd w:val="clear" w:color="auto" w:fill="003668"/>
        </w:rPr>
        <w:t xml:space="preserve"> 1 </w:t>
      </w:r>
      <w:r>
        <w:t xml:space="preserve">  What the course does</w:t>
      </w:r>
    </w:p>
    <w:p>
      <w:pPr>
        <w:spacing w:after="120"/>
      </w:pPr>
      <w:r>
        <w:rPr/>
        <w:t>Most Personal Mentors have never been trained to mentor, and most do not need much. What they need is confidence in a handful of skills: asking questions that open people up, listening properly, sitting with silence, spotting trouble early, and knowing where their role ends. The course teaches exactly that, mostly by doing rather than being told. Every exercise is a conversation, because that is the job.</w:t>
      </w:r>
    </w:p>
    <w:p>
      <w:pPr>
        <w:pStyle w:val="Heading2"/>
      </w:pPr>
      <w:r>
        <w:t>By the end, every participant can</w:t>
      </w:r>
    </w:p>
    <w:p>
      <w:pPr>
        <w:pStyle w:val="ListBullet"/>
      </w:pPr>
      <w:r>
        <w:rPr/>
        <w:t>Say what a Personal Mentor is and is not, in one sentence each, and name the boundary with the Almoner and the Lodge Mentor.</w:t>
      </w:r>
    </w:p>
    <w:p>
      <w:pPr>
        <w:pStyle w:val="ListBullet"/>
      </w:pPr>
      <w:r>
        <w:rPr/>
        <w:t>Turn a closed question into an open one, and ask it.</w:t>
      </w:r>
    </w:p>
    <w:p>
      <w:pPr>
        <w:pStyle w:val="ListBullet"/>
      </w:pPr>
      <w:r>
        <w:rPr/>
        <w:t>Listen for tone and hesitation, and hold a three-second silence.</w:t>
      </w:r>
    </w:p>
    <w:p>
      <w:pPr>
        <w:pStyle w:val="ListBullet"/>
      </w:pPr>
      <w:r>
        <w:rPr/>
        <w:t>Recognise the warning signs, and say who acts, in what order, under the four steps.</w:t>
      </w:r>
    </w:p>
    <w:p>
      <w:pPr>
        <w:pStyle w:val="ListBullet"/>
      </w:pPr>
      <w:r>
        <w:rPr/>
        <w:t>Find the Mentor Meeting Guide, the Stage Checklists and the Warning Signs card, and say when to reach for each.</w:t>
      </w:r>
    </w:p>
    <w:p>
      <w:pPr>
        <w:pStyle w:val="ListBullet"/>
      </w:pPr>
      <w:r>
        <w:rPr/>
        <w:t>Name one thing he will do differently with his mentee this month.</w:t>
      </w:r>
    </w:p>
    <w:p>
      <w:pPr>
        <w:pStyle w:val="Heading2"/>
      </w:pPr>
      <w:r>
        <w:t>Who it is for</w:t>
      </w:r>
    </w:p>
    <w:p>
      <w:pPr>
        <w:spacing w:after="120"/>
      </w:pPr>
      <w:r>
        <w:rPr/>
        <w:t>Personal Mentors, newly appointed or long-serving; Lodge Mentors who want to run it locally; eight to sixteen participants. Fewer than six and the pair exercises thin out; more than sixteen and the debriefs run long. Mixed experience is an asset: the experienced hear what being new felt like, and the new hear what good looks like.</w:t>
      </w:r>
    </w:p>
    <w:p>
      <w:pPr>
        <w:pStyle w:val="Heading1"/>
      </w:pPr>
      <w:r>
        <w:rPr>
          <w:color w:val="FFFFFF"/>
          <w:shd w:val="clear" w:color="auto" w:fill="003668"/>
        </w:rPr>
        <w:t xml:space="preserve"> 2 </w:t>
      </w:r>
      <w:r>
        <w:t xml:space="preserve">  Format</w:t>
      </w:r>
    </w:p>
    <w:tbl>
      <w:tblPr>
        <w:tblStyle w:val="MentoringTable"/>
        <w:tblW w:type="dxa" w:w="9412"/>
        <w:tblLayout w:type="fixed"/>
        <w:tblLook w:firstColumn="1" w:firstRow="0" w:lastColumn="0" w:lastRow="0" w:noHBand="1" w:noVBand="1" w:val="0680"/>
        <w:tblLayout w:type="fixed"/>
      </w:tblPr>
      <w:tblGrid>
        <w:gridCol w:w="1900"/>
        <w:gridCol w:w="7512"/>
      </w:tblGrid>
      <w:tr>
        <w:trPr>
          <w:cantSplit/>
        </w:trPr>
        <w:tc>
          <w:tcPr>
            <w:tcW w:type="dxa" w:w="1900"/>
          </w:tcPr>
          <w:p>
            <w:pPr>
              <w:spacing w:before="60" w:after="60"/>
            </w:pPr>
            <w:r>
              <w:rPr/>
              <w:t>Length</w:t>
            </w:r>
          </w:p>
        </w:tc>
        <w:tc>
          <w:tcPr>
            <w:tcW w:type="dxa" w:w="7512"/>
          </w:tcPr>
          <w:p>
            <w:pPr>
              <w:spacing w:before="60" w:after="60"/>
            </w:pPr>
            <w:r>
              <w:rPr/>
              <w:t>One evening, two hours. Arrive from 7.00, start 7.15, finish 9.15.</w:t>
            </w:r>
          </w:p>
        </w:tc>
      </w:tr>
      <w:tr>
        <w:trPr>
          <w:cantSplit/>
        </w:trPr>
        <w:tc>
          <w:tcPr>
            <w:tcW w:type="dxa" w:w="1900"/>
          </w:tcPr>
          <w:p>
            <w:pPr>
              <w:spacing w:before="60" w:after="60"/>
            </w:pPr>
            <w:r>
              <w:rPr/>
              <w:t>Venue</w:t>
            </w:r>
          </w:p>
        </w:tc>
        <w:tc>
          <w:tcPr>
            <w:tcW w:type="dxa" w:w="7512"/>
          </w:tcPr>
          <w:p>
            <w:pPr>
              <w:spacing w:before="60" w:after="60"/>
            </w:pPr>
            <w:r>
              <w:rPr/>
              <w:t>A Masonic centre or Lodge room with tables of four and space to move into pairs. A flipchart.</w:t>
            </w:r>
          </w:p>
        </w:tc>
      </w:tr>
      <w:tr>
        <w:trPr>
          <w:cantSplit/>
        </w:trPr>
        <w:tc>
          <w:tcPr>
            <w:tcW w:type="dxa" w:w="1900"/>
          </w:tcPr>
          <w:p>
            <w:pPr>
              <w:spacing w:before="60" w:after="60"/>
            </w:pPr>
            <w:r>
              <w:rPr/>
              <w:t>Group size</w:t>
            </w:r>
          </w:p>
        </w:tc>
        <w:tc>
          <w:tcPr>
            <w:tcW w:type="dxa" w:w="7512"/>
          </w:tcPr>
          <w:p>
            <w:pPr>
              <w:spacing w:before="60" w:after="60"/>
            </w:pPr>
            <w:r>
              <w:rPr/>
              <w:t>Eight to sixteen. Fewer than six and the pair exercises thin out; more than sixteen and the debriefs run long.</w:t>
            </w:r>
          </w:p>
        </w:tc>
      </w:tr>
      <w:tr>
        <w:trPr>
          <w:cantSplit/>
        </w:trPr>
        <w:tc>
          <w:tcPr>
            <w:tcW w:type="dxa" w:w="1900"/>
          </w:tcPr>
          <w:p>
            <w:pPr>
              <w:spacing w:before="60" w:after="60"/>
            </w:pPr>
            <w:r>
              <w:rPr/>
              <w:t>Materials</w:t>
            </w:r>
          </w:p>
        </w:tc>
        <w:tc>
          <w:tcPr>
            <w:tcW w:type="dxa" w:w="7512"/>
          </w:tcPr>
          <w:p>
            <w:pPr>
              <w:spacing w:before="60" w:after="60"/>
            </w:pPr>
            <w:r>
              <w:rPr/>
              <w:t>Printed workbook per participant; one set of the library documents per table; slides on a screen if the room has one, though the course runs without them.</w:t>
            </w:r>
          </w:p>
        </w:tc>
      </w:tr>
      <w:tr>
        <w:trPr>
          <w:cantSplit/>
        </w:trPr>
        <w:tc>
          <w:tcPr>
            <w:tcW w:type="dxa" w:w="1900"/>
          </w:tcPr>
          <w:p>
            <w:pPr>
              <w:spacing w:before="60" w:after="60"/>
            </w:pPr>
            <w:r>
              <w:rPr/>
              <w:t>Follow-up</w:t>
            </w:r>
          </w:p>
        </w:tc>
        <w:tc>
          <w:tcPr>
            <w:tcW w:type="dxa" w:w="7512"/>
          </w:tcPr>
          <w:p>
            <w:pPr>
              <w:spacing w:before="60" w:after="60"/>
            </w:pPr>
            <w:r>
              <w:rPr/>
              <w:t>Names to the Lodge Mentor and APGMen; everyone added to DAWG and told about the monthly call; a message from the facilitator one month on.</w:t>
            </w:r>
          </w:p>
        </w:tc>
      </w:tr>
    </w:tbl>
    <w:p>
      <w:pPr>
        <w:spacing w:after="0"/>
      </w:pPr>
    </w:p>
    <w:p>
      <w:pPr>
        <w:pStyle w:val="Heading1"/>
      </w:pPr>
      <w:r>
        <w:rPr>
          <w:color w:val="FFFFFF"/>
          <w:shd w:val="clear" w:color="auto" w:fill="003668"/>
        </w:rPr>
        <w:t xml:space="preserve"> 3 </w:t>
      </w:r>
      <w:r>
        <w:t xml:space="preserve">  Run-sheet: two hours</w:t>
      </w:r>
    </w:p>
    <w:tbl>
      <w:tblPr>
        <w:tblStyle w:val="MentoringTable"/>
        <w:tblW w:type="dxa" w:w="9412"/>
        <w:tblLayout w:type="fixed"/>
        <w:tblLook w:firstColumn="0" w:firstRow="1" w:lastColumn="0" w:lastRow="0" w:noHBand="1" w:noVBand="1" w:val="0620"/>
        <w:tblLayout w:type="fixed"/>
      </w:tblPr>
      <w:tblGrid>
        <w:gridCol w:w="1000"/>
        <w:gridCol w:w="2900"/>
        <w:gridCol w:w="5512"/>
      </w:tblGrid>
      <w:tr>
        <w:trPr>
          <w:cantSplit/>
        </w:trPr>
        <w:tc>
          <w:tcPr>
            <w:tcW w:type="dxa" w:w="1000"/>
            <w:shd w:val="clear" w:color="auto" w:fill="003668"/>
          </w:tcPr>
          <w:p>
            <w:pPr>
              <w:keepNext/>
              <w:spacing w:before="60" w:after="60"/>
            </w:pPr>
            <w:r>
              <w:rPr>
                <w:b/>
                <w:color w:val="FFFFFF"/>
              </w:rPr>
              <w:t>Time</w:t>
            </w:r>
          </w:p>
        </w:tc>
        <w:tc>
          <w:tcPr>
            <w:tcW w:type="dxa" w:w="2900"/>
            <w:shd w:val="clear" w:color="auto" w:fill="003668"/>
          </w:tcPr>
          <w:p>
            <w:pPr>
              <w:keepNext/>
              <w:spacing w:before="60" w:after="60"/>
            </w:pPr>
            <w:r>
              <w:rPr>
                <w:b/>
                <w:color w:val="FFFFFF"/>
              </w:rPr>
              <w:t>Segment</w:t>
            </w:r>
          </w:p>
        </w:tc>
        <w:tc>
          <w:tcPr>
            <w:tcW w:type="dxa" w:w="5512"/>
            <w:shd w:val="clear" w:color="auto" w:fill="003668"/>
          </w:tcPr>
          <w:p>
            <w:pPr>
              <w:keepNext/>
              <w:spacing w:before="60" w:after="60"/>
            </w:pPr>
            <w:r>
              <w:rPr>
                <w:b/>
                <w:color w:val="FFFFFF"/>
              </w:rPr>
              <w:t>What you do</w:t>
            </w:r>
          </w:p>
        </w:tc>
      </w:tr>
      <w:tr>
        <w:trPr>
          <w:cantSplit/>
        </w:trPr>
        <w:tc>
          <w:tcPr>
            <w:tcW w:type="dxa" w:w="1000"/>
          </w:tcPr>
          <w:p>
            <w:pPr>
              <w:spacing w:before="60" w:after="60"/>
            </w:pPr>
            <w:r>
              <w:rPr/>
              <w:t>0.00</w:t>
            </w:r>
          </w:p>
        </w:tc>
        <w:tc>
          <w:tcPr>
            <w:tcW w:type="dxa" w:w="2900"/>
          </w:tcPr>
          <w:p>
            <w:pPr>
              <w:spacing w:before="60" w:after="60"/>
            </w:pPr>
            <w:r>
              <w:rPr/>
              <w:t>Welcome and the story of a man we lost (15 min)</w:t>
            </w:r>
          </w:p>
        </w:tc>
        <w:tc>
          <w:tcPr>
            <w:tcW w:type="dxa" w:w="5512"/>
          </w:tcPr>
          <w:p>
            <w:pPr>
              <w:spacing w:before="60" w:after="60"/>
            </w:pPr>
            <w:r>
              <w:rPr/>
              <w:t>Two sentences on why they are here, then read the case study aloud, slowly, from the workbook. Ask: where were the moments this could have been turned around? Flipchart them; there are at least six. Land it: none required expertise, all required someone noticing. The role in one sentence: a friend with a purpose.</w:t>
            </w:r>
          </w:p>
        </w:tc>
      </w:tr>
      <w:tr>
        <w:trPr>
          <w:cantSplit/>
        </w:trPr>
        <w:tc>
          <w:tcPr>
            <w:tcW w:type="dxa" w:w="1000"/>
          </w:tcPr>
          <w:p>
            <w:pPr>
              <w:spacing w:before="60" w:after="60"/>
            </w:pPr>
            <w:r>
              <w:rPr/>
              <w:t>0.15</w:t>
            </w:r>
          </w:p>
        </w:tc>
        <w:tc>
          <w:tcPr>
            <w:tcW w:type="dxa" w:w="2900"/>
          </w:tcPr>
          <w:p>
            <w:pPr>
              <w:spacing w:before="60" w:after="60"/>
            </w:pPr>
            <w:r>
              <w:rPr/>
              <w:t>What the role is, and is not (15 min)</w:t>
            </w:r>
          </w:p>
        </w:tc>
        <w:tc>
          <w:tcPr>
            <w:tcW w:type="dxa" w:w="5512"/>
          </w:tcPr>
          <w:p>
            <w:pPr>
              <w:spacing w:before="60" w:after="60"/>
            </w:pPr>
            <w:r>
              <w:rPr/>
              <w:t>Walk the IS / IS NOT table (slide and workbook page 2). Emphasise the boundaries that free people: not a ritual coach, not a welfare officer, not a reporter. Coach, not counsellor. Referring early is the skill, not the failure. Read the four principles from the canon page; say they are not stages.</w:t>
            </w:r>
          </w:p>
        </w:tc>
      </w:tr>
      <w:tr>
        <w:trPr>
          <w:cantSplit/>
        </w:trPr>
        <w:tc>
          <w:tcPr>
            <w:tcW w:type="dxa" w:w="1000"/>
          </w:tcPr>
          <w:p>
            <w:pPr>
              <w:spacing w:before="60" w:after="60"/>
            </w:pPr>
            <w:r>
              <w:rPr/>
              <w:t>0.30</w:t>
            </w:r>
          </w:p>
        </w:tc>
        <w:tc>
          <w:tcPr>
            <w:tcW w:type="dxa" w:w="2900"/>
          </w:tcPr>
          <w:p>
            <w:pPr>
              <w:spacing w:before="60" w:after="60"/>
            </w:pPr>
            <w:r>
              <w:rPr/>
              <w:t>Exercise 1: questions that open doors (30 min)</w:t>
            </w:r>
          </w:p>
        </w:tc>
        <w:tc>
          <w:tcPr>
            <w:tcW w:type="dxa" w:w="5512"/>
          </w:tcPr>
          <w:p>
            <w:pPr>
              <w:spacing w:before="60" w:after="60"/>
            </w:pPr>
            <w:r>
              <w:rPr/>
              <w:t>Teach open versus closed in two minutes with the two ceremony questions. Pairs rewrite the six closed questions (workbook page 3); five minutes; compare across the room; then show the model answers. Live practice: three minutes each way on “What did you make of your own Initiation, all those years ago?” Debrief: what did it feel like to be asked properly?</w:t>
            </w:r>
          </w:p>
        </w:tc>
      </w:tr>
      <w:tr>
        <w:trPr>
          <w:cantSplit/>
        </w:trPr>
        <w:tc>
          <w:tcPr>
            <w:tcW w:type="dxa" w:w="1000"/>
          </w:tcPr>
          <w:p>
            <w:pPr>
              <w:spacing w:before="60" w:after="60"/>
            </w:pPr>
            <w:r>
              <w:rPr/>
              <w:t>1.00</w:t>
            </w:r>
          </w:p>
        </w:tc>
        <w:tc>
          <w:tcPr>
            <w:tcW w:type="dxa" w:w="2900"/>
          </w:tcPr>
          <w:p>
            <w:pPr>
              <w:spacing w:before="60" w:after="60"/>
            </w:pPr>
            <w:r>
              <w:rPr/>
              <w:t>Exercise 2: listening and the three-second rule (25 min)</w:t>
            </w:r>
          </w:p>
        </w:tc>
        <w:tc>
          <w:tcPr>
            <w:tcW w:type="dxa" w:w="5512"/>
          </w:tcPr>
          <w:p>
            <w:pPr>
              <w:spacing w:before="60" w:after="60"/>
            </w:pPr>
            <w:r>
              <w:rPr/>
              <w:t>Demonstrate bad listening for sixty seconds with a volunteer: interrupt, top his story, fill every pause. Let them laugh. Teach: listen for tone and hesitation, not only words; when silence falls, count to three before speaking; what he says next is usually the real answer. Pairs repeat Exercise 1 with the listener forbidden to speak except to ask one further question. Debrief: what did you hear the second time that you missed the first?</w:t>
            </w:r>
          </w:p>
        </w:tc>
      </w:tr>
      <w:tr>
        <w:trPr>
          <w:cantSplit/>
        </w:trPr>
        <w:tc>
          <w:tcPr>
            <w:tcW w:type="dxa" w:w="1000"/>
          </w:tcPr>
          <w:p>
            <w:pPr>
              <w:spacing w:before="60" w:after="60"/>
            </w:pPr>
            <w:r>
              <w:rPr/>
              <w:t>1.25</w:t>
            </w:r>
          </w:p>
        </w:tc>
        <w:tc>
          <w:tcPr>
            <w:tcW w:type="dxa" w:w="2900"/>
          </w:tcPr>
          <w:p>
            <w:pPr>
              <w:spacing w:before="60" w:after="60"/>
            </w:pPr>
            <w:r>
              <w:rPr/>
              <w:t>Exercise 3: scenarios (25 min)</w:t>
            </w:r>
          </w:p>
        </w:tc>
        <w:tc>
          <w:tcPr>
            <w:tcW w:type="dxa" w:w="5512"/>
          </w:tcPr>
          <w:p>
            <w:pPr>
              <w:spacing w:before="60" w:after="60"/>
            </w:pPr>
            <w:r>
              <w:rPr/>
              <w:t>Tables of four take one scenario each (workbook pages 5 to 6), ten minutes: tonight, this week, this month, and who else needs to know. Report back, two minutes a table. Draw out the four steps and the hand-offs on the Warning Signs card. Use the debrief keys in section 5.</w:t>
            </w:r>
          </w:p>
        </w:tc>
      </w:tr>
      <w:tr>
        <w:trPr>
          <w:cantSplit/>
        </w:trPr>
        <w:tc>
          <w:tcPr>
            <w:tcW w:type="dxa" w:w="1000"/>
          </w:tcPr>
          <w:p>
            <w:pPr>
              <w:spacing w:before="60" w:after="60"/>
            </w:pPr>
            <w:r>
              <w:rPr/>
              <w:t>1.50</w:t>
            </w:r>
          </w:p>
        </w:tc>
        <w:tc>
          <w:tcPr>
            <w:tcW w:type="dxa" w:w="2900"/>
          </w:tcPr>
          <w:p>
            <w:pPr>
              <w:spacing w:before="60" w:after="60"/>
            </w:pPr>
            <w:r>
              <w:rPr/>
              <w:t>The tools and the close (10 min)</w:t>
            </w:r>
          </w:p>
        </w:tc>
        <w:tc>
          <w:tcPr>
            <w:tcW w:type="dxa" w:w="5512"/>
          </w:tcPr>
          <w:p>
            <w:pPr>
              <w:spacing w:before="60" w:after="60"/>
            </w:pPr>
            <w:r>
              <w:rPr/>
              <w:t>Two minutes each on the Mentor Meeting Guide and the Stage Checklists: where they live, when to reach for them. Then the commitment: each participant writes one thing he will do differently with his mentee this month (workbook page 8) and says it aloud. Close on the four principles and “Family, Work, Masonry”.</w:t>
            </w:r>
          </w:p>
        </w:tc>
      </w:tr>
    </w:tbl>
    <w:p>
      <w:pPr>
        <w:spacing w:after="0"/>
      </w:pPr>
    </w:p>
    <w:p>
      <w:pPr>
        <w:pStyle w:val="Heading1"/>
      </w:pPr>
      <w:r>
        <w:rPr>
          <w:color w:val="FFFFFF"/>
          <w:shd w:val="clear" w:color="auto" w:fill="003668"/>
        </w:rPr>
        <w:t xml:space="preserve"> 4 </w:t>
      </w:r>
      <w:r>
        <w:t xml:space="preserve">  Scripts and teaching points</w:t>
      </w:r>
    </w:p>
    <w:p>
      <w:pPr>
        <w:pStyle w:val="Heading2"/>
      </w:pPr>
      <w:r>
        <w:t>The role in one sentence</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A Personal Mentor is a friend with a purpose.</w:t>
            </w:r>
            <w:r>
              <w:rPr>
                <w:color w:val="06345D"/>
              </w:rPr>
              <w:t xml:space="preserve"> Not an expert, not a teacher, not a ritualist: the person a new Brother can ring, message or sit next to without feeling he is bothering anyone.</w:t>
            </w:r>
          </w:p>
        </w:tc>
      </w:tr>
    </w:tbl>
    <w:p>
      <w:pPr>
        <w:spacing w:after="0"/>
      </w:pPr>
    </w:p>
    <w:p>
      <w:pPr>
        <w:pStyle w:val="Heading2"/>
      </w:pPr>
      <w:r>
        <w:t>Open versus closed</w:t>
      </w:r>
    </w:p>
    <w:p>
      <w:pPr>
        <w:spacing w:after="120"/>
      </w:pPr>
      <w:r>
        <w:rPr/>
        <w:t>“Did you enjoy the ceremony?” invites “yes”. “What did you make of tonight?” invites the truth. The test of an open question is that you cannot predict the answer. Most mentors ask closed questions out of kindness, to make it easy to answer. The kindness is in the open question, because it says: I want to know what you actually think.</w:t>
      </w:r>
    </w:p>
    <w:p>
      <w:pPr>
        <w:pStyle w:val="Heading2"/>
      </w:pPr>
      <w:r>
        <w:t>The three-second rule</w:t>
      </w:r>
    </w:p>
    <w:p>
      <w:pPr>
        <w:spacing w:after="120"/>
      </w:pPr>
      <w:r>
        <w:rPr/>
        <w:t>When silence falls, count to three before you speak. The mentee will usually fill it, and what he says then is the real answer. Most of us fill silence within a second because it feels awkward. The awkwardness is yours, not his; he is thinking.</w:t>
      </w:r>
    </w:p>
    <w:p>
      <w:pPr>
        <w:pStyle w:val="Heading2"/>
      </w:pPr>
      <w:r>
        <w:t>Coach, not counsellor</w:t>
      </w:r>
    </w:p>
    <w:p>
      <w:pPr>
        <w:spacing w:after="120"/>
      </w:pPr>
      <w:r>
        <w:rPr/>
        <w:t>If he tells you something that touches his health, money, family or safety, speak to the Lodge Almoner and the Lodge Mentor promptly. You are not expected to carry it alone, and he will be better served if you do not. Referring early is the skill, not the failure.</w:t>
      </w:r>
    </w:p>
    <w:p>
      <w:pPr>
        <w:pStyle w:val="Heading2"/>
      </w:pPr>
      <w:r>
        <w:t>The four steps, in one breath</w:t>
      </w:r>
    </w:p>
    <w:p>
      <w:pPr>
        <w:spacing w:after="120"/>
      </w:pPr>
      <w:r>
        <w:rPr/>
        <w:t>Personal Mentor first, warm and informal. Then the Lodge Mentor, who takes the overview and asks what the Lodge could change. Then the Worshipful Master, with the Almoner alongside for welfare. Then the Province. Most concerns end at step one and never look like a process.</w:t>
      </w:r>
    </w:p>
    <w:p>
      <w:pPr>
        <w:pStyle w:val="Heading1"/>
      </w:pPr>
      <w:r>
        <w:rPr>
          <w:color w:val="FFFFFF"/>
          <w:shd w:val="clear" w:color="auto" w:fill="003668"/>
        </w:rPr>
        <w:t xml:space="preserve"> 5 </w:t>
      </w:r>
      <w:r>
        <w:t xml:space="preserve">  Exercise materials and debrief keys</w:t>
      </w:r>
    </w:p>
    <w:p>
      <w:pPr>
        <w:pStyle w:val="Heading2"/>
      </w:pPr>
      <w:r>
        <w:t>Exercise 1: model answers (do not show until after the rewrite)</w:t>
      </w:r>
    </w:p>
    <w:tbl>
      <w:tblPr>
        <w:tblStyle w:val="MentoringTable"/>
        <w:tblW w:type="dxa" w:w="9412"/>
        <w:tblLayout w:type="fixed"/>
        <w:tblLook w:firstColumn="1" w:firstRow="0" w:lastColumn="0" w:lastRow="0" w:noHBand="1" w:noVBand="1" w:val="0680"/>
        <w:tblLayout w:type="fixed"/>
      </w:tblPr>
      <w:tblGrid>
        <w:gridCol w:w="4000"/>
        <w:gridCol w:w="5412"/>
      </w:tblGrid>
      <w:tr>
        <w:trPr>
          <w:cantSplit/>
        </w:trPr>
        <w:tc>
          <w:tcPr>
            <w:tcW w:type="dxa" w:w="4000"/>
          </w:tcPr>
          <w:p>
            <w:pPr>
              <w:spacing w:before="60" w:after="60"/>
            </w:pPr>
            <w:r>
              <w:rPr/>
              <w:t>“Did you enjoy the ceremony?”</w:t>
            </w:r>
          </w:p>
        </w:tc>
        <w:tc>
          <w:tcPr>
            <w:tcW w:type="dxa" w:w="5412"/>
          </w:tcPr>
          <w:p>
            <w:pPr>
              <w:spacing w:before="60" w:after="60"/>
            </w:pPr>
            <w:r>
              <w:rPr/>
              <w:t>What did you make of tonight?</w:t>
            </w:r>
          </w:p>
        </w:tc>
      </w:tr>
      <w:tr>
        <w:trPr>
          <w:cantSplit/>
        </w:trPr>
        <w:tc>
          <w:tcPr>
            <w:tcW w:type="dxa" w:w="4000"/>
          </w:tcPr>
          <w:p>
            <w:pPr>
              <w:spacing w:before="60" w:after="60"/>
            </w:pPr>
            <w:r>
              <w:rPr/>
              <w:t>“Are you settling in alright?”</w:t>
            </w:r>
          </w:p>
        </w:tc>
        <w:tc>
          <w:tcPr>
            <w:tcW w:type="dxa" w:w="5412"/>
          </w:tcPr>
          <w:p>
            <w:pPr>
              <w:spacing w:before="60" w:after="60"/>
            </w:pPr>
            <w:r>
              <w:rPr/>
              <w:t>What has surprised you most so far?</w:t>
            </w:r>
          </w:p>
        </w:tc>
      </w:tr>
      <w:tr>
        <w:trPr>
          <w:cantSplit/>
        </w:trPr>
        <w:tc>
          <w:tcPr>
            <w:tcW w:type="dxa" w:w="4000"/>
          </w:tcPr>
          <w:p>
            <w:pPr>
              <w:spacing w:before="60" w:after="60"/>
            </w:pPr>
            <w:r>
              <w:rPr/>
              <w:t>“Have you got any questions?”</w:t>
            </w:r>
          </w:p>
        </w:tc>
        <w:tc>
          <w:tcPr>
            <w:tcW w:type="dxa" w:w="5412"/>
          </w:tcPr>
          <w:p>
            <w:pPr>
              <w:spacing w:before="60" w:after="60"/>
            </w:pPr>
            <w:r>
              <w:rPr/>
              <w:t>What have you been wondering about that nobody has explained?</w:t>
            </w:r>
          </w:p>
        </w:tc>
      </w:tr>
      <w:tr>
        <w:trPr>
          <w:cantSplit/>
        </w:trPr>
        <w:tc>
          <w:tcPr>
            <w:tcW w:type="dxa" w:w="4000"/>
          </w:tcPr>
          <w:p>
            <w:pPr>
              <w:spacing w:before="60" w:after="60"/>
            </w:pPr>
            <w:r>
              <w:rPr/>
              <w:t>“Are you coming to the next meeting?”</w:t>
            </w:r>
          </w:p>
        </w:tc>
        <w:tc>
          <w:tcPr>
            <w:tcW w:type="dxa" w:w="5412"/>
          </w:tcPr>
          <w:p>
            <w:pPr>
              <w:spacing w:before="60" w:after="60"/>
            </w:pPr>
            <w:r>
              <w:rPr/>
              <w:t>What would make the next few months work well for you?</w:t>
            </w:r>
          </w:p>
        </w:tc>
      </w:tr>
      <w:tr>
        <w:trPr>
          <w:cantSplit/>
        </w:trPr>
        <w:tc>
          <w:tcPr>
            <w:tcW w:type="dxa" w:w="4000"/>
          </w:tcPr>
          <w:p>
            <w:pPr>
              <w:spacing w:before="60" w:after="60"/>
            </w:pPr>
            <w:r>
              <w:rPr/>
              <w:t>“Is the ritual learning going okay?”</w:t>
            </w:r>
          </w:p>
        </w:tc>
        <w:tc>
          <w:tcPr>
            <w:tcW w:type="dxa" w:w="5412"/>
          </w:tcPr>
          <w:p>
            <w:pPr>
              <w:spacing w:before="60" w:after="60"/>
            </w:pPr>
            <w:r>
              <w:rPr/>
              <w:t>How are you finding the learning, and what would help?</w:t>
            </w:r>
          </w:p>
        </w:tc>
      </w:tr>
      <w:tr>
        <w:trPr>
          <w:cantSplit/>
        </w:trPr>
        <w:tc>
          <w:tcPr>
            <w:tcW w:type="dxa" w:w="4000"/>
          </w:tcPr>
          <w:p>
            <w:pPr>
              <w:spacing w:before="60" w:after="60"/>
            </w:pPr>
            <w:r>
              <w:rPr/>
              <w:t>“Everything alright at home?”</w:t>
            </w:r>
          </w:p>
        </w:tc>
        <w:tc>
          <w:tcPr>
            <w:tcW w:type="dxa" w:w="5412"/>
          </w:tcPr>
          <w:p>
            <w:pPr>
              <w:spacing w:before="60" w:after="60"/>
            </w:pPr>
            <w:r>
              <w:rPr/>
              <w:t>How are things generally, with work and home, and how does Lodge fit around it all at the moment?</w:t>
            </w:r>
          </w:p>
        </w:tc>
      </w:tr>
    </w:tbl>
    <w:p>
      <w:pPr>
        <w:spacing w:after="0"/>
      </w:pPr>
    </w:p>
    <w:p>
      <w:pPr>
        <w:pStyle w:val="Heading2"/>
      </w:pPr>
      <w:r>
        <w:t>Exercise 3: debrief keys</w:t>
      </w:r>
    </w:p>
    <w:tbl>
      <w:tblPr>
        <w:tblStyle w:val="MentoringTable"/>
        <w:tblW w:type="dxa" w:w="9412"/>
        <w:tblLayout w:type="fixed"/>
        <w:tblLook w:firstColumn="1" w:firstRow="0" w:lastColumn="0" w:lastRow="0" w:noHBand="1" w:noVBand="1" w:val="0680"/>
        <w:tblLayout w:type="fixed"/>
      </w:tblPr>
      <w:tblGrid>
        <w:gridCol w:w="2600"/>
        <w:gridCol w:w="6812"/>
      </w:tblGrid>
      <w:tr>
        <w:trPr>
          <w:cantSplit/>
        </w:trPr>
        <w:tc>
          <w:tcPr>
            <w:tcW w:type="dxa" w:w="2600"/>
          </w:tcPr>
          <w:p>
            <w:pPr>
              <w:spacing w:before="60" w:after="60"/>
            </w:pPr>
            <w:r>
              <w:rPr/>
              <w:t>A  The overwhelmed Entered Apprentice</w:t>
            </w:r>
          </w:p>
        </w:tc>
        <w:tc>
          <w:tcPr>
            <w:tcW w:type="dxa" w:w="6812"/>
          </w:tcPr>
          <w:p>
            <w:pPr>
              <w:spacing w:before="60" w:after="60"/>
            </w:pPr>
            <w:r>
              <w:rPr/>
              <w:t>Normalise it: everyone felt this. Name the two shocks (unfamiliar sights, unfamiliar language). Book the one-to-one before the next meeting. Pace the information; do not try to explain everything in one go. Point him at the Initiate’s Guide and Welcome Apprentice on Solomon, together.</w:t>
            </w:r>
          </w:p>
        </w:tc>
      </w:tr>
      <w:tr>
        <w:trPr>
          <w:cantSplit/>
        </w:trPr>
        <w:tc>
          <w:tcPr>
            <w:tcW w:type="dxa" w:w="2600"/>
          </w:tcPr>
          <w:p>
            <w:pPr>
              <w:spacing w:before="60" w:after="60"/>
            </w:pPr>
            <w:r>
              <w:rPr/>
              <w:t>B  The quiet drift</w:t>
            </w:r>
          </w:p>
        </w:tc>
        <w:tc>
          <w:tcPr>
            <w:tcW w:type="dxa" w:w="6812"/>
          </w:tcPr>
          <w:p>
            <w:pPr>
              <w:spacing w:before="60" w:after="60"/>
            </w:pPr>
            <w:r>
              <w:rPr/>
              <w:t>His Personal Mentor or the best-placed friend rings within seven days of the second miss. Tone: “you were missed”, never “why weren’t you there”. The Treasurer’s signal goes to the Almoner and Lodge Mentor, not round the bar. Under-use is a likely cause: name it as a possibility. This is Step 1 of the four steps, and most concerns end here.</w:t>
            </w:r>
          </w:p>
        </w:tc>
      </w:tr>
      <w:tr>
        <w:trPr>
          <w:cantSplit/>
        </w:trPr>
        <w:tc>
          <w:tcPr>
            <w:tcW w:type="dxa" w:w="2600"/>
          </w:tcPr>
          <w:p>
            <w:pPr>
              <w:spacing w:before="60" w:after="60"/>
            </w:pPr>
            <w:r>
              <w:rPr/>
              <w:t>C  The ritual dread</w:t>
            </w:r>
          </w:p>
        </w:tc>
        <w:tc>
          <w:tcPr>
            <w:tcW w:type="dxa" w:w="6812"/>
          </w:tcPr>
          <w:p>
            <w:pPr>
              <w:spacing w:before="60" w:after="60"/>
            </w:pPr>
            <w:r>
              <w:rPr/>
              <w:t>Protect him from pressure in both directions. No office before he is ready, but explore what ready would need: the Lodge of Instruction, a small first piece, a shared office. His contribution is valid with or without ritual. Speak to the Lodge Mentor so the DC and WM know where he is, and so he is not left waiting either.</w:t>
            </w:r>
          </w:p>
        </w:tc>
      </w:tr>
      <w:tr>
        <w:trPr>
          <w:cantSplit/>
        </w:trPr>
        <w:tc>
          <w:tcPr>
            <w:tcW w:type="dxa" w:w="2600"/>
          </w:tcPr>
          <w:p>
            <w:pPr>
              <w:spacing w:before="60" w:after="60"/>
            </w:pPr>
            <w:r>
              <w:rPr/>
              <w:t>D  The eager recruiter</w:t>
            </w:r>
          </w:p>
        </w:tc>
        <w:tc>
          <w:tcPr>
            <w:tcW w:type="dxa" w:w="6812"/>
          </w:tcPr>
          <w:p>
            <w:pPr>
              <w:spacing w:before="60" w:after="60"/>
            </w:pPr>
            <w:r>
              <w:rPr/>
              <w:t>Rescue him in the moment with grace: a change of subject, a drink to fetch, a Brother he must meet. Never embarrass the senior Brother publicly. Afterwards, reaffirm: information, not recruitment; the decision and its timing are his alone; the Royal Arch Representative is the person to talk to when he is ready. A quiet word via the Lodge Mentor if it recurs.</w:t>
            </w:r>
          </w:p>
        </w:tc>
      </w:tr>
    </w:tbl>
    <w:p>
      <w:pPr>
        <w:spacing w:after="0"/>
      </w:pPr>
    </w:p>
    <w:p>
      <w:pPr>
        <w:pStyle w:val="Heading1"/>
      </w:pPr>
      <w:r>
        <w:rPr>
          <w:color w:val="FFFFFF"/>
          <w:shd w:val="clear" w:color="auto" w:fill="003668"/>
        </w:rPr>
        <w:t xml:space="preserve"> 6 </w:t>
      </w:r>
      <w:r>
        <w:t xml:space="preserve">  Materials checklist</w:t>
      </w:r>
    </w:p>
    <w:tbl>
      <w:tblPr>
        <w:tblStyle w:val="MentoringTable"/>
        <w:tblW w:type="dxa" w:w="9412"/>
        <w:tblLayout w:type="fixed"/>
        <w:tblLook w:firstColumn="1" w:firstRow="0" w:lastColumn="0" w:lastRow="0" w:noHBand="1" w:noVBand="1" w:val="0680"/>
        <w:tblLayout w:type="fixed"/>
      </w:tblPr>
      <w:tblGrid>
        <w:gridCol w:w="1600"/>
        <w:gridCol w:w="7812"/>
      </w:tblGrid>
      <w:tr>
        <w:trPr>
          <w:cantSplit/>
        </w:trPr>
        <w:tc>
          <w:tcPr>
            <w:tcW w:type="dxa" w:w="1600"/>
          </w:tcPr>
          <w:p>
            <w:pPr>
              <w:spacing w:before="60" w:after="60"/>
            </w:pPr>
            <w:r>
              <w:rPr/>
              <w:t>Bring</w:t>
            </w:r>
          </w:p>
        </w:tc>
        <w:tc>
          <w:tcPr>
            <w:tcW w:type="dxa" w:w="7812"/>
          </w:tcPr>
          <w:p>
            <w:pPr>
              <w:pStyle w:val="ListBullet"/>
              <w:spacing w:after="40" w:before="0"/>
            </w:pPr>
            <w:r>
              <w:rPr/>
              <w:t>Workbook, one per participant, printed single-sided for writing</w:t>
            </w:r>
          </w:p>
          <w:p>
            <w:pPr>
              <w:pStyle w:val="ListBullet"/>
              <w:spacing w:after="40" w:before="0"/>
            </w:pPr>
            <w:r>
              <w:rPr/>
              <w:t>Library set per table: Personal Mentor’s Short Guide, Mentor Meeting Guide, Stage Checklists, Warning Signs card, the Principles page</w:t>
            </w:r>
          </w:p>
          <w:p>
            <w:pPr>
              <w:pStyle w:val="ListBullet"/>
              <w:spacing w:after="40" w:before="0"/>
            </w:pPr>
            <w:r>
              <w:rPr/>
              <w:t>Slides on a screen if the room has one; the course runs without them</w:t>
            </w:r>
          </w:p>
          <w:p>
            <w:pPr>
              <w:pStyle w:val="ListBullet"/>
              <w:spacing w:after="40" w:before="0"/>
            </w:pPr>
            <w:r>
              <w:rPr/>
              <w:t>Flipchart and pens; name badges; a volunteer briefed for the bad-listening demonstration</w:t>
            </w:r>
          </w:p>
        </w:tc>
      </w:tr>
    </w:tbl>
    <w:p>
      <w:pPr>
        <w:spacing w:after="0"/>
      </w:pPr>
    </w:p>
    <w:p>
      <w:pPr>
        <w:pStyle w:val="Heading1"/>
      </w:pPr>
      <w:r>
        <w:rPr>
          <w:color w:val="FFFFFF"/>
          <w:shd w:val="clear" w:color="auto" w:fill="003668"/>
        </w:rPr>
        <w:t xml:space="preserve"> 7 </w:t>
      </w:r>
      <w:r>
        <w:t xml:space="preserve">  After the course</w:t>
      </w:r>
    </w:p>
    <w:p>
      <w:pPr>
        <w:pStyle w:val="ListBullet"/>
      </w:pPr>
      <w:r>
        <w:rPr/>
        <w:t>Names of attendees to each Lodge Mentor and APGMen; attendance noted on the Provincial register.</w:t>
      </w:r>
    </w:p>
    <w:p>
      <w:pPr>
        <w:pStyle w:val="ListBullet"/>
      </w:pPr>
      <w:r>
        <w:rPr/>
        <w:t>Every attendee added to DAWG and told about the monthly mentoring call: first Tuesday, 7pm, Teams.</w:t>
      </w:r>
    </w:p>
    <w:p>
      <w:pPr>
        <w:pStyle w:val="ListBullet"/>
      </w:pPr>
      <w:r>
        <w:rPr/>
        <w:t>One month on, a message from the facilitator to each attendee: “What did you try, and what happened?” It models the habit the course teaches.</w:t>
      </w:r>
    </w:p>
    <w:p>
      <w:pPr>
        <w:pStyle w:val="ListBullet"/>
      </w:pPr>
      <w:r>
        <w:rPr/>
        <w:t>Feedback captured on one question: what will you do differently? Collate it for the next issue of this guide.</w:t>
      </w:r>
    </w:p>
    <w:p>
      <w:pPr>
        <w:spacing w:after="0" w:before="80"/>
      </w:pPr>
      <w:r>
        <w:rPr>
          <w:color w:val="06345D"/>
          <w:sz w:val="17"/>
        </w:rPr>
        <w:t>Provincial Office, Fleet House, 10 Parkway, St Albans AL3 6PA · 01727 833061 · www.pgherts.org · solomon.ugle.org.uk  |  Companion to: Personal Mentor Course Workbook · Personal Mentor Course slides · Personal Mentor’s Short Guide · Mentor Meeting Guide · Warning Signs card  |  ©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Personal Mentor Course · Facilitator Guide</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