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umentType"/>
      </w:pPr>
      <w:r>
        <w:rPr/>
        <w:t>Training and development · E2a</w:t>
      </w:r>
    </w:p>
    <w:p>
      <w:pPr>
        <w:pStyle w:val="Title"/>
      </w:pPr>
      <w:r>
        <w:rPr/>
        <w:t>Personal Mentor Course Workbook</w:t>
      </w:r>
    </w:p>
    <w:p>
      <w:pPr>
        <w:pStyle w:val="PurposeStatement"/>
      </w:pPr>
      <w:r>
        <w:rPr/>
        <w:t>Your workbook for the Province’s Personal Mentor course. Bring it to the session, write in it, and keep it: the exercises are the ones you will use with your mentee.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041"/>
        <w:gridCol w:w="7371"/>
      </w:tblGrid>
      <w:tr>
        <w:trPr>
          <w:cantSplit/>
        </w:trPr>
        <w:tc>
          <w:tcPr>
            <w:tcW w:type="dxa" w:w="2041"/>
          </w:tcPr>
          <w:p>
            <w:pPr>
              <w:spacing w:before="60" w:after="60"/>
            </w:pPr>
            <w:r>
              <w:rPr/>
              <w:t>Participant</w:t>
            </w:r>
          </w:p>
        </w:tc>
        <w:tc>
          <w:tcPr>
            <w:tcW w:type="dxa" w:w="7371"/>
          </w:tcPr>
          <w:p>
            <w:pPr>
              <w:spacing w:before="60" w:after="60"/>
            </w:pPr>
            <w:r>
              <w:rPr/>
              <w:t>Name:  ______________________________     Lodge:  ______________________________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/>
            </w:pPr>
            <w:r>
              <w:rPr/>
              <w:t>Delivered by</w:t>
            </w:r>
          </w:p>
        </w:tc>
        <w:tc>
          <w:tcPr>
            <w:tcW w:type="dxa" w:w="7371"/>
          </w:tcPr>
          <w:p>
            <w:pPr>
              <w:spacing w:before="60" w:after="60"/>
            </w:pPr>
            <w:r>
              <w:rPr/>
              <w:t>W Bro Wes Pierce, Deputy Provincial Grand Mentor · Issue 1, October 2026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FFFFFF"/>
          <w:shd w:val="clear" w:color="auto" w:fill="003668"/>
        </w:rPr>
        <w:t xml:space="preserve"> 1 </w:t>
      </w:r>
      <w:r>
        <w:t xml:space="preserve">  The story of a man we lost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003668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7FC"/>
          </w:tcPr>
          <w:p>
            <w:pPr>
              <w:spacing w:after="40" w:before="40"/>
            </w:pPr>
            <w:r>
              <w:rPr>
                <w:color w:val="06345D"/>
              </w:rPr>
              <w:t>“I joined at thirty-four, proposed by a colleague I liked. My Initiation was extraordinary; I drove home buzzing. Then came my second meeting: nobody had told me it was mainly business, and I sat at dinner next to two men who talked across me all night about people I didn’t know. At my first rehearsal evening I was told after ten minutes there was nothing for me and I should get off home. Work went mad that spring; I missed two meetings. Nobody rang. When I came back, someone at the bar said, ‘Well, look who’s remembered where we meet.’ Everyone laughed. I laughed too. My subscription renewal came in January with a letter that read like a final demand. I paid it, and then I sat down one Sunday and wrote a different letter. The Secretary’s reply was very polite. It said my resignation had been received and would be reported to the Lodge. Nobody ever asked me why.”</w:t>
            </w:r>
          </w:p>
        </w:tc>
      </w:tr>
    </w:tbl>
    <w:p>
      <w:pPr>
        <w:spacing w:after="0"/>
      </w:pPr>
    </w:p>
    <w:p>
      <w:pPr>
        <w:keepNext/>
        <w:spacing w:after="80"/>
      </w:pPr>
      <w:r>
        <w:rPr>
          <w:b/>
        </w:rPr>
        <w:t>Where were the moments this could have been turned around?</w:t>
      </w:r>
      <w:r>
        <w:rPr/>
        <w:t xml:space="preserve"> Mark them in the story and list them here.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single" w:sz="4" w:space="0" w:color="9FB3C8"/>
          <w:right w:val="nil" w:sz="0" w:space="0" w:color="auto"/>
          <w:insideH w:val="single" w:sz="4" w:space="0" w:color="9FB3C8"/>
          <w:insideV w:val="nil" w:sz="0" w:space="0" w:color="auto"/>
        </w:tblBorders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9412"/>
      </w:tblGrid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</w:tbl>
    <w:p>
      <w:pPr>
        <w:spacing w:after="0"/>
      </w:pPr>
    </w:p>
    <w:p>
      <w:pPr>
        <w:pStyle w:val="Heading1"/>
      </w:pPr>
      <w:r>
        <w:rPr>
          <w:color w:val="FFFFFF"/>
          <w:shd w:val="clear" w:color="auto" w:fill="003668"/>
        </w:rPr>
        <w:t xml:space="preserve"> 2 </w:t>
      </w:r>
      <w:r>
        <w:t xml:space="preserve">  What the role is, and is not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Your role is</w:t>
            </w:r>
          </w:p>
        </w:tc>
        <w:tc>
          <w:tcPr>
            <w:tcW w:type="dxa" w:w="4706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Your role is not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pStyle w:val="ListBullet"/>
              <w:spacing w:after="40" w:before="0"/>
            </w:pPr>
            <w:r>
              <w:rPr/>
              <w:t>His first point of contact for any question</w:t>
            </w:r>
          </w:p>
          <w:p>
            <w:pPr>
              <w:pStyle w:val="ListBullet"/>
              <w:spacing w:after="40" w:before="0"/>
            </w:pPr>
            <w:r>
              <w:rPr/>
              <w:t>Someone who keeps in touch between meetings</w:t>
            </w:r>
          </w:p>
          <w:p>
            <w:pPr>
              <w:pStyle w:val="ListBullet"/>
              <w:spacing w:after="40" w:before="0"/>
            </w:pPr>
            <w:r>
              <w:rPr/>
              <w:t>A listener who notices when something changes</w:t>
            </w:r>
          </w:p>
          <w:p>
            <w:pPr>
              <w:pStyle w:val="ListBullet"/>
              <w:spacing w:after="40" w:before="0"/>
            </w:pPr>
            <w:r>
              <w:rPr/>
              <w:t>His bridge to the Lodge and the Province</w:t>
            </w:r>
          </w:p>
        </w:tc>
        <w:tc>
          <w:tcPr>
            <w:tcW w:type="dxa" w:w="4706"/>
          </w:tcPr>
          <w:p>
            <w:pPr>
              <w:pStyle w:val="ListBullet"/>
              <w:spacing w:after="40" w:before="0"/>
            </w:pPr>
            <w:r>
              <w:rPr/>
              <w:t>The only person who can help him</w:t>
            </w:r>
          </w:p>
          <w:p>
            <w:pPr>
              <w:pStyle w:val="ListBullet"/>
              <w:spacing w:after="40" w:before="0"/>
            </w:pPr>
            <w:r>
              <w:rPr/>
              <w:t>A ritual coach; that is the Lodge of Instruction</w:t>
            </w:r>
          </w:p>
          <w:p>
            <w:pPr>
              <w:pStyle w:val="ListBullet"/>
              <w:spacing w:after="40" w:before="0"/>
            </w:pPr>
            <w:r>
              <w:rPr/>
              <w:t>Someone who monitors or reports on him</w:t>
            </w:r>
          </w:p>
          <w:p>
            <w:pPr>
              <w:pStyle w:val="ListBullet"/>
              <w:spacing w:after="40" w:before="0"/>
            </w:pPr>
            <w:r>
              <w:rPr/>
              <w:t>A replacement for the Lodge Mentor, who co-ordinates</w:t>
            </w:r>
          </w:p>
        </w:tc>
      </w:tr>
    </w:tbl>
    <w:p>
      <w:pPr>
        <w:spacing w:after="0"/>
      </w:pPr>
    </w:p>
    <w:p>
      <w:pPr>
        <w:keepNext/>
        <w:spacing w:after="120"/>
      </w:pPr>
      <w:r>
        <w:rPr>
          <w:b/>
        </w:rPr>
        <w:t>The four principles.</w:t>
      </w:r>
      <w:r>
        <w:rPr/>
        <w:t xml:space="preserve"> Defined once in </w:t>
      </w:r>
      <w:r>
        <w:rPr>
          <w:i/>
        </w:rPr>
        <w:t>The Hertfordshire Mentoring Principles</w:t>
      </w:r>
      <w:r>
        <w:rPr/>
        <w:t>. They run together, all the time. They are not stages.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single" w:sz="12" w:space="0" w:color="FFFFFF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53"/>
            <w:shd w:val="clear" w:color="auto" w:fill="003668"/>
          </w:tcPr>
          <w:p>
            <w:pPr>
              <w:spacing w:after="0" w:before="0"/>
            </w:pPr>
            <w:r>
              <w:rPr>
                <w:b/>
                <w:color w:val="8FD3D1"/>
                <w:sz w:val="22"/>
              </w:rPr>
              <w:t xml:space="preserve">1  </w:t>
            </w:r>
            <w:r>
              <w:rPr>
                <w:b/>
                <w:color w:val="FFFFFF"/>
                <w:sz w:val="22"/>
              </w:rPr>
              <w:t>PREPARE</w:t>
            </w:r>
          </w:p>
        </w:tc>
        <w:tc>
          <w:tcPr>
            <w:tcW w:type="dxa" w:w="2353"/>
            <w:shd w:val="clear" w:color="auto" w:fill="0A4F72"/>
          </w:tcPr>
          <w:p>
            <w:pPr>
              <w:spacing w:after="0" w:before="0"/>
            </w:pPr>
            <w:r>
              <w:rPr>
                <w:b/>
                <w:color w:val="8FD3D1"/>
                <w:sz w:val="22"/>
              </w:rPr>
              <w:t xml:space="preserve">2  </w:t>
            </w:r>
            <w:r>
              <w:rPr>
                <w:b/>
                <w:color w:val="FFFFFF"/>
                <w:sz w:val="22"/>
              </w:rPr>
              <w:t>GUIDE</w:t>
            </w:r>
          </w:p>
        </w:tc>
        <w:tc>
          <w:tcPr>
            <w:tcW w:type="dxa" w:w="2353"/>
            <w:shd w:val="clear" w:color="auto" w:fill="106576"/>
          </w:tcPr>
          <w:p>
            <w:pPr>
              <w:spacing w:after="0" w:before="0"/>
            </w:pPr>
            <w:r>
              <w:rPr>
                <w:b/>
                <w:color w:val="8FD3D1"/>
                <w:sz w:val="22"/>
              </w:rPr>
              <w:t xml:space="preserve">3  </w:t>
            </w:r>
            <w:r>
              <w:rPr>
                <w:b/>
                <w:color w:val="FFFFFF"/>
                <w:sz w:val="22"/>
              </w:rPr>
              <w:t>SUPPORT</w:t>
            </w:r>
          </w:p>
        </w:tc>
        <w:tc>
          <w:tcPr>
            <w:tcW w:type="dxa" w:w="2353"/>
            <w:shd w:val="clear" w:color="auto" w:fill="157A7C"/>
          </w:tcPr>
          <w:p>
            <w:pPr>
              <w:spacing w:after="0" w:before="0"/>
            </w:pPr>
            <w:r>
              <w:rPr>
                <w:b/>
                <w:color w:val="8FD3D1"/>
                <w:sz w:val="22"/>
              </w:rPr>
              <w:t xml:space="preserve">4  </w:t>
            </w:r>
            <w:r>
              <w:rPr>
                <w:b/>
                <w:color w:val="FFFFFF"/>
                <w:sz w:val="22"/>
              </w:rPr>
              <w:t>ENLIGHTEN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2F7FC"/>
          </w:tcPr>
          <w:p>
            <w:pPr>
              <w:spacing w:after="0" w:before="0"/>
            </w:pPr>
            <w:r>
              <w:rPr>
                <w:color w:val="06345D"/>
                <w:sz w:val="19"/>
              </w:rPr>
              <w:t>Ready for each stage before it happens. No surprises.</w:t>
            </w:r>
          </w:p>
        </w:tc>
        <w:tc>
          <w:tcPr>
            <w:tcW w:type="dxa" w:w="2353"/>
            <w:shd w:val="clear" w:color="auto" w:fill="F2F7FC"/>
          </w:tcPr>
          <w:p>
            <w:pPr>
              <w:spacing w:after="0" w:before="0"/>
            </w:pPr>
            <w:r>
              <w:rPr>
                <w:color w:val="06345D"/>
                <w:sz w:val="19"/>
              </w:rPr>
              <w:t>Accurate, honest, timely information. Never dependency.</w:t>
            </w:r>
          </w:p>
        </w:tc>
        <w:tc>
          <w:tcPr>
            <w:tcW w:type="dxa" w:w="2353"/>
            <w:shd w:val="clear" w:color="auto" w:fill="F2F7FC"/>
          </w:tcPr>
          <w:p>
            <w:pPr>
              <w:spacing w:after="0" w:before="0"/>
            </w:pPr>
            <w:r>
              <w:rPr>
                <w:color w:val="06345D"/>
                <w:sz w:val="19"/>
              </w:rPr>
              <w:t>Present, responsive, compassionate. “How can we help?”</w:t>
            </w:r>
          </w:p>
        </w:tc>
        <w:tc>
          <w:tcPr>
            <w:tcW w:type="dxa" w:w="2353"/>
            <w:shd w:val="clear" w:color="auto" w:fill="F2F7FC"/>
          </w:tcPr>
          <w:p>
            <w:pPr>
              <w:spacing w:after="0" w:before="0"/>
            </w:pPr>
            <w:r>
              <w:rPr>
                <w:color w:val="06345D"/>
                <w:sz w:val="19"/>
              </w:rPr>
              <w:t>Understanding, curiosity and enjoyment, for life.</w:t>
            </w:r>
          </w:p>
        </w:tc>
      </w:tr>
    </w:tbl>
    <w:p>
      <w:pPr>
        <w:spacing w:after="0"/>
      </w:pP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F2F2"/>
          </w:tcPr>
          <w:p>
            <w:pPr>
              <w:spacing w:after="40" w:before="40"/>
            </w:pPr>
            <w:r>
              <w:rPr>
                <w:b/>
                <w:color w:val="06345D"/>
              </w:rPr>
              <w:t>Coach, not counsellor.</w:t>
            </w:r>
            <w:r>
              <w:rPr>
                <w:color w:val="06345D"/>
              </w:rPr>
              <w:t xml:space="preserve"> If he tells you something that touches his health, money, family or safety, speak to the Lodge Almoner and the Lodge Mentor promptly. Referring early is the skill, not the failure.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FFFFFF"/>
          <w:shd w:val="clear" w:color="auto" w:fill="003668"/>
        </w:rPr>
        <w:t xml:space="preserve"> 3 </w:t>
      </w:r>
      <w:r>
        <w:t xml:space="preserve">  Exercise 1: questions that open doors</w:t>
      </w:r>
    </w:p>
    <w:p>
      <w:pPr>
        <w:spacing w:after="120"/>
      </w:pPr>
      <w:r>
        <w:rPr/>
        <w:t>A closed question invites a one-word answer. An open question invites the truth. Rewrite each of these so that you could not predict the answer.</w:t>
      </w:r>
    </w:p>
    <w:tbl>
      <w:tblPr>
        <w:tblStyle w:val="MentoringTable"/>
        <w:tblW w:type="dxa" w:w="9412"/>
        <w:tblLayout w:type="fixed"/>
        <w:tblLook w:firstColumn="0" w:firstRow="1" w:lastColumn="0" w:lastRow="0" w:noHBand="1" w:noVBand="1" w:val="0620"/>
        <w:tblLayout w:type="fixed"/>
      </w:tblPr>
      <w:tblGrid>
        <w:gridCol w:w="4000"/>
        <w:gridCol w:w="5412"/>
      </w:tblGrid>
      <w:tr>
        <w:trPr>
          <w:cantSplit/>
        </w:trPr>
        <w:tc>
          <w:tcPr>
            <w:tcW w:type="dxa" w:w="4000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Closed</w:t>
            </w:r>
          </w:p>
        </w:tc>
        <w:tc>
          <w:tcPr>
            <w:tcW w:type="dxa" w:w="5412"/>
            <w:shd w:val="clear" w:color="auto" w:fill="003668"/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</w:rPr>
              <w:t>Your open version</w:t>
            </w:r>
          </w:p>
        </w:tc>
      </w:tr>
      <w:tr>
        <w:trPr>
          <w:trHeight w:val="560" w:hRule="atLeast"/>
          <w:cantSplit/>
        </w:trPr>
        <w:tc>
          <w:tcPr>
            <w:tcW w:type="dxa" w:w="4000"/>
          </w:tcPr>
          <w:p>
            <w:pPr>
              <w:spacing w:before="60" w:after="60"/>
            </w:pPr>
            <w:r>
              <w:rPr/>
              <w:t>“Did you enjoy the ceremony?”</w:t>
            </w:r>
          </w:p>
        </w:tc>
        <w:tc>
          <w:tcPr>
            <w:tcW w:type="dxa" w:w="5412"/>
          </w:tcPr>
          <w:p>
            <w:pPr>
              <w:spacing w:before="60" w:after="60"/>
            </w:pPr>
          </w:p>
        </w:tc>
      </w:tr>
      <w:tr>
        <w:trPr>
          <w:trHeight w:val="560" w:hRule="atLeast"/>
          <w:cantSplit/>
        </w:trPr>
        <w:tc>
          <w:tcPr>
            <w:tcW w:type="dxa" w:w="4000"/>
          </w:tcPr>
          <w:p>
            <w:pPr>
              <w:spacing w:before="60" w:after="60"/>
            </w:pPr>
            <w:r>
              <w:rPr/>
              <w:t>“Are you settling in alright?”</w:t>
            </w:r>
          </w:p>
        </w:tc>
        <w:tc>
          <w:tcPr>
            <w:tcW w:type="dxa" w:w="5412"/>
          </w:tcPr>
          <w:p>
            <w:pPr>
              <w:spacing w:before="60" w:after="60"/>
            </w:pPr>
          </w:p>
        </w:tc>
      </w:tr>
      <w:tr>
        <w:trPr>
          <w:trHeight w:val="560" w:hRule="atLeast"/>
          <w:cantSplit/>
        </w:trPr>
        <w:tc>
          <w:tcPr>
            <w:tcW w:type="dxa" w:w="4000"/>
          </w:tcPr>
          <w:p>
            <w:pPr>
              <w:spacing w:before="60" w:after="60"/>
            </w:pPr>
            <w:r>
              <w:rPr/>
              <w:t>“Have you got any questions?”</w:t>
            </w:r>
          </w:p>
        </w:tc>
        <w:tc>
          <w:tcPr>
            <w:tcW w:type="dxa" w:w="5412"/>
          </w:tcPr>
          <w:p>
            <w:pPr>
              <w:spacing w:before="60" w:after="60"/>
            </w:pPr>
          </w:p>
        </w:tc>
      </w:tr>
      <w:tr>
        <w:trPr>
          <w:trHeight w:val="560" w:hRule="atLeast"/>
          <w:cantSplit/>
        </w:trPr>
        <w:tc>
          <w:tcPr>
            <w:tcW w:type="dxa" w:w="4000"/>
          </w:tcPr>
          <w:p>
            <w:pPr>
              <w:spacing w:before="60" w:after="60"/>
            </w:pPr>
            <w:r>
              <w:rPr/>
              <w:t>“Are you coming to the next meeting?”</w:t>
            </w:r>
          </w:p>
        </w:tc>
        <w:tc>
          <w:tcPr>
            <w:tcW w:type="dxa" w:w="5412"/>
          </w:tcPr>
          <w:p>
            <w:pPr>
              <w:spacing w:before="60" w:after="60"/>
            </w:pPr>
          </w:p>
        </w:tc>
      </w:tr>
      <w:tr>
        <w:trPr>
          <w:trHeight w:val="560" w:hRule="atLeast"/>
          <w:cantSplit/>
        </w:trPr>
        <w:tc>
          <w:tcPr>
            <w:tcW w:type="dxa" w:w="4000"/>
          </w:tcPr>
          <w:p>
            <w:pPr>
              <w:spacing w:before="60" w:after="60"/>
            </w:pPr>
            <w:r>
              <w:rPr/>
              <w:t>“Is the ritual learning going okay?”</w:t>
            </w:r>
          </w:p>
        </w:tc>
        <w:tc>
          <w:tcPr>
            <w:tcW w:type="dxa" w:w="5412"/>
          </w:tcPr>
          <w:p>
            <w:pPr>
              <w:spacing w:before="60" w:after="60"/>
            </w:pPr>
          </w:p>
        </w:tc>
      </w:tr>
      <w:tr>
        <w:trPr>
          <w:trHeight w:val="560" w:hRule="atLeast"/>
          <w:cantSplit/>
        </w:trPr>
        <w:tc>
          <w:tcPr>
            <w:tcW w:type="dxa" w:w="4000"/>
          </w:tcPr>
          <w:p>
            <w:pPr>
              <w:spacing w:before="60" w:after="60"/>
            </w:pPr>
            <w:r>
              <w:rPr/>
              <w:t>“Everything alright at home?”</w:t>
            </w:r>
          </w:p>
        </w:tc>
        <w:tc>
          <w:tcPr>
            <w:tcW w:type="dxa" w:w="5412"/>
          </w:tcPr>
          <w:p>
            <w:pPr>
              <w:spacing w:before="60" w:after="60"/>
            </w:pPr>
          </w:p>
        </w:tc>
      </w:tr>
    </w:tbl>
    <w:p>
      <w:pPr>
        <w:spacing w:after="0"/>
      </w:pPr>
    </w:p>
    <w:p>
      <w:pPr>
        <w:keepNext/>
        <w:spacing w:after="80"/>
      </w:pPr>
      <w:r>
        <w:rPr>
          <w:b/>
        </w:rPr>
        <w:t>Live practice, three minutes each way.</w:t>
      </w:r>
      <w:r>
        <w:rPr/>
        <w:t xml:space="preserve"> Ask your partner: </w:t>
      </w:r>
      <w:r>
        <w:rPr>
          <w:i/>
        </w:rPr>
        <w:t>“What did you make of your own Initiation, all those years ago?”</w:t>
      </w:r>
      <w:r>
        <w:rPr/>
        <w:t xml:space="preserve"> Then listen. Note one thing he said that you would not have guessed.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single" w:sz="4" w:space="0" w:color="9FB3C8"/>
          <w:right w:val="nil" w:sz="0" w:space="0" w:color="auto"/>
          <w:insideH w:val="single" w:sz="4" w:space="0" w:color="9FB3C8"/>
          <w:insideV w:val="nil" w:sz="0" w:space="0" w:color="auto"/>
        </w:tblBorders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9412"/>
      </w:tblGrid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</w:tbl>
    <w:p>
      <w:pPr>
        <w:spacing w:after="0"/>
      </w:pPr>
    </w:p>
    <w:p>
      <w:pPr>
        <w:pStyle w:val="Heading1"/>
      </w:pPr>
      <w:r>
        <w:rPr>
          <w:color w:val="FFFFFF"/>
          <w:shd w:val="clear" w:color="auto" w:fill="003668"/>
        </w:rPr>
        <w:t xml:space="preserve"> 4 </w:t>
      </w:r>
      <w:r>
        <w:t xml:space="preserve">  Exercise 2: listening, and the three-second rule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003668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7FC"/>
          </w:tcPr>
          <w:p>
            <w:pPr>
              <w:spacing w:after="40" w:before="40"/>
            </w:pPr>
            <w:r>
              <w:rPr>
                <w:b/>
                <w:color w:val="06345D"/>
              </w:rPr>
              <w:t>The rule.</w:t>
            </w:r>
            <w:r>
              <w:rPr>
                <w:color w:val="06345D"/>
              </w:rPr>
              <w:t xml:space="preserve"> When silence falls, count to three before you speak. He will usually fill it, and what he says then is the real answer.</w:t>
            </w:r>
          </w:p>
          <w:p>
            <w:pPr>
              <w:spacing w:after="40" w:before="40"/>
            </w:pPr>
            <w:r>
              <w:rPr>
                <w:b/>
                <w:color w:val="06345D"/>
              </w:rPr>
              <w:t>Listen for</w:t>
            </w:r>
            <w:r>
              <w:rPr>
                <w:color w:val="06345D"/>
              </w:rPr>
              <w:t xml:space="preserve"> tone, hesitation, what he returns to, and what he does not say.</w:t>
            </w:r>
          </w:p>
        </w:tc>
      </w:tr>
    </w:tbl>
    <w:p>
      <w:pPr>
        <w:spacing w:after="0"/>
      </w:pPr>
    </w:p>
    <w:p>
      <w:pPr>
        <w:keepNext/>
        <w:spacing w:after="80"/>
      </w:pPr>
      <w:r>
        <w:rPr/>
        <w:t>Repeat the conversation from Exercise 1. This time the listener may say nothing except to ask one further question. Afterwards:</w:t>
      </w:r>
    </w:p>
    <w:p>
      <w:pPr>
        <w:keepNext/>
        <w:spacing w:after="80"/>
      </w:pPr>
      <w:r>
        <w:rPr>
          <w:b/>
        </w:rPr>
        <w:t>What did you hear the second time that you missed the first?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single" w:sz="4" w:space="0" w:color="9FB3C8"/>
          <w:right w:val="nil" w:sz="0" w:space="0" w:color="auto"/>
          <w:insideH w:val="single" w:sz="4" w:space="0" w:color="9FB3C8"/>
          <w:insideV w:val="nil" w:sz="0" w:space="0" w:color="auto"/>
        </w:tblBorders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9412"/>
      </w:tblGrid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</w:tbl>
    <w:p>
      <w:pPr>
        <w:spacing w:after="0"/>
      </w:pPr>
    </w:p>
    <w:p>
      <w:pPr>
        <w:pStyle w:val="Heading1"/>
      </w:pPr>
      <w:r>
        <w:rPr>
          <w:color w:val="FFFFFF"/>
          <w:shd w:val="clear" w:color="auto" w:fill="003668"/>
        </w:rPr>
        <w:t xml:space="preserve"> 5 </w:t>
      </w:r>
      <w:r>
        <w:t xml:space="preserve">  Exercise 3: scenarios</w:t>
      </w:r>
    </w:p>
    <w:p>
      <w:pPr>
        <w:spacing w:after="120"/>
      </w:pPr>
      <w:r>
        <w:rPr/>
        <w:t xml:space="preserve">Your table takes one scenario. Ten minutes. What would you do </w:t>
      </w:r>
      <w:r>
        <w:rPr>
          <w:b/>
        </w:rPr>
        <w:t>tonight, this week, this month</w:t>
      </w:r>
      <w:r>
        <w:rPr/>
        <w:t xml:space="preserve">, and </w:t>
      </w:r>
      <w:r>
        <w:rPr>
          <w:b/>
        </w:rPr>
        <w:t>who else needs to know</w:t>
      </w:r>
      <w:r>
        <w:rPr/>
        <w:t>?</w:t>
      </w:r>
    </w:p>
    <w:p>
      <w:pPr>
        <w:pStyle w:val="Heading2"/>
      </w:pPr>
      <w:r>
        <w:t>Scenario A: The overwhelmed Entered Apprentice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7FC"/>
          </w:tcPr>
          <w:p>
            <w:pPr>
              <w:spacing w:after="40" w:before="40"/>
            </w:pPr>
            <w:r>
              <w:rPr>
                <w:color w:val="06345D"/>
              </w:rPr>
              <w:t>Your mentee, initiated two months ago, says at the Festive Board: “Honestly, I still haven’t a clue what’s going on in there. Everyone else seems to just know.” He is smiling, but he has said it twice now.</w:t>
            </w:r>
          </w:p>
          <w:p>
            <w:pPr>
              <w:spacing w:after="40" w:before="40"/>
            </w:pPr>
            <w:r>
              <w:rPr>
                <w:b/>
                <w:color w:val="06345D"/>
              </w:rPr>
              <w:t>What do you do tonight, this week, this month?</w:t>
            </w:r>
          </w:p>
        </w:tc>
      </w:tr>
    </w:tbl>
    <w:p>
      <w:pPr>
        <w:spacing w:after="0"/>
      </w:pP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400"/>
        <w:gridCol w:w="7012"/>
      </w:tblGrid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Tonight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This week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This month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Who else needs to know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</w:tbl>
    <w:p>
      <w:pPr>
        <w:spacing w:after="0"/>
      </w:pPr>
    </w:p>
    <w:p>
      <w:pPr>
        <w:pStyle w:val="Heading2"/>
      </w:pPr>
      <w:r>
        <w:t>Scenario B: The quiet drift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7FC"/>
          </w:tcPr>
          <w:p>
            <w:pPr>
              <w:spacing w:after="40" w:before="40"/>
            </w:pPr>
            <w:r>
              <w:rPr>
                <w:color w:val="06345D"/>
              </w:rPr>
              <w:t>A Master Mason of three years, not your mentee but a man you know, has missed two consecutive meetings without apology. The Treasurer mentions his subscription is unpaid. He was passed over for Inner Guard last year.</w:t>
            </w:r>
          </w:p>
          <w:p>
            <w:pPr>
              <w:spacing w:after="40" w:before="40"/>
            </w:pPr>
            <w:r>
              <w:rPr>
                <w:b/>
                <w:color w:val="06345D"/>
              </w:rPr>
              <w:t>Who acts, in what order, and what is said in the first phone call?</w:t>
            </w:r>
          </w:p>
        </w:tc>
      </w:tr>
    </w:tbl>
    <w:p>
      <w:pPr>
        <w:spacing w:after="0"/>
      </w:pP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400"/>
        <w:gridCol w:w="7012"/>
      </w:tblGrid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Tonight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This week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This month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Who else needs to know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</w:tbl>
    <w:p>
      <w:pPr>
        <w:spacing w:after="0"/>
      </w:pPr>
    </w:p>
    <w:p>
      <w:pPr>
        <w:pStyle w:val="Heading2"/>
      </w:pPr>
      <w:r>
        <w:t>Scenario C: The ritual dread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7FC"/>
          </w:tcPr>
          <w:p>
            <w:pPr>
              <w:spacing w:after="40" w:before="40"/>
            </w:pPr>
            <w:r>
              <w:rPr>
                <w:color w:val="06345D"/>
              </w:rPr>
              <w:t>Your mentee has been offered his first office. He tells you privately he barely slept before his Second Degree questions and is thinking of saying no: “I’m just not a performer, and I think they’ll think less of me.”</w:t>
            </w:r>
          </w:p>
          <w:p>
            <w:pPr>
              <w:spacing w:after="40" w:before="40"/>
            </w:pPr>
            <w:r>
              <w:rPr>
                <w:b/>
                <w:color w:val="06345D"/>
              </w:rPr>
              <w:t>What does good mentoring look like here, in both directions: to him, and to the Lodge?</w:t>
            </w:r>
          </w:p>
        </w:tc>
      </w:tr>
    </w:tbl>
    <w:p>
      <w:pPr>
        <w:spacing w:after="0"/>
      </w:pP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400"/>
        <w:gridCol w:w="7012"/>
      </w:tblGrid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Tonight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This week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This month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Who else needs to know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</w:tbl>
    <w:p>
      <w:pPr>
        <w:spacing w:after="0"/>
      </w:pPr>
    </w:p>
    <w:p>
      <w:pPr>
        <w:pStyle w:val="Heading2"/>
      </w:pPr>
      <w:r>
        <w:t>Scenario D: The eager recruiter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7FC"/>
          </w:tcPr>
          <w:p>
            <w:pPr>
              <w:spacing w:after="40" w:before="40"/>
            </w:pPr>
            <w:r>
              <w:rPr>
                <w:color w:val="06345D"/>
              </w:rPr>
              <w:t>At the bar, a well-meaning senior Brother is pressing your recently raised mentee about joining the Chapter: “You’re not a proper Mason till you’ve done it, you know. I’ll put your name down.” Your mentee looks cornered.</w:t>
            </w:r>
          </w:p>
          <w:p>
            <w:pPr>
              <w:spacing w:after="40" w:before="40"/>
            </w:pPr>
            <w:r>
              <w:rPr>
                <w:b/>
                <w:color w:val="06345D"/>
              </w:rPr>
              <w:t>What do you do in the moment, and afterwards?</w:t>
            </w:r>
          </w:p>
        </w:tc>
      </w:tr>
    </w:tbl>
    <w:p>
      <w:pPr>
        <w:spacing w:after="0"/>
      </w:pP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400"/>
        <w:gridCol w:w="7012"/>
      </w:tblGrid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Tonight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This week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This month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  <w:tr>
        <w:trPr>
          <w:trHeight w:val="720" w:hRule="atLeast"/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Who else needs to know</w:t>
            </w:r>
          </w:p>
        </w:tc>
        <w:tc>
          <w:tcPr>
            <w:tcW w:type="dxa" w:w="7012"/>
          </w:tcPr>
          <w:p>
            <w:pPr>
              <w:spacing w:before="60" w:after="60"/>
            </w:pPr>
          </w:p>
        </w:tc>
      </w:tr>
    </w:tbl>
    <w:p>
      <w:pPr>
        <w:spacing w:after="0"/>
      </w:pPr>
    </w:p>
    <w:p>
      <w:pPr>
        <w:pStyle w:val="Heading1"/>
      </w:pPr>
      <w:r>
        <w:rPr>
          <w:color w:val="FFFFFF"/>
          <w:shd w:val="clear" w:color="auto" w:fill="003668"/>
        </w:rPr>
        <w:t xml:space="preserve"> 6 </w:t>
      </w:r>
      <w:r>
        <w:t xml:space="preserve">  The warning signs and the four steps</w:t>
      </w:r>
    </w:p>
    <w:p>
      <w:pPr>
        <w:spacing w:after="120"/>
      </w:pPr>
      <w:r>
        <w:rPr/>
        <w:t>Risk shows as a break in his own pattern, not as a low level of attendance. One sign is nothing. A pattern is a conversation.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2400"/>
        <w:gridCol w:w="7012"/>
      </w:tblGrid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Attendance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Two or more consecutive meetings missed without a word; attending only Installations or socials; a summer absence that runs into autumn.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Participation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Reluctance to accept work or office; withdrawal from conversation; missing the Lodge of Instruction while holding office; visible unhappiness.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before="60" w:after="60"/>
            </w:pPr>
            <w:r>
              <w:rPr/>
              <w:t>Communication</w:t>
            </w:r>
          </w:p>
        </w:tc>
        <w:tc>
          <w:tcPr>
            <w:tcW w:type="dxa" w:w="7012"/>
          </w:tcPr>
          <w:p>
            <w:pPr>
              <w:spacing w:before="60" w:after="60"/>
            </w:pPr>
            <w:r>
              <w:rPr/>
              <w:t>Unanswered calls and messages; expressed frustration; repeated talk of time or money pressure; subscription arrears.</w:t>
            </w:r>
          </w:p>
        </w:tc>
      </w:tr>
    </w:tbl>
    <w:p>
      <w:pPr>
        <w:spacing w:after="0"/>
      </w:pP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1400"/>
        <w:gridCol w:w="8012"/>
      </w:tblGrid>
      <w:tr>
        <w:trPr>
          <w:cantSplit/>
        </w:trPr>
        <w:tc>
          <w:tcPr>
            <w:tcW w:type="dxa" w:w="1400"/>
          </w:tcPr>
          <w:p>
            <w:pPr>
              <w:spacing w:before="60" w:after="60"/>
            </w:pPr>
            <w:r>
              <w:rPr/>
              <w:t>Step 1</w:t>
            </w:r>
          </w:p>
        </w:tc>
        <w:tc>
          <w:tcPr>
            <w:tcW w:type="dxa" w:w="8012"/>
          </w:tcPr>
          <w:p>
            <w:pPr>
              <w:spacing w:before="60" w:after="60"/>
            </w:pPr>
            <w:r>
              <w:rPr/>
              <w:t>You. Friendly, informal contact after any unexpected absence. After two consecutive misses, within seven days of the second meeting.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60" w:after="60"/>
            </w:pPr>
            <w:r>
              <w:rPr/>
              <w:t>Step 2</w:t>
            </w:r>
          </w:p>
        </w:tc>
        <w:tc>
          <w:tcPr>
            <w:tcW w:type="dxa" w:w="8012"/>
          </w:tcPr>
          <w:p>
            <w:pPr>
              <w:spacing w:before="60" w:after="60"/>
            </w:pPr>
            <w:r>
              <w:rPr/>
              <w:t>The Lodge Mentor. Takes the overview; asks what the Lodge itself could change; keeps a discreet note; closes the loop with the member.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60" w:after="60"/>
            </w:pPr>
            <w:r>
              <w:rPr/>
              <w:t>Step 3</w:t>
            </w:r>
          </w:p>
        </w:tc>
        <w:tc>
          <w:tcPr>
            <w:tcW w:type="dxa" w:w="8012"/>
          </w:tcPr>
          <w:p>
            <w:pPr>
              <w:spacing w:before="60" w:after="60"/>
            </w:pPr>
            <w:r>
              <w:rPr/>
              <w:t>The Worshipful Master, with the Almoner alongside for anything touching welfare.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60" w:after="60"/>
            </w:pPr>
            <w:r>
              <w:rPr/>
              <w:t>Step 4</w:t>
            </w:r>
          </w:p>
        </w:tc>
        <w:tc>
          <w:tcPr>
            <w:tcW w:type="dxa" w:w="8012"/>
          </w:tcPr>
          <w:p>
            <w:pPr>
              <w:spacing w:before="60" w:after="60"/>
            </w:pPr>
            <w:r>
              <w:rPr/>
              <w:t>The Province. An impartial voice, or a different Lodge where he might thrive. Referral is responsible mentoring, not failure.</w:t>
            </w:r>
          </w:p>
        </w:tc>
      </w:tr>
    </w:tbl>
    <w:p>
      <w:pPr>
        <w:spacing w:after="0"/>
      </w:pP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003668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7FC"/>
          </w:tcPr>
          <w:p>
            <w:pPr>
              <w:spacing w:after="40" w:before="40"/>
            </w:pPr>
            <w:r>
              <w:rPr>
                <w:b/>
                <w:color w:val="06345D"/>
              </w:rPr>
              <w:t>The right question.</w:t>
            </w:r>
            <w:r>
              <w:rPr>
                <w:color w:val="06345D"/>
              </w:rPr>
              <w:t xml:space="preserve"> Always “How can I help?”, never “Why haven’t you been attending?”.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FFFFFF"/>
          <w:shd w:val="clear" w:color="auto" w:fill="003668"/>
        </w:rPr>
        <w:t xml:space="preserve"> 7 </w:t>
      </w:r>
      <w:r>
        <w:t xml:space="preserve">  The tools, and where they live</w:t>
      </w:r>
    </w:p>
    <w:tbl>
      <w:tblPr>
        <w:tblStyle w:val="MentoringTable"/>
        <w:tblW w:type="dxa" w:w="9412"/>
        <w:tblLayout w:type="fixed"/>
        <w:tblLook w:firstColumn="1" w:firstRow="0" w:lastColumn="0" w:lastRow="0" w:noHBand="1" w:noVBand="1" w:val="0680"/>
        <w:tblLayout w:type="fixed"/>
      </w:tblPr>
      <w:tblGrid>
        <w:gridCol w:w="3000"/>
        <w:gridCol w:w="6412"/>
      </w:tblGrid>
      <w:tr>
        <w:trPr>
          <w:cantSplit/>
        </w:trPr>
        <w:tc>
          <w:tcPr>
            <w:tcW w:type="dxa" w:w="3000"/>
          </w:tcPr>
          <w:p>
            <w:pPr>
              <w:spacing w:before="60" w:after="60"/>
            </w:pPr>
            <w:r>
              <w:rPr/>
              <w:t>Personal Mentor’s Short Guide</w:t>
            </w:r>
          </w:p>
        </w:tc>
        <w:tc>
          <w:tcPr>
            <w:tcW w:type="dxa" w:w="6412"/>
          </w:tcPr>
          <w:p>
            <w:pPr>
              <w:spacing w:before="60" w:after="60"/>
            </w:pPr>
            <w:r>
              <w:rPr/>
              <w:t>The role, the journey at a glance, the conversations that matter, help for you. Read it on the train.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60" w:after="60"/>
            </w:pPr>
            <w:r>
              <w:rPr/>
              <w:t>Mentor Meeting Guide</w:t>
            </w:r>
          </w:p>
        </w:tc>
        <w:tc>
          <w:tcPr>
            <w:tcW w:type="dxa" w:w="6412"/>
          </w:tcPr>
          <w:p>
            <w:pPr>
              <w:spacing w:before="60" w:after="60"/>
            </w:pPr>
            <w:r>
              <w:rPr/>
              <w:t>A conversation guide for one-to-one meetings, stage by stage. Reach for it before each one-to-one.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60" w:after="60"/>
            </w:pPr>
            <w:r>
              <w:rPr/>
              <w:t>Stage Checklists</w:t>
            </w:r>
          </w:p>
        </w:tc>
        <w:tc>
          <w:tcPr>
            <w:tcW w:type="dxa" w:w="6412"/>
          </w:tcPr>
          <w:p>
            <w:pPr>
              <w:spacing w:before="60" w:after="60"/>
            </w:pPr>
            <w:r>
              <w:rPr/>
              <w:t>One page each for Initiation night, the second meeting, before Passing and Raising, Installation and first LoI.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60" w:after="60"/>
            </w:pPr>
            <w:r>
              <w:rPr/>
              <w:t>Warning Signs card</w:t>
            </w:r>
          </w:p>
        </w:tc>
        <w:tc>
          <w:tcPr>
            <w:tcW w:type="dxa" w:w="6412"/>
          </w:tcPr>
          <w:p>
            <w:pPr>
              <w:spacing w:before="60" w:after="60"/>
            </w:pPr>
            <w:r>
              <w:rPr/>
              <w:t>The signs and the four steps on one card for your pocket.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60" w:after="60"/>
            </w:pPr>
            <w:r>
              <w:rPr/>
              <w:t>Solomon</w:t>
            </w:r>
          </w:p>
        </w:tc>
        <w:tc>
          <w:tcPr>
            <w:tcW w:type="dxa" w:w="6412"/>
          </w:tcPr>
          <w:p>
            <w:pPr>
              <w:spacing w:before="60" w:after="60"/>
            </w:pPr>
            <w:r>
              <w:rPr/>
              <w:t>UGLE’s learning platform: solomon.ugle.org.uk. Send him there, and go yourself.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60" w:after="60"/>
            </w:pPr>
            <w:r>
              <w:rPr/>
              <w:t>Monthly mentoring call</w:t>
            </w:r>
          </w:p>
        </w:tc>
        <w:tc>
          <w:tcPr>
            <w:tcW w:type="dxa" w:w="6412"/>
          </w:tcPr>
          <w:p>
            <w:pPr>
              <w:spacing w:before="60" w:after="60"/>
            </w:pPr>
            <w:r>
              <w:rPr/>
              <w:t>First Tuesday of the month, 7pm, Teams. Bring questions.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60" w:after="60"/>
            </w:pPr>
            <w:r>
              <w:rPr/>
              <w:t>DAWG</w:t>
            </w:r>
          </w:p>
        </w:tc>
        <w:tc>
          <w:tcPr>
            <w:tcW w:type="dxa" w:w="6412"/>
          </w:tcPr>
          <w:p>
            <w:pPr>
              <w:spacing w:before="60" w:after="60"/>
            </w:pPr>
            <w:r>
              <w:rPr/>
              <w:t>The Daily Advancement WhatsApp Group, run by the Provincial Mentoring Team. Ask to be added.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FFFFFF"/>
          <w:shd w:val="clear" w:color="auto" w:fill="003668"/>
        </w:rPr>
        <w:t xml:space="preserve"> 8 </w:t>
      </w:r>
      <w:r>
        <w:t xml:space="preserve">  My commitment</w:t>
      </w: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single" w:sz="24" w:space="0" w:color="157A7C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CellMar>
          <w:top w:w="90" w:type="dxa"/>
          <w:left w:w="200" w:type="dxa"/>
          <w:bottom w:w="90" w:type="dxa"/>
          <w:right w:w="2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6F2F2"/>
          </w:tcPr>
          <w:p>
            <w:pPr>
              <w:spacing w:after="40" w:before="40"/>
            </w:pPr>
            <w:r>
              <w:rPr>
                <w:b/>
                <w:color w:val="06345D"/>
              </w:rPr>
              <w:t>One thing I will do differently with my mentee this month:</w:t>
            </w:r>
          </w:p>
        </w:tc>
      </w:tr>
    </w:tbl>
    <w:p>
      <w:pPr>
        <w:spacing w:after="0"/>
      </w:pPr>
    </w:p>
    <w:tbl>
      <w:tblPr>
        <w:tblW w:type="dxa" w:w="9412"/>
        <w:tblLayout w:type="fixed"/>
        <w:tblLook w:firstColumn="1" w:firstRow="1" w:lastColumn="0" w:lastRow="0" w:noHBand="0" w:noVBand="1" w:val="04A0"/>
        <w:tblLayout w:type="fixed"/>
        <w:tblBorders>
          <w:top w:val="nil" w:sz="0" w:space="0" w:color="auto"/>
          <w:left w:val="nil" w:sz="0" w:space="0" w:color="auto"/>
          <w:bottom w:val="single" w:sz="4" w:space="0" w:color="9FB3C8"/>
          <w:right w:val="nil" w:sz="0" w:space="0" w:color="auto"/>
          <w:insideH w:val="single" w:sz="4" w:space="0" w:color="9FB3C8"/>
          <w:insideV w:val="nil" w:sz="0" w:space="0" w:color="auto"/>
        </w:tblBorders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9412"/>
      </w:tblGrid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  <w:tr>
        <w:tc>
          <w:tcPr>
            <w:tcW w:type="dxa" w:w="9412"/>
          </w:tcPr>
          <w:p>
            <w:pPr>
              <w:spacing w:after="120"/>
            </w:pPr>
          </w:p>
        </w:tc>
      </w:tr>
    </w:tbl>
    <w:p>
      <w:pPr>
        <w:spacing w:after="0"/>
      </w:pPr>
    </w:p>
    <w:p>
      <w:pPr>
        <w:spacing w:after="200"/>
      </w:pPr>
      <w:r>
        <w:rPr>
          <w:b/>
        </w:rPr>
        <w:t>By when:</w:t>
      </w:r>
      <w:r>
        <w:rPr/>
        <w:t xml:space="preserve">  ____________________        </w:t>
      </w:r>
      <w:r>
        <w:rPr>
          <w:b/>
        </w:rPr>
        <w:t>I will know it worked when:</w:t>
      </w:r>
      <w:r>
        <w:rPr/>
        <w:t xml:space="preserve">  ______________________________________________</w:t>
      </w:r>
    </w:p>
    <w:p>
      <w:pPr>
        <w:spacing w:after="120"/>
      </w:pPr>
      <w:r>
        <w:rPr>
          <w:b/>
          <w:color w:val="06345D"/>
        </w:rPr>
        <w:t>Family, Work, Masonry: in that order, always.</w:t>
      </w:r>
      <w:r>
        <w:rPr>
          <w:color w:val="06345D"/>
        </w:rPr>
        <w:t xml:space="preserve"> Freemasonry must be fun. A man who is enjoying himself attends; a man who attends participates; a man who participates belongs; and a man who belongs does not resign. That is the whole job.</w:t>
      </w:r>
    </w:p>
    <w:p>
      <w:pPr>
        <w:spacing w:after="0" w:before="80"/>
      </w:pPr>
      <w:r>
        <w:rPr>
          <w:color w:val="06345D"/>
          <w:sz w:val="17"/>
        </w:rPr>
        <w:t>Provincial Office, Fleet House, 10 Parkway, St Albans AL3 6PA · 01727 833061 · www.pgherts.org · solomon.ugle.org.uk  |  Companion to: Personal Mentor Course Facilitator Guide · Personal Mentor’s Short Guide · Mentor Meeting Guide · Stage Checklists · Warning Signs card  |  © Provincial Grand Mentor, Province of Hertfordshire, 2026</w:t>
      </w:r>
    </w:p>
    <w:sectPr>
      <w:headerReference w:type="default" r:id="rId5"/>
      <w:headerReference w:type="first" r:id="rId4"/>
      <w:footerReference w:type="default" r:id="rId8"/>
      <w:footerReference w:type="first" r:id="rId7"/>
      <w:pgSz w:w="11906" w:h="16838"/>
      <w:pgMar w:top="1701" w:right="1247" w:bottom="1474" w:left="1247" w:header="0" w:footer="0" w:gutter="0"/>
      <w:pgNumType w:start="1"/>
      <w:cols w:space="708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[Email address]  ·  [Telephone]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4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p>
    <w:pPr>
      <w:pStyle w:val="Footer"/>
      <w:tabs>
        <w:tab w:val="right" w:pos="9412"/>
      </w:tabs>
      <w:spacing w:before="0" w:after="300"/>
    </w:pPr>
    <w:r>
      <w:t xml:space="preserve">Issue 1 (Draft for Review)  ·  October 2026</w:t>
    </w:r>
    <w:r>
      <w:tab/>
    </w:r>
    <w:r>
      <w:rPr>
        <w:b/>
        <w:bCs/>
        <w:color w:val="157A7C"/>
      </w:rPr>
      <w:t xml:space="preserve">Prepare • Guide • Support • Enlighten</w:t>
    </w:r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right" w:pos="9412"/>
      </w:tabs>
      <w:spacing w:before="0" w:after="300"/>
    </w:pPr>
    <w:r>
      <w:rPr>
        <w:b/>
        <w:bCs/>
        <w:color w:val="003668"/>
      </w:rPr>
      <w:t xml:space="preserve">Hertfordshire Provincial Mentoring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113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spacing w:before="0" w:after="0" w:line="20" w:lineRule="exact"/>
      <w:rPr>
        <w:sz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1247"/>
      <w:gridCol w:w="1134"/>
      <w:gridCol w:w="340"/>
      <w:gridCol w:w="255"/>
      <w:gridCol w:w="2977"/>
      <w:gridCol w:w="2976"/>
      <w:gridCol w:w="1730"/>
      <w:gridCol w:w="1247"/>
    </w:tblGrid>
    <w:tr>
      <w:trPr>
        <w:cantSplit/>
        <w:trHeight w:val="340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1361" w:hRule="atLeast"/>
      </w:trPr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7682" w:type="dxa"/>
          <w:gridSpan w:val="5"/>
          <w:shd w:val="clear" w:color="auto" w:fill="FFFFFF"/>
          <w:vAlign w:val="center"/>
        </w:tcPr>
        <w:p>
          <w:pPr>
            <w:pStyle w:val="Header"/>
            <w:spacing w:after="60"/>
          </w:pPr>
          <w:r>
            <w:rPr>
              <w:rFonts w:ascii="DM Sans Medium" w:hAnsi="DM Sans Medium" w:cs="DM Sans Medium"/>
              <w:b/>
              <w:bCs/>
              <w:color w:val="003668"/>
              <w:sz w:val="60"/>
              <w:szCs w:val="60"/>
            </w:rPr>
            <w:t xml:space="preserve">Provincial Mentoring</w:t>
          </w:r>
        </w:p>
        <w:p>
          <w:pPr>
            <w:pStyle w:val="Header"/>
            <w:spacing w:after="30"/>
          </w:pPr>
          <w:r>
            <w:rPr>
              <w:color w:val="06345D"/>
              <w:sz w:val="22"/>
              <w:szCs w:val="22"/>
            </w:rPr>
            <w:t xml:space="preserve">Provincial Grand Lodge of Hertfordshire</w:t>
          </w:r>
        </w:p>
        <w:p>
          <w:pPr>
            <w:pStyle w:val="Header"/>
          </w:pPr>
          <w:r>
            <w:rPr>
              <w:b/>
              <w:bCs/>
              <w:color w:val="157A7C"/>
              <w:sz w:val="22"/>
              <w:szCs w:val="22"/>
            </w:rPr>
            <w:t xml:space="preserve">Prepare • Guide • Support • Enlighten</w:t>
          </w:r>
        </w:p>
      </w:tc>
      <w:tc>
        <w:tcPr>
          <w:tcW w:w="1730" w:type="dxa"/>
          <w:shd w:val="clear" w:color="auto" w:fill="FFFFFF"/>
          <w:vAlign w:val="center"/>
        </w:tcPr>
        <w:p>
          <w:pPr>
            <w:pStyle w:val="Header"/>
            <w:jc w:val="right"/>
            <w:spacing w:before="0"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>
                <wp:extent cx="907477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GLH-Shield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7477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47" w:type="dxa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397" w:hRule="exact"/>
      </w:trPr>
      <w:tc>
        <w:tcPr>
          <w:tcW w:w="11906" w:type="dxa"/>
          <w:gridSpan w:val="8"/>
          <w:shd w:val="clear" w:color="auto" w:fill="FFFFFF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  <w:tr>
      <w:trPr>
        <w:cantSplit/>
        <w:trHeight w:val="454" w:hRule="exact"/>
      </w:trPr>
      <w:tc>
        <w:tcPr>
          <w:tcW w:w="2976" w:type="dxa"/>
          <w:gridSpan w:val="4"/>
          <w:shd w:val="clear" w:color="auto" w:fill="003668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1  </w:t>
          </w:r>
          <w:r>
            <w:rPr>
              <w:b/>
              <w:bCs/>
              <w:color w:val="FFFFFF"/>
              <w:sz w:val="20"/>
              <w:szCs w:val="20"/>
            </w:rPr>
            <w:t xml:space="preserve">Prepare</w:t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2  </w:t>
          </w:r>
          <w:r>
            <w:rPr>
              <w:b/>
              <w:bCs/>
              <w:color w:val="FFFFFF"/>
              <w:sz w:val="20"/>
              <w:szCs w:val="20"/>
            </w:rPr>
            <w:t xml:space="preserve">Guide</w:t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3  </w:t>
          </w:r>
          <w:r>
            <w:rPr>
              <w:b/>
              <w:bCs/>
              <w:color w:val="FFFFFF"/>
              <w:sz w:val="20"/>
              <w:szCs w:val="20"/>
            </w:rPr>
            <w:t xml:space="preserve">Support</w:t>
          </w:r>
        </w:p>
      </w:tc>
      <w:tc>
        <w:tcPr>
          <w:tcW w:w="2977" w:type="dxa"/>
          <w:gridSpan w:val="2"/>
          <w:shd w:val="clear" w:color="auto" w:fill="157A7C"/>
          <w:vAlign w:val="center"/>
        </w:tcPr>
        <w:p>
          <w:pPr>
            <w:pStyle w:val="Header"/>
            <w:jc w:val="center"/>
          </w:pPr>
          <w:r>
            <w:rPr>
              <w:rFonts w:ascii="DM Sans Medium" w:hAnsi="DM Sans Medium" w:cs="DM Sans Medium"/>
              <w:color w:val="BFD6EA"/>
              <w:sz w:val="20"/>
              <w:szCs w:val="20"/>
            </w:rPr>
            <w:t xml:space="preserve">4  </w:t>
          </w:r>
          <w:r>
            <w:rPr>
              <w:b/>
              <w:bCs/>
              <w:color w:val="FFFFFF"/>
              <w:sz w:val="20"/>
              <w:szCs w:val="20"/>
            </w:rPr>
            <w:t xml:space="preserve">Enlighten</w:t>
          </w:r>
        </w:p>
      </w:tc>
    </w:tr>
  </w:tbl>
  <w:p>
    <w:pPr>
      <w:pStyle w:val="Header"/>
    </w:pPr>
    <w: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>
  <w:tbl>
    <w:tblPr>
      <w:tblW w:w="11906" w:type="dxa"/>
      <w:tblInd w:w="-1247" w:type="dxa"/>
      <w:tblBorders>
        <w:top w:val="nil" w:sz="4" w:space="0" w:color="auto"/>
        <w:left w:val="nil" w:sz="4" w:space="0" w:color="auto"/>
        <w:bottom w:val="nil" w:sz="4" w:space="0" w:color="auto"/>
        <w:right w:val="nil" w:sz="4" w:space="0" w:color="auto"/>
        <w:insideH w:val="nil" w:sz="4" w:space="0" w:color="auto"/>
        <w:insideV w:val="nil" w:sz="4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2976"/>
      <w:gridCol w:w="2977"/>
      <w:gridCol w:w="2976"/>
      <w:gridCol w:w="2977"/>
    </w:tblGrid>
    <w:tr>
      <w:trPr>
        <w:cantSplit/>
        <w:trHeight w:val="680" w:hRule="exact"/>
      </w:trPr>
      <w:tc>
        <w:tcPr>
          <w:tcW w:w="11906" w:type="dxa"/>
          <w:gridSpan w:val="4"/>
          <w:shd w:val="clear" w:color="auto" w:fill="003668"/>
          <w:tcMar>
            <w:left w:w="1247" w:type="dxa"/>
            <w:right w:w="1247" w:type="dxa"/>
          </w:tcMar>
          <w:vAlign w:val="center"/>
        </w:tcPr>
        <w:p>
          <w:pPr>
            <w:pStyle w:val="Header"/>
            <w:tabs>
              <w:tab w:val="right" w:pos="9412"/>
            </w:tabs>
          </w:pPr>
          <w:r>
            <w:rPr>
              <w:rFonts w:ascii="DM Sans Medium" w:hAnsi="DM Sans Medium" w:cs="DM Sans Medium"/>
              <w:b/>
              <w:bCs/>
              <w:color w:val="FFFFFF"/>
              <w:sz w:val="24"/>
              <w:szCs w:val="24"/>
            </w:rPr>
            <w:t xml:space="preserve">Provincial Mentoring</w:t>
          </w:r>
          <w:r>
            <w:rPr>
              <w:color w:val="BFD6EA"/>
              <w:sz w:val="20"/>
              <w:szCs w:val="20"/>
            </w:rPr>
            <w:t xml:space="preserve">  ·  Hertfordshire</w:t>
          </w:r>
          <w:r>
            <w:tab/>
          </w:r>
          <w:r>
            <w:rPr>
              <w:color w:val="FFFFFF"/>
              <w:sz w:val="20"/>
              <w:szCs w:val="20"/>
            </w:rPr>
            <w:t xml:space="preserve">Personal Mentor Course · Workbook</w:t>
          </w:r>
        </w:p>
      </w:tc>
    </w:tr>
    <w:tr>
      <w:trPr>
        <w:cantSplit/>
        <w:trHeight w:val="85" w:hRule="exact"/>
      </w:trPr>
      <w:tc>
        <w:tcPr>
          <w:tcW w:w="2976" w:type="dxa"/>
          <w:shd w:val="clear" w:color="auto" w:fill="003668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0A4F72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6" w:type="dxa"/>
          <w:shd w:val="clear" w:color="auto" w:fill="106576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  <w:tc>
        <w:tcPr>
          <w:tcW w:w="2977" w:type="dxa"/>
          <w:shd w:val="clear" w:color="auto" w:fill="157A7C"/>
          <w:vAlign w:val="center"/>
        </w:tcPr>
        <w:p>
          <w:pPr>
            <w:pStyle w:val="Header"/>
            <w:spacing w:before="0" w:after="0" w:line="240" w:lineRule="auto"/>
            <w:rPr>
              <w:sz w:val="2"/>
            </w:rPr>
          </w:pPr>
          <w:r>
            <w:t xml:space="preserve"/>
          </w:r>
        </w:p>
      </w:tc>
    </w:tr>
  </w:tbl>
  <w:p>
    <w:pPr>
      <w:pStyle w:val="Header"/>
    </w:pPr>
    <w:r>
      <w:t xml:space="preserve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■"/>
      <w:lvlJc w:val="left"/>
      <w:pPr>
        <w:ind w:left="360" w:hanging="360"/>
      </w:pPr>
      <w:rPr>
        <w:color w:val="157A7C"/>
      </w:rPr>
    </w:lvl>
    <w:lvl w:ilvl="1">
      <w:start w:val="1"/>
      <w:numFmt w:val="bullet"/>
      <w:lvlText w:val="–"/>
      <w:lvlJc w:val="left"/>
      <w:pPr>
        <w:ind w:left="720" w:hanging="360"/>
      </w:pPr>
      <w:rPr>
        <w:color w:val="157A7C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003668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color w:val="00366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M Sans Medium" w:hAnsi="DM Sans Medium" w:cs="DM Sans Medium"/>
        <w:color w:val="1E2329"/>
        <w:sz w:val="24"/>
        <w:szCs w:val="24"/>
        <w:lang w:val="en-GB" w:eastAsia="en-GB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uiPriority w:val="0"/>
    <w:qFormat/>
  </w:style>
  <w:style w:type="paragraph" w:styleId="DocumentType">
    <w:name w:val="Document Type"/>
    <w:basedOn w:val="Normal"/>
    <w:next w:val="Title"/>
    <w:uiPriority w:val="10"/>
    <w:qFormat/>
    <w:pPr>
      <w:spacing w:before="120" w:after="60"/>
    </w:pPr>
    <w:rPr>
      <w:b/>
      <w:bCs/>
      <w:caps/>
      <w:color w:val="157A7C"/>
      <w:spacing w:val="30"/>
      <w:sz w:val="22"/>
      <w:szCs w:val="22"/>
    </w:rPr>
  </w:style>
  <w:style w:type="paragraph" w:styleId="Title">
    <w:name w:val="Title"/>
    <w:basedOn w:val="Normal"/>
    <w:next w:val="PurposeStatement"/>
    <w:uiPriority w:val="10"/>
    <w:qFormat/>
    <w:pPr>
      <w:spacing w:before="0" w:after="200" w:line="235" w:lineRule="auto"/>
    </w:pPr>
    <w:rPr>
      <w:rFonts w:ascii="DM Sans Medium" w:hAnsi="DM Sans Medium" w:cs="DM Sans Medium"/>
      <w:b/>
      <w:bCs/>
      <w:color w:val="003668"/>
      <w:sz w:val="76"/>
      <w:szCs w:val="76"/>
    </w:rPr>
  </w:style>
  <w:style w:type="paragraph" w:styleId="PurposeStatement">
    <w:name w:val="Purpose Statement"/>
    <w:basedOn w:val="Normal"/>
    <w:next w:val="Normal"/>
    <w:uiPriority w:val="10"/>
    <w:qFormat/>
    <w:pPr>
      <w:spacing w:after="320" w:line="264" w:lineRule="auto"/>
    </w:pPr>
    <w:rPr>
      <w:color w:val="06345D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 w:line="240" w:lineRule="auto"/>
      <w:outlineLvl w:val="0"/>
    </w:pPr>
    <w:rPr>
      <w:rFonts w:ascii="DM Sans Medium" w:hAnsi="DM Sans Medium" w:cs="DM Sans Medium"/>
      <w:b/>
      <w:bCs/>
      <w:color w:val="003668"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60" w:after="80"/>
      <w:outlineLvl w:val="1"/>
    </w:pPr>
    <w:rPr>
      <w:b/>
      <w:bCs/>
      <w:color w:val="157A7C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60"/>
      <w:outlineLvl w:val="2"/>
    </w:pPr>
    <w:rPr>
      <w:b/>
      <w:bCs/>
      <w:color w:val="06345D"/>
      <w:sz w:val="24"/>
      <w:szCs w:val="24"/>
    </w:rPr>
  </w:style>
  <w:style w:type="paragraph" w:styleId="ListBullet">
    <w:name w:val="List Bullet"/>
    <w:basedOn w:val="Normal"/>
    <w:uiPriority w:val="11"/>
    <w:qFormat/>
    <w:pPr>
      <w:numPr>
        <w:ilvl w:val="0"/>
        <w:numId w:val="1"/>
      </w:numPr>
      <w:spacing w:after="80"/>
    </w:pPr>
  </w:style>
  <w:style w:type="paragraph" w:styleId="ListNumber">
    <w:name w:val="List Number"/>
    <w:basedOn w:val="Normal"/>
    <w:uiPriority w:val="11"/>
    <w:qFormat/>
    <w:pPr>
      <w:numPr>
        <w:ilvl w:val="0"/>
        <w:numId w:val="2"/>
      </w:numPr>
      <w:spacing w:after="80"/>
    </w:pPr>
  </w:style>
  <w:style w:type="paragraph" w:styleId="TemplateNote">
    <w:name w:val="Template Note"/>
    <w:basedOn w:val="Normal"/>
    <w:uiPriority w:val="20"/>
    <w:qFormat/>
    <w:pPr>
      <w:pBdr>
        <w:bottom w:val="dotted" w:sz="4" w:space="4" w:color="9FB3C8"/>
      </w:pBdr>
      <w:spacing w:after="280"/>
    </w:pPr>
    <w:rPr>
      <w:i/>
      <w:iCs/>
      <w:color w:val="3D4A57"/>
      <w:sz w:val="20"/>
      <w:szCs w:val="20"/>
    </w:rPr>
  </w:style>
  <w:style w:type="paragraph" w:styleId="AddressBlock">
    <w:name w:val="Address Block"/>
    <w:basedOn w:val="Normal"/>
    <w:uiPriority w:val="20"/>
    <w:qFormat/>
    <w:pPr>
      <w:spacing w:after="0"/>
    </w:pPr>
  </w:style>
  <w:style w:type="paragraph" w:styleId="LetterSubject">
    <w:name w:val="Letter Subject"/>
    <w:basedOn w:val="Normal"/>
    <w:next w:val="Normal"/>
    <w:uiPriority w:val="20"/>
    <w:qFormat/>
    <w:pPr>
      <w:pBdr>
        <w:top w:val="single" w:sz="18" w:space="8" w:color="157A7C"/>
      </w:pBdr>
      <w:spacing w:before="360" w:after="280" w:line="240" w:lineRule="auto"/>
    </w:pPr>
    <w:rPr>
      <w:rFonts w:ascii="DM Sans Medium" w:hAnsi="DM Sans Medium" w:cs="DM Sans Medium"/>
      <w:color w:val="003668"/>
      <w:sz w:val="34"/>
      <w:szCs w:val="34"/>
    </w:rPr>
  </w:style>
  <w:style w:type="paragraph" w:styleId="SignatureName">
    <w:name w:val="Signature Name"/>
    <w:basedOn w:val="Normal"/>
    <w:uiPriority w:val="20"/>
    <w:qFormat/>
    <w:pPr>
      <w:spacing w:after="0"/>
    </w:pPr>
    <w:rPr>
      <w:rFonts w:ascii="DM Sans Medium" w:hAnsi="DM Sans Medium" w:cs="DM Sans Medium"/>
      <w:color w:val="003668"/>
      <w:sz w:val="28"/>
      <w:szCs w:val="28"/>
    </w:rPr>
  </w:style>
  <w:style w:type="paragraph" w:styleId="Header">
    <w:name w:val="header"/>
    <w:basedOn w:val="Normal"/>
    <w:uiPriority w:val="99"/>
    <w:pPr>
      <w:spacing w:before="0" w:after="0" w:line="240" w:lineRule="auto"/>
    </w:pPr>
  </w:style>
  <w:style w:type="paragraph" w:styleId="Footer">
    <w:name w:val="footer"/>
    <w:basedOn w:val="Normal"/>
    <w:uiPriority w:val="99"/>
    <w:pPr>
      <w:spacing w:before="0" w:after="0" w:line="240" w:lineRule="auto"/>
    </w:pPr>
    <w:rPr>
      <w:color w:val="3D4A57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entoringTable">
    <w:name w:val="Mentoring Table"/>
    <w:basedOn w:val="TableNormal"/>
    <w:uiPriority w:val="40"/>
    <w:qFormat/>
    <w:pPr>
      <w:spacing w:before="80" w:after="80" w:line="240" w:lineRule="auto"/>
    </w:pPr>
    <w:rPr>
      <w:sz w:val="22"/>
      <w:szCs w:val="22"/>
    </w:rPr>
    <w:tblPr>
      <w:tblBorders>
        <w:top w:val="single" w:sz="12" w:space="0" w:color="003668"/>
        <w:left w:val="nil" w:sz="4" w:space="0" w:color="9FB3C8"/>
        <w:bottom w:val="single" w:sz="12" w:space="0" w:color="003668"/>
        <w:right w:val="nil" w:sz="4" w:space="0" w:color="9FB3C8"/>
        <w:insideH w:val="single" w:sz="4" w:space="0" w:color="9FB3C8"/>
        <w:insideV w:val="single" w:sz="4" w:space="0" w:color="9FB3C8"/>
      </w:tblBorders>
      <w:tblCellMar>
        <w:top w:w="57" w:type="dxa"/>
        <w:left w:w="142" w:type="dxa"/>
        <w:bottom w:w="57" w:type="dxa"/>
        <w:right w:w="142" w:type="dxa"/>
      </w:tblCellMar>
    </w:tblPr>
    <w:tblStylePr w:type="firstRow">
      <w:rPr>
        <w:b/>
        <w:bCs/>
        <w:color w:val="FFFFFF"/>
      </w:rPr>
      <w:tcPr>
        <w:shd w:val="clear" w:color="auto" w:fill="003668"/>
      </w:tcPr>
    </w:tblStylePr>
    <w:tblStylePr w:type="firstCol">
      <w:rPr>
        <w:b/>
        <w:bCs/>
        <w:color w:val="003668"/>
      </w:rPr>
      <w:tcPr>
        <w:shd w:val="clear" w:color="auto" w:fill="F2F7FC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Hertfordshire Provincial Mentoring – Document template</dc:title>
  <dc:creator>Hertfordshire Provincial Mentoring</dc:creator>
  <dcterms:created xsi:type="dcterms:W3CDTF">2026-10-09T09:00:00Z</dcterms:created>
</cp:coreProperties>
</file>