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  <w:spacing w:after="0"/>
      </w:pPr>
      <w:r>
        <w:rPr>
          <w:sz w:val="17"/>
        </w:rPr>
        <w:t>New Masons Evening · Card 1 of 3</w:t>
      </w:r>
    </w:p>
    <w:p>
      <w:pPr>
        <w:pStyle w:val="Title"/>
        <w:spacing w:after="80"/>
      </w:pPr>
      <w:r>
        <w:rPr>
          <w:sz w:val="36"/>
        </w:rPr>
        <w:t>Who’s in your corner</w:t>
      </w:r>
    </w:p>
    <w:tbl>
      <w:tblPr>
        <w:tblStyle w:val="MentoringTable"/>
        <w:tblW w:type="dxa" w:w="7031"/>
        <w:tblLayout w:type="fixed"/>
        <w:tblLook w:firstColumn="1" w:firstRow="0" w:lastColumn="0" w:lastRow="0" w:noHBand="1" w:noVBand="1" w:val="0680"/>
        <w:tblLayout w:type="fixed"/>
      </w:tblPr>
      <w:tblGrid>
        <w:gridCol w:w="1800"/>
        <w:gridCol w:w="5231"/>
      </w:tblGrid>
      <w:tr>
        <w:trPr>
          <w:cantSplit/>
        </w:trPr>
        <w:tc>
          <w:tcPr>
            <w:tcW w:type="dxa" w:w="1800"/>
          </w:tcPr>
          <w:p>
            <w:pPr>
              <w:spacing w:before="10" w:after="10"/>
            </w:pPr>
            <w:r>
              <w:rPr>
                <w:sz w:val="17"/>
              </w:rPr>
              <w:t>Your Personal Mentor</w:t>
            </w:r>
          </w:p>
        </w:tc>
        <w:tc>
          <w:tcPr>
            <w:tcW w:type="dxa" w:w="5231"/>
          </w:tcPr>
          <w:p>
            <w:pPr>
              <w:spacing w:before="10" w:after="10"/>
            </w:pPr>
            <w:r>
              <w:rPr>
                <w:sz w:val="17"/>
              </w:rPr>
              <w:t>One Brother, assigned to you. A friend first: the person you ring, message or sit next to without feeling you are a bother. Your first call for any question.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10" w:after="10"/>
            </w:pPr>
            <w:r>
              <w:rPr>
                <w:sz w:val="17"/>
              </w:rPr>
              <w:t>Your Lodge Mentor</w:t>
            </w:r>
          </w:p>
        </w:tc>
        <w:tc>
          <w:tcPr>
            <w:tcW w:type="dxa" w:w="5231"/>
          </w:tcPr>
          <w:p>
            <w:pPr>
              <w:spacing w:before="10" w:after="10"/>
            </w:pPr>
            <w:r>
              <w:rPr>
                <w:sz w:val="17"/>
              </w:rPr>
              <w:t>Co-ordinates mentoring across the Lodge; makes sure every new member has a Personal Mentor. Your link to the Province.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10" w:after="10"/>
            </w:pPr>
            <w:r>
              <w:rPr>
                <w:sz w:val="17"/>
              </w:rPr>
              <w:t>The Almoner</w:t>
            </w:r>
          </w:p>
        </w:tc>
        <w:tc>
          <w:tcPr>
            <w:tcW w:type="dxa" w:w="5231"/>
          </w:tcPr>
          <w:p>
            <w:pPr>
              <w:spacing w:before="10" w:after="10"/>
            </w:pPr>
            <w:r>
              <w:rPr>
                <w:sz w:val="17"/>
              </w:rPr>
              <w:t>Welfare: health, money, family, bereavement. Anything that touches your life outside the Lodge.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10" w:after="10"/>
            </w:pPr>
            <w:r>
              <w:rPr>
                <w:sz w:val="17"/>
              </w:rPr>
              <w:t>The Provincial team</w:t>
            </w:r>
          </w:p>
        </w:tc>
        <w:tc>
          <w:tcPr>
            <w:tcW w:type="dxa" w:w="5231"/>
          </w:tcPr>
          <w:p>
            <w:pPr>
              <w:spacing w:before="10" w:after="10"/>
            </w:pPr>
            <w:r>
              <w:rPr>
                <w:sz w:val="17"/>
              </w:rPr>
              <w:t>Provincial Grand Mentor, Deputy, and five Assistant Provincial Grand Mentors. Here to help, never to inspect.</w:t>
            </w:r>
          </w:p>
        </w:tc>
      </w:tr>
    </w:tbl>
    <w:p>
      <w:pPr>
        <w:spacing w:after="0"/>
      </w:pPr>
    </w:p>
    <w:p>
      <w:pPr>
        <w:keepNext/>
        <w:spacing w:after="20" w:before="60"/>
      </w:pPr>
      <w:r>
        <w:rPr>
          <w:b/>
          <w:color w:val="003668"/>
          <w:sz w:val="20"/>
        </w:rPr>
        <w:t>The four principles</w:t>
      </w:r>
    </w:p>
    <w:tbl>
      <w:tblPr>
        <w:tblW w:type="dxa" w:w="7028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single" w:sz="8" w:space="0" w:color="FFFFF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57"/>
        <w:gridCol w:w="1757"/>
        <w:gridCol w:w="1757"/>
        <w:gridCol w:w="1757"/>
      </w:tblGrid>
      <w:tr>
        <w:trPr>
          <w:cantSplit/>
        </w:trPr>
        <w:tc>
          <w:tcPr>
            <w:tcW w:type="dxa" w:w="1757"/>
            <w:shd w:val="clear" w:color="auto" w:fill="003668"/>
          </w:tcPr>
          <w:p>
            <w:pPr>
              <w:spacing w:after="0" w:before="0"/>
            </w:pPr>
            <w:r>
              <w:rPr>
                <w:b/>
                <w:color w:val="8FD3D1"/>
                <w:sz w:val="17"/>
              </w:rPr>
              <w:t xml:space="preserve">1 </w:t>
            </w:r>
            <w:r>
              <w:rPr>
                <w:b/>
                <w:color w:val="FFFFFF"/>
                <w:sz w:val="17"/>
              </w:rPr>
              <w:t>PREPARE</w:t>
            </w:r>
          </w:p>
        </w:tc>
        <w:tc>
          <w:tcPr>
            <w:tcW w:type="dxa" w:w="1757"/>
            <w:shd w:val="clear" w:color="auto" w:fill="0A4F72"/>
          </w:tcPr>
          <w:p>
            <w:pPr>
              <w:spacing w:after="0" w:before="0"/>
            </w:pPr>
            <w:r>
              <w:rPr>
                <w:b/>
                <w:color w:val="8FD3D1"/>
                <w:sz w:val="17"/>
              </w:rPr>
              <w:t xml:space="preserve">2 </w:t>
            </w:r>
            <w:r>
              <w:rPr>
                <w:b/>
                <w:color w:val="FFFFFF"/>
                <w:sz w:val="17"/>
              </w:rPr>
              <w:t>GUIDE</w:t>
            </w:r>
          </w:p>
        </w:tc>
        <w:tc>
          <w:tcPr>
            <w:tcW w:type="dxa" w:w="1757"/>
            <w:shd w:val="clear" w:color="auto" w:fill="106576"/>
          </w:tcPr>
          <w:p>
            <w:pPr>
              <w:spacing w:after="0" w:before="0"/>
            </w:pPr>
            <w:r>
              <w:rPr>
                <w:b/>
                <w:color w:val="8FD3D1"/>
                <w:sz w:val="17"/>
              </w:rPr>
              <w:t xml:space="preserve">3 </w:t>
            </w:r>
            <w:r>
              <w:rPr>
                <w:b/>
                <w:color w:val="FFFFFF"/>
                <w:sz w:val="17"/>
              </w:rPr>
              <w:t>SUPPORT</w:t>
            </w:r>
          </w:p>
        </w:tc>
        <w:tc>
          <w:tcPr>
            <w:tcW w:type="dxa" w:w="1757"/>
            <w:shd w:val="clear" w:color="auto" w:fill="157A7C"/>
          </w:tcPr>
          <w:p>
            <w:pPr>
              <w:spacing w:after="0" w:before="0"/>
            </w:pPr>
            <w:r>
              <w:rPr>
                <w:b/>
                <w:color w:val="8FD3D1"/>
                <w:sz w:val="17"/>
              </w:rPr>
              <w:t xml:space="preserve">4 </w:t>
            </w:r>
            <w:r>
              <w:rPr>
                <w:b/>
                <w:color w:val="FFFFFF"/>
                <w:sz w:val="17"/>
              </w:rPr>
              <w:t>ENLIGHTEN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2F7FC"/>
          </w:tcPr>
          <w:p>
            <w:pPr>
              <w:spacing w:after="0" w:before="0"/>
            </w:pPr>
            <w:r>
              <w:rPr>
                <w:color w:val="06345D"/>
                <w:sz w:val="14"/>
              </w:rPr>
              <w:t>Ready for each stage before it happens. No surprises.</w:t>
            </w:r>
          </w:p>
        </w:tc>
        <w:tc>
          <w:tcPr>
            <w:tcW w:type="dxa" w:w="1757"/>
            <w:shd w:val="clear" w:color="auto" w:fill="F2F7FC"/>
          </w:tcPr>
          <w:p>
            <w:pPr>
              <w:spacing w:after="0" w:before="0"/>
            </w:pPr>
            <w:r>
              <w:rPr>
                <w:color w:val="06345D"/>
                <w:sz w:val="14"/>
              </w:rPr>
              <w:t>Accurate, honest, timely information. Never dependency.</w:t>
            </w:r>
          </w:p>
        </w:tc>
        <w:tc>
          <w:tcPr>
            <w:tcW w:type="dxa" w:w="1757"/>
            <w:shd w:val="clear" w:color="auto" w:fill="F2F7FC"/>
          </w:tcPr>
          <w:p>
            <w:pPr>
              <w:spacing w:after="0" w:before="0"/>
            </w:pPr>
            <w:r>
              <w:rPr>
                <w:color w:val="06345D"/>
                <w:sz w:val="14"/>
              </w:rPr>
              <w:t>Present, responsive, compassionate. “How can we help?”</w:t>
            </w:r>
          </w:p>
        </w:tc>
        <w:tc>
          <w:tcPr>
            <w:tcW w:type="dxa" w:w="1757"/>
            <w:shd w:val="clear" w:color="auto" w:fill="F2F7FC"/>
          </w:tcPr>
          <w:p>
            <w:pPr>
              <w:spacing w:after="0" w:before="0"/>
            </w:pPr>
            <w:r>
              <w:rPr>
                <w:color w:val="06345D"/>
                <w:sz w:val="14"/>
              </w:rPr>
              <w:t>Understanding, curiosity and enjoyment, for life.</w:t>
            </w:r>
          </w:p>
        </w:tc>
      </w:tr>
    </w:tbl>
    <w:p>
      <w:pPr>
        <w:spacing w:after="0"/>
      </w:pPr>
    </w:p>
    <w:p>
      <w:pPr>
        <w:keepNext/>
        <w:spacing w:after="20" w:before="60"/>
      </w:pPr>
      <w:r>
        <w:rPr>
          <w:b/>
          <w:color w:val="003668"/>
          <w:sz w:val="20"/>
        </w:rPr>
        <w:t>The journey ahead</w:t>
      </w:r>
    </w:p>
    <w:tbl>
      <w:tblPr>
        <w:tblStyle w:val="MentoringTable"/>
        <w:tblW w:type="dxa" w:w="7031"/>
        <w:tblLayout w:type="fixed"/>
        <w:tblLook w:firstColumn="1" w:firstRow="0" w:lastColumn="0" w:lastRow="0" w:noHBand="1" w:noVBand="1" w:val="0680"/>
        <w:tblLayout w:type="fixed"/>
      </w:tblPr>
      <w:tblGrid>
        <w:gridCol w:w="1500"/>
        <w:gridCol w:w="5531"/>
      </w:tblGrid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7"/>
              </w:rPr>
              <w:t>Initiation</w:t>
            </w:r>
          </w:p>
        </w:tc>
        <w:tc>
          <w:tcPr>
            <w:tcW w:type="dxa" w:w="5531"/>
          </w:tcPr>
          <w:p>
            <w:pPr>
              <w:spacing w:before="10" w:after="10"/>
            </w:pPr>
            <w:r>
              <w:rPr>
                <w:sz w:val="17"/>
              </w:rPr>
              <w:t>Entered Apprentice. Your first night, with your mentor beside you.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7"/>
              </w:rPr>
              <w:t>Passing</w:t>
            </w:r>
          </w:p>
        </w:tc>
        <w:tc>
          <w:tcPr>
            <w:tcW w:type="dxa" w:w="5531"/>
          </w:tcPr>
          <w:p>
            <w:pPr>
              <w:spacing w:before="10" w:after="10"/>
            </w:pPr>
            <w:r>
              <w:rPr>
                <w:sz w:val="17"/>
              </w:rPr>
              <w:t>Fellow Craft, usually six to twelve months on. You answer the questions in open Lodge.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7"/>
              </w:rPr>
              <w:t>Raising</w:t>
            </w:r>
          </w:p>
        </w:tc>
        <w:tc>
          <w:tcPr>
            <w:tcW w:type="dxa" w:w="5531"/>
          </w:tcPr>
          <w:p>
            <w:pPr>
              <w:spacing w:before="10" w:after="10"/>
            </w:pPr>
            <w:r>
              <w:rPr>
                <w:sz w:val="17"/>
              </w:rPr>
              <w:t>Master Mason. Visiting opens up fully; a beginning, not a summit.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7"/>
              </w:rPr>
              <w:t>One Journey</w:t>
            </w:r>
          </w:p>
        </w:tc>
        <w:tc>
          <w:tcPr>
            <w:tcW w:type="dxa" w:w="5531"/>
          </w:tcPr>
          <w:p>
            <w:pPr>
              <w:spacing w:before="10" w:after="10"/>
            </w:pPr>
            <w:r>
              <w:rPr>
                <w:sz w:val="17"/>
              </w:rPr>
              <w:t>The Royal Arch completes Pure Antient Masonry, on your timing. Information, not recruitment.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7"/>
              </w:rPr>
              <w:t>Office</w:t>
            </w:r>
          </w:p>
        </w:tc>
        <w:tc>
          <w:tcPr>
            <w:tcW w:type="dxa" w:w="5531"/>
          </w:tcPr>
          <w:p>
            <w:pPr>
              <w:spacing w:before="10" w:after="10"/>
            </w:pPr>
            <w:r>
              <w:rPr>
                <w:sz w:val="17"/>
              </w:rPr>
              <w:t>Only when you are ready, and only if you want it.</w:t>
            </w:r>
          </w:p>
        </w:tc>
      </w:tr>
    </w:tbl>
    <w:p>
      <w:pPr>
        <w:spacing w:after="0"/>
      </w:pPr>
    </w:p>
    <w:tbl>
      <w:tblPr>
        <w:tblW w:type="dxa" w:w="7031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18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7031"/>
      </w:tblGrid>
      <w:tr>
        <w:trPr>
          <w:cantSplit/>
        </w:trPr>
        <w:tc>
          <w:tcPr>
            <w:tcW w:type="dxa" w:w="7031"/>
            <w:shd w:val="clear" w:color="auto" w:fill="F2F7FC"/>
          </w:tcPr>
          <w:p>
            <w:pPr>
              <w:spacing w:after="20" w:before="20"/>
            </w:pPr>
            <w:r>
              <w:rPr>
                <w:b/>
                <w:color w:val="06345D"/>
                <w:sz w:val="17"/>
              </w:rPr>
              <w:t>Two rules run through every stage.</w:t>
            </w:r>
            <w:r>
              <w:rPr>
                <w:color w:val="06345D"/>
                <w:sz w:val="17"/>
              </w:rPr>
              <w:t xml:space="preserve"> No surprises: you will always know what is coming next. And you set the pace, never the calendar. </w:t>
            </w:r>
            <w:r>
              <w:rPr>
                <w:b/>
                <w:color w:val="06345D"/>
                <w:sz w:val="17"/>
              </w:rPr>
              <w:t>Family, Work, Masonry: in that order, always.</w:t>
            </w:r>
          </w:p>
        </w:tc>
      </w:tr>
    </w:tbl>
    <w:p>
      <w:pPr>
        <w:spacing w:after="0"/>
      </w:pPr>
    </w:p>
    <w:p>
      <w:pPr>
        <w:spacing w:after="0" w:before="60"/>
      </w:pPr>
      <w:r>
        <w:rPr>
          <w:color w:val="06345D"/>
          <w:sz w:val="14"/>
        </w:rPr>
        <w:t>Hertfordshire Provincial Mentoring · mentor@hertfordshirefreemasons.org.uk · solomon.ugle.org.uk · fhlbc.co.uk  |  Prepare • Guide • Support • Enlighten</w:t>
      </w:r>
    </w:p>
    <w:p>
      <w:pPr>
        <w:pStyle w:val="DocumentType"/>
        <w:pageBreakBefore/>
        <w:spacing w:after="0"/>
      </w:pPr>
      <w:r>
        <w:rPr>
          <w:sz w:val="17"/>
        </w:rPr>
        <w:t>New Masons Evening · Card 1 of 3</w:t>
      </w:r>
    </w:p>
    <w:p>
      <w:pPr>
        <w:pStyle w:val="Title"/>
        <w:spacing w:after="80"/>
      </w:pPr>
      <w:r>
        <w:rPr>
          <w:sz w:val="36"/>
        </w:rPr>
        <w:t>What to wear</w:t>
      </w:r>
    </w:p>
    <w:p>
      <w:pPr>
        <w:spacing w:after="80"/>
      </w:pPr>
      <w:r>
        <w:rPr>
          <w:sz w:val="17"/>
        </w:rPr>
        <w:t>Always check the Summons first. If it says nothing different, this is the standard.</w:t>
      </w:r>
    </w:p>
    <w:tbl>
      <w:tblPr>
        <w:tblStyle w:val="MentoringTable"/>
        <w:tblW w:type="dxa" w:w="7031"/>
        <w:tblLayout w:type="fixed"/>
        <w:tblLook w:firstColumn="1" w:firstRow="0" w:lastColumn="0" w:lastRow="0" w:noHBand="1" w:noVBand="1" w:val="0680"/>
        <w:tblLayout w:type="fixed"/>
      </w:tblPr>
      <w:tblGrid>
        <w:gridCol w:w="1500"/>
        <w:gridCol w:w="5531"/>
      </w:tblGrid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8"/>
              </w:rPr>
              <w:t>Suit and shirt</w:t>
            </w:r>
          </w:p>
        </w:tc>
        <w:tc>
          <w:tcPr>
            <w:tcW w:type="dxa" w:w="5531"/>
          </w:tcPr>
          <w:p>
            <w:pPr>
              <w:pStyle w:val="ListBullet"/>
              <w:spacing w:after="10" w:before="10"/>
            </w:pPr>
            <w:r>
              <w:rPr>
                <w:sz w:val="18"/>
              </w:rPr>
              <w:t>Dark lounge suit, preferably black; striped morning trousers with a black jacket are acceptable</w:t>
            </w:r>
          </w:p>
          <w:p>
            <w:pPr>
              <w:pStyle w:val="ListBullet"/>
              <w:spacing w:after="10" w:before="10"/>
            </w:pPr>
            <w:r>
              <w:rPr>
                <w:sz w:val="18"/>
              </w:rPr>
              <w:t>Plain white formal shirt, single or double cuff</w:t>
            </w:r>
          </w:p>
          <w:p>
            <w:pPr>
              <w:pStyle w:val="ListBullet"/>
              <w:spacing w:after="10" w:before="10"/>
            </w:pPr>
            <w:r>
              <w:rPr>
                <w:sz w:val="18"/>
              </w:rPr>
              <w:t>Tails only for Active Provincial Officers at Provincial Grand Lodge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8"/>
              </w:rPr>
              <w:t>Socks and shoes</w:t>
            </w:r>
          </w:p>
        </w:tc>
        <w:tc>
          <w:tcPr>
            <w:tcW w:type="dxa" w:w="5531"/>
          </w:tcPr>
          <w:p>
            <w:pPr>
              <w:pStyle w:val="ListBullet"/>
              <w:spacing w:after="10" w:before="10"/>
            </w:pPr>
            <w:r>
              <w:rPr>
                <w:sz w:val="18"/>
              </w:rPr>
              <w:t>Plain black socks. Not navy, not patterned, not novelty</w:t>
            </w:r>
          </w:p>
          <w:p>
            <w:pPr>
              <w:pStyle w:val="ListBullet"/>
              <w:spacing w:after="10" w:before="10"/>
            </w:pPr>
            <w:r>
              <w:rPr>
                <w:sz w:val="18"/>
              </w:rPr>
              <w:t>Black shoes, polished. Not trainers, boots or Crocs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8"/>
              </w:rPr>
              <w:t>Black tie nights</w:t>
            </w:r>
          </w:p>
        </w:tc>
        <w:tc>
          <w:tcPr>
            <w:tcW w:type="dxa" w:w="5531"/>
          </w:tcPr>
          <w:p>
            <w:pPr>
              <w:pStyle w:val="ListBullet"/>
              <w:spacing w:after="10" w:before="10"/>
            </w:pPr>
            <w:r>
              <w:rPr>
                <w:sz w:val="18"/>
              </w:rPr>
              <w:t>Some Lodges dine black tie always, others only at Installation. The Summons will say</w:t>
            </w:r>
          </w:p>
          <w:p>
            <w:pPr>
              <w:pStyle w:val="ListBullet"/>
              <w:spacing w:after="10" w:before="10"/>
            </w:pPr>
            <w:r>
              <w:rPr>
                <w:sz w:val="18"/>
              </w:rPr>
              <w:t>Dinner jacket, smart dress shirt, black bow tie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8"/>
              </w:rPr>
              <w:t>Tie</w:t>
            </w:r>
          </w:p>
        </w:tc>
        <w:tc>
          <w:tcPr>
            <w:tcW w:type="dxa" w:w="5531"/>
          </w:tcPr>
          <w:p>
            <w:pPr>
              <w:pStyle w:val="ListBullet"/>
              <w:spacing w:after="10" w:before="10"/>
            </w:pPr>
            <w:r>
              <w:rPr>
                <w:sz w:val="18"/>
              </w:rPr>
              <w:t>Provincial tie in any Hertfordshire Lodge; Club tie at FHLBC visits, Gladsmuir 1385 and Provincial Grand Lodge</w:t>
            </w:r>
          </w:p>
          <w:p>
            <w:pPr>
              <w:pStyle w:val="ListBullet"/>
              <w:spacing w:after="10" w:before="10"/>
            </w:pPr>
            <w:r>
              <w:rPr>
                <w:sz w:val="18"/>
              </w:rPr>
              <w:t>Outside Hertfordshire, a plain Masonic tie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8"/>
              </w:rPr>
              <w:t>Pins</w:t>
            </w:r>
          </w:p>
        </w:tc>
        <w:tc>
          <w:tcPr>
            <w:tcW w:type="dxa" w:w="5531"/>
          </w:tcPr>
          <w:p>
            <w:pPr>
              <w:pStyle w:val="ListBullet"/>
              <w:spacing w:after="10" w:before="10"/>
            </w:pPr>
            <w:r>
              <w:rPr>
                <w:sz w:val="18"/>
              </w:rPr>
              <w:t>Yes. Up to three is the convention; Masonic or charitable, never political. FHLBC members wear the Club pin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8"/>
              </w:rPr>
              <w:t>Jewels</w:t>
            </w:r>
          </w:p>
        </w:tc>
        <w:tc>
          <w:tcPr>
            <w:tcW w:type="dxa" w:w="5531"/>
          </w:tcPr>
          <w:p>
            <w:pPr>
              <w:pStyle w:val="ListBullet"/>
              <w:spacing w:after="10" w:before="10"/>
            </w:pPr>
            <w:r>
              <w:rPr>
                <w:sz w:val="18"/>
              </w:rPr>
              <w:t>Once you are a Master Mason, up to three. Royal Arch jewel nearest your centre line, then the Tercentenary jewel, then others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10" w:after="10"/>
            </w:pPr>
            <w:r>
              <w:rPr>
                <w:sz w:val="18"/>
              </w:rPr>
              <w:t>Rings and gloves</w:t>
            </w:r>
          </w:p>
        </w:tc>
        <w:tc>
          <w:tcPr>
            <w:tcW w:type="dxa" w:w="5531"/>
          </w:tcPr>
          <w:p>
            <w:pPr>
              <w:pStyle w:val="ListBullet"/>
              <w:spacing w:after="10" w:before="10"/>
            </w:pPr>
            <w:r>
              <w:rPr>
                <w:sz w:val="18"/>
              </w:rPr>
              <w:t>A ring is personal preference. Square and compasses on gloves: avoid dark blue ones unless you hold Provincial or Grand rank</w:t>
            </w:r>
          </w:p>
        </w:tc>
      </w:tr>
    </w:tbl>
    <w:p>
      <w:pPr>
        <w:spacing w:after="0"/>
      </w:pPr>
    </w:p>
    <w:tbl>
      <w:tblPr>
        <w:tblW w:type="dxa" w:w="7031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18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7031"/>
      </w:tblGrid>
      <w:tr>
        <w:trPr>
          <w:cantSplit/>
        </w:trPr>
        <w:tc>
          <w:tcPr>
            <w:tcW w:type="dxa" w:w="7031"/>
            <w:shd w:val="clear" w:color="auto" w:fill="E6F2F2"/>
          </w:tcPr>
          <w:p>
            <w:pPr>
              <w:spacing w:after="20" w:before="20"/>
            </w:pPr>
            <w:r>
              <w:rPr>
                <w:b/>
                <w:color w:val="06345D"/>
                <w:sz w:val="17"/>
              </w:rPr>
              <w:t>Full Dress / Undress on a Summons</w:t>
            </w:r>
            <w:r>
              <w:rPr>
                <w:color w:val="06345D"/>
                <w:sz w:val="17"/>
              </w:rPr>
              <w:t xml:space="preserve"> applies to Provincial and Grand Officers, not to you yet. </w:t>
            </w:r>
            <w:r>
              <w:rPr>
                <w:b/>
                <w:color w:val="06345D"/>
                <w:sz w:val="17"/>
              </w:rPr>
              <w:t>Letters after names</w:t>
            </w:r>
            <w:r>
              <w:rPr>
                <w:color w:val="06345D"/>
                <w:sz w:val="17"/>
              </w:rPr>
              <w:t xml:space="preserve"> are Provincial or Grand ranks; nobody minds being asked what theirs means.</w:t>
            </w:r>
          </w:p>
        </w:tc>
      </w:tr>
    </w:tbl>
    <w:p>
      <w:pPr>
        <w:spacing w:after="0"/>
      </w:pPr>
    </w:p>
    <w:p>
      <w:pPr>
        <w:spacing w:after="0" w:before="60"/>
      </w:pPr>
      <w:r>
        <w:rPr>
          <w:color w:val="06345D"/>
          <w:sz w:val="14"/>
        </w:rPr>
        <w:t>Hertfordshire Provincial Mentoring · mentor@hertfordshirefreemasons.org.uk · solomon.ugle.org.uk · fhlbc.co.uk  |  Prepare • Guide • Support • Enlighten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8391" w:h="11906"/>
      <w:pgMar w:top="1000" w:right="680" w:bottom="760" w:left="680" w:header="0" w:footer="0" w:gutter="0"/>
      <w:pgNumType w:start="1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7031"/>
      </w:tabs>
      <w:spacing w:before="0" w:after="300"/>
    </w:pPr>
  </w:p>
  <w:tbl>
    <w:tblPr>
      <w:tblW w:w="8391" w:type="dxa"/>
      <w:tblInd w:w="-879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097"/>
      <w:gridCol w:w="2098"/>
      <w:gridCol w:w="2097"/>
      <w:gridCol w:w="2098"/>
    </w:tblGrid>
    <w:tr>
      <w:trPr>
        <w:cantSplit/>
        <w:trHeight w:val="113" w:hRule="exact"/>
      </w:trPr>
      <w:tc>
        <w:tcPr>
          <w:tcW w:w="2097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7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8391" w:type="dxa"/>
      <w:tblInd w:w="-879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097"/>
      <w:gridCol w:w="2098"/>
      <w:gridCol w:w="2097"/>
      <w:gridCol w:w="2098"/>
    </w:tblGrid>
    <w:tr>
      <w:trPr>
        <w:cantSplit/>
        <w:trHeight w:val="680" w:hRule="exact"/>
      </w:trPr>
      <w:tc>
        <w:tcPr>
          <w:tcW w:w="8391" w:type="dxa"/>
          <w:gridSpan w:val="4"/>
          <w:shd w:val="clear" w:color="auto" w:fill="003668"/>
          <w:tcMar>
            <w:left w:w="680" w:type="dxa"/>
            <w:right w:w="680" w:type="dxa"/>
          </w:tcMar>
          <w:vAlign w:val="center"/>
        </w:tcPr>
        <w:p>
          <w:pPr>
            <w:pStyle w:val="Header"/>
            <w:tabs>
              <w:tab w:val="right" w:pos="7031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New Masons Evening · Card 1</w:t>
          </w:r>
        </w:p>
      </w:tc>
    </w:tr>
    <w:tr>
      <w:trPr>
        <w:cantSplit/>
        <w:trHeight w:val="85" w:hRule="exact"/>
      </w:trPr>
      <w:tc>
        <w:tcPr>
          <w:tcW w:w="2097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7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098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  <w:rPr>
      <w:sz w:val="17"/>
    </w:rPr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  <w:rPr>
      <w:sz w:val="17"/>
    </w:r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