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aps/>
          <w:color w:val="2E86AB"/>
          <w:sz w:val="22"/>
          <w:szCs w:val="22"/>
        </w:rPr>
        <w:t xml:space="preserve">RAPPORT TECHNIQUE APPROFONDI</w:t>
      </w:r>
    </w:p>
    <w:p>
      <w:pPr>
        <w:spacing w:after="80"/>
        <w:jc w:val="center"/>
      </w:pPr>
      <w:r>
        <w:rPr>
          <w:rFonts w:ascii="Arial" w:cs="Arial" w:eastAsia="Arial" w:hAnsi="Arial"/>
          <w:color w:val="CCCCCC"/>
          <w:sz w:val="20"/>
          <w:szCs w:val="20"/>
        </w:rPr>
        <w:t xml:space="preserve">________________________________________</w:t>
      </w:r>
    </w:p>
    <w:p>
      <w:pPr>
        <w:spacing w:after="100"/>
      </w:pPr>
    </w:p>
    <w:p>
      <w:pPr>
        <w:spacing w:after="200"/>
        <w:jc w:val="center"/>
      </w:pPr>
      <w:r>
        <w:rPr>
          <w:rFonts w:ascii="Arial" w:cs="Arial" w:eastAsia="Arial" w:hAnsi="Arial"/>
          <w:b/>
          <w:bCs/>
          <w:color w:val="1B3A5C"/>
          <w:sz w:val="56"/>
          <w:szCs w:val="56"/>
        </w:rPr>
        <w:t xml:space="preserve">TOKENFORGE</w:t>
      </w:r>
    </w:p>
    <w:p>
      <w:pPr>
        <w:spacing w:after="120"/>
        <w:jc w:val="center"/>
      </w:pPr>
      <w:r>
        <w:rPr>
          <w:rFonts w:ascii="Arial" w:cs="Arial" w:eastAsia="Arial" w:hAnsi="Arial"/>
          <w:color w:val="0F2440"/>
          <w:sz w:val="28"/>
          <w:szCs w:val="28"/>
        </w:rPr>
        <w:t xml:space="preserve">Plateforme Unifiée d’Intelligence Tokenomique</w:t>
      </w:r>
    </w:p>
    <w:p>
      <w:pPr>
        <w:spacing w:after="80"/>
        <w:jc w:val="center"/>
      </w:pPr>
      <w:r>
        <w:rPr>
          <w:rFonts w:ascii="Arial" w:cs="Arial" w:eastAsia="Arial" w:hAnsi="Arial"/>
          <w:i/>
          <w:iCs/>
          <w:color w:val="2E86AB"/>
          <w:sz w:val="22"/>
          <w:szCs w:val="22"/>
        </w:rPr>
        <w:t xml:space="preserve">Optimisation · Conformité · Souveraineté · Durabilité</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tcMar>
              <w:top w:type="dxa" w:w="80"/>
              <w:left w:type="dxa" w:w="120"/>
              <w:bottom w:type="dxa" w:w="80"/>
              <w:right w:type="dxa" w:w="120"/>
            </w:tcMar>
            <w:vAlign w:val="center"/>
          </w:tcPr>
          <w:p>
            <w:pPr>
              <w:spacing w:after="60"/>
              <w:jc w:val="center"/>
            </w:pPr>
            <w:r>
              <w:rPr>
                <w:rFonts w:ascii="Arial" w:cs="Arial" w:eastAsia="Arial" w:hAnsi="Arial"/>
                <w:i/>
                <w:iCs/>
                <w:color w:val="666666"/>
                <w:sz w:val="20"/>
                <w:szCs w:val="20"/>
              </w:rPr>
              <w:t xml:space="preserve">Spécification technique pour implémentation Claude Code</w:t>
            </w:r>
          </w:p>
          <w:p>
            <w:pPr>
              <w:spacing w:after="60"/>
              <w:jc w:val="center"/>
            </w:pPr>
            <w:r>
              <w:rPr>
                <w:rFonts w:ascii="Arial" w:cs="Arial" w:eastAsia="Arial" w:hAnsi="Arial"/>
                <w:color w:val="666666"/>
                <w:sz w:val="20"/>
                <w:szCs w:val="20"/>
              </w:rPr>
              <w:t xml:space="preserve">Version 1.0 — Février 2026</w:t>
            </w:r>
          </w:p>
          <w:p>
            <w:pPr>
              <w:spacing w:after="40"/>
              <w:jc w:val="center"/>
            </w:pPr>
            <w:r>
              <w:rPr>
                <w:rFonts w:ascii="Arial" w:cs="Arial" w:eastAsia="Arial" w:hAnsi="Arial"/>
                <w:color w:val="666666"/>
                <w:sz w:val="20"/>
                <w:szCs w:val="20"/>
              </w:rPr>
              <w:t xml:space="preserve">Les Pennes-Mirabeau, Provence-Alpes-Côte d’Azur</w:t>
            </w:r>
          </w:p>
        </w:tc>
      </w:tr>
    </w:tbl>
    <w:p>
      <w:pPr>
        <w:spacing w:after="800"/>
      </w:pPr>
    </w:p>
    <w:p>
      <w:pPr>
        <w:jc w:val="center"/>
      </w:pPr>
      <w:r>
        <w:rPr>
          <w:rFonts w:ascii="Arial" w:cs="Arial" w:eastAsia="Arial" w:hAnsi="Arial"/>
          <w:b/>
          <w:bCs/>
          <w:caps/>
          <w:color w:val="CC0000"/>
          <w:sz w:val="18"/>
          <w:szCs w:val="18"/>
        </w:rPr>
        <w:t xml:space="preserve">CONFIDENTIEL — DOCUMENT DE TRAVAIL</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pPr>
        <w:spacing w:after="120"/>
        <w:jc w:val="left"/>
      </w:pPr>
      <w:r>
        <w:rPr>
          <w:rFonts w:ascii="Arial" w:cs="Arial" w:eastAsia="Arial" w:hAnsi="Arial"/>
          <w:b w:val="false"/>
          <w:bCs w:val="false"/>
          <w:i/>
          <w:iCs/>
          <w:color w:val="333333"/>
          <w:sz w:val="18"/>
          <w:szCs w:val="18"/>
        </w:rPr>
        <w:t xml:space="preserve">Note : Mettre à jour la table des matières après ouverture dans Word (clic droit → Mettre à jour les champs).</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Résumé Exécutif</w:t>
      </w:r>
    </w:p>
    <w:p>
      <w:pPr>
        <w:spacing w:after="120"/>
        <w:jc w:val="left"/>
      </w:pPr>
      <w:r>
        <w:rPr>
          <w:rFonts w:ascii="Arial" w:cs="Arial" w:eastAsia="Arial" w:hAnsi="Arial"/>
          <w:b w:val="false"/>
          <w:bCs w:val="false"/>
          <w:i w:val="false"/>
          <w:iCs w:val="false"/>
          <w:color w:val="333333"/>
          <w:sz w:val="21"/>
          <w:szCs w:val="21"/>
        </w:rPr>
        <w:t xml:space="preserve">Le token IA est devenu la matière première de l’économie cognitive. Depuis que NVIDIA a formalisé le concept d’« AI Factory » — où l’électricité et les données entrent pour produire des tokens en sortie — le ratio token/sec/watt est devenu un indicateur industriel de premier plan. Pourtant, aucune solution intégrée ne permet aujourd’hui aux entreprises européennes de maîtriser cette nouvelle économie.</w:t>
      </w:r>
    </w:p>
    <w:p>
      <w:pPr>
        <w:spacing w:after="120"/>
        <w:jc w:val="left"/>
      </w:pPr>
      <w:r>
        <w:rPr>
          <w:rFonts w:ascii="Arial" w:cs="Arial" w:eastAsia="Arial" w:hAnsi="Arial"/>
          <w:b/>
          <w:bCs/>
          <w:color w:val="1B3A5C"/>
          <w:sz w:val="21"/>
          <w:szCs w:val="21"/>
        </w:rPr>
        <w:t xml:space="preserve">TokenForge</w:t>
      </w:r>
      <w:r>
        <w:rPr>
          <w:rFonts w:ascii="Arial" w:cs="Arial" w:eastAsia="Arial" w:hAnsi="Arial"/>
          <w:color w:val="333333"/>
          <w:sz w:val="21"/>
          <w:szCs w:val="21"/>
        </w:rPr>
        <w:t xml:space="preserve"> est une plateforme SaaS B2B qui unifie quatre fonctions critiques en un seul produit : l’optimisation des coûts tokens (TokenOps), la certification environnementale (Token ESG), la conformité réglementaire (EU AI Act), et le courtage intelligent de capacité d’inférence. Le projet cible les entreprises européennes qui dépensent plus de 100k€/an en API d’IA générative.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Marché adressable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Ticket d’entrée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TRI visé (24 mois)</w:t>
            </w:r>
          </w:p>
        </w:tc>
        <w:tc>
          <w:tcPr>
            <w:tcW w:type="dxa" w:w="225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Emplois créés (Y1)</w:t>
            </w:r>
          </w:p>
        </w:tc>
      </w:tr>
      <w:tr>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2,4 Md€ (Europe)</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80 – 150 k€</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&gt; 300 %</w:t>
            </w:r>
          </w:p>
        </w:tc>
        <w:tc>
          <w:tcPr>
            <w:tcW w:type="dxa" w:w="2258"/>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5 – 8 ETP</w:t>
            </w:r>
          </w:p>
        </w:tc>
      </w:tr>
    </w:tbl>
    <w:p>
      <w:pPr>
        <w:spacing w:after="200"/>
      </w:pPr>
    </w:p>
    <w:p>
      <w:pPr>
        <w:pStyle w:val="Heading1"/>
        <w:spacing w:before="360" w:after="200"/>
      </w:pPr>
      <w:r>
        <w:rPr>
          <w:rFonts w:ascii="Arial" w:cs="Arial" w:eastAsia="Arial" w:hAnsi="Arial"/>
          <w:b/>
          <w:bCs/>
          <w:color w:val="1B3A5C"/>
          <w:sz w:val="32"/>
          <w:szCs w:val="32"/>
        </w:rPr>
        <w:t xml:space="preserve">2. Analyse du Marché et Opportunité</w:t>
      </w:r>
    </w:p>
    <w:p>
      <w:pPr>
        <w:pStyle w:val="Heading2"/>
        <w:spacing w:before="300" w:after="160"/>
      </w:pPr>
      <w:r>
        <w:rPr>
          <w:rFonts w:ascii="Arial" w:cs="Arial" w:eastAsia="Arial" w:hAnsi="Arial"/>
          <w:b/>
          <w:bCs/>
          <w:color w:val="2E86AB"/>
          <w:sz w:val="26"/>
          <w:szCs w:val="26"/>
        </w:rPr>
        <w:t xml:space="preserve">2.1 Contexte macroéconomique</w:t>
      </w:r>
    </w:p>
    <w:p>
      <w:pPr>
        <w:spacing w:after="120"/>
        <w:jc w:val="left"/>
      </w:pPr>
      <w:r>
        <w:rPr>
          <w:rFonts w:ascii="Arial" w:cs="Arial" w:eastAsia="Arial" w:hAnsi="Arial"/>
          <w:b w:val="false"/>
          <w:bCs w:val="false"/>
          <w:i w:val="false"/>
          <w:iCs w:val="false"/>
          <w:color w:val="333333"/>
          <w:sz w:val="21"/>
          <w:szCs w:val="21"/>
        </w:rPr>
        <w:t xml:space="preserve">L’industrie de l’IA générative connaît une croissance exponentielle. Les dépenses mondiales en tokens d’inférence ont dépassé 12 milliards de dollars en 2025, avec une projection de 45 milliards pour 2028. En Europe, les grands comptes dépensent déjà en moyenne 2 M€/an en API (GPT-4o, Claude, Gemini), sans aucun outil sérieux de pilotage économique.</w:t>
      </w:r>
    </w:p>
    <w:p>
      <w:pPr>
        <w:spacing w:after="120"/>
        <w:jc w:val="left"/>
      </w:pPr>
      <w:r>
        <w:rPr>
          <w:rFonts w:ascii="Arial" w:cs="Arial" w:eastAsia="Arial" w:hAnsi="Arial"/>
          <w:b w:val="false"/>
          <w:bCs w:val="false"/>
          <w:i w:val="false"/>
          <w:iCs w:val="false"/>
          <w:color w:val="333333"/>
          <w:sz w:val="21"/>
          <w:szCs w:val="21"/>
        </w:rPr>
        <w:t xml:space="preserve">Les prix des tokens varient d’un facteur x3 selon le créneau horaire, la région cloud et le modèle utilisé. Un nœud DGX B200 Blackwell délivre désormais plus de 1 000 tokens/s/utilisateur sur Llama-4, rendant l’inférence locale économiquement viable pour la première fois.</w:t>
      </w:r>
    </w:p>
    <w:p>
      <w:pPr>
        <w:pStyle w:val="Heading2"/>
        <w:spacing w:before="300" w:after="160"/>
      </w:pPr>
      <w:r>
        <w:rPr>
          <w:rFonts w:ascii="Arial" w:cs="Arial" w:eastAsia="Arial" w:hAnsi="Arial"/>
          <w:b/>
          <w:bCs/>
          <w:color w:val="2E86AB"/>
          <w:sz w:val="26"/>
          <w:szCs w:val="26"/>
        </w:rPr>
        <w:t xml:space="preserve">2.2 Problèmes identifiés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Problème</w:t>
            </w:r>
          </w:p>
        </w:tc>
        <w:tc>
          <w:tcPr>
            <w:tcW w:type="dxa" w:w="351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Impact business</w:t>
            </w:r>
          </w:p>
        </w:tc>
        <w:tc>
          <w:tcPr>
            <w:tcW w:type="dxa" w:w="351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Solution TokenForge</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Opacité des coûts</w:t>
            </w:r>
          </w:p>
        </w:tc>
        <w:tc>
          <w:tcPr>
            <w:tcW w:type="dxa" w:w="351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Jusqu’à 40 % de tokens gaspillés (prompts non optimisés, modèles surdimensionnés)</w:t>
            </w:r>
          </w:p>
        </w:tc>
        <w:tc>
          <w:tcPr>
            <w:tcW w:type="dxa" w:w="351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Module TokenOps : dashboard €/token utile, alertes, recommandations automatiques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Conformité EU AI Act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Dès 2026, obligation de traçabilité énergétique pour toute IA « haute efficacité »</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Module Compliance : audit automatisé, rapports pré-formatés, registre d’utilisation</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Empreinte carbone</w:t>
            </w:r>
          </w:p>
        </w:tc>
        <w:tc>
          <w:tcPr>
            <w:tcW w:type="dxa" w:w="351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Aucune certification standardisée du CO₂ par token — risque de greenwashing</w:t>
            </w:r>
          </w:p>
        </w:tc>
        <w:tc>
          <w:tcPr>
            <w:tcW w:type="dxa" w:w="351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Module ESG : certificats « green token », compensation carbone vérifiable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Volatilité des prix</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Variation x3 intra-journée sur les API cloud — budgets imprévisibles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Module Broker : routage intelligent multi-provider, contrats à terme, arbitrage</w:t>
            </w:r>
          </w:p>
        </w:tc>
      </w:tr>
    </w:tbl>
    <w:p>
      <w:pPr>
        <w:spacing w:after="100"/>
      </w:pPr>
    </w:p>
    <w:p>
      <w:pPr>
        <w:pStyle w:val="Heading2"/>
        <w:spacing w:before="300" w:after="160"/>
      </w:pPr>
      <w:r>
        <w:rPr>
          <w:rFonts w:ascii="Arial" w:cs="Arial" w:eastAsia="Arial" w:hAnsi="Arial"/>
          <w:b/>
          <w:bCs/>
          <w:color w:val="2E86AB"/>
          <w:sz w:val="26"/>
          <w:szCs w:val="26"/>
        </w:rPr>
        <w:t xml:space="preserve">2.3 Positionnement concurrentiel</w:t>
      </w:r>
    </w:p>
    <w:p>
      <w:pPr>
        <w:spacing w:after="120"/>
        <w:jc w:val="left"/>
      </w:pPr>
      <w:r>
        <w:rPr>
          <w:rFonts w:ascii="Arial" w:cs="Arial" w:eastAsia="Arial" w:hAnsi="Arial"/>
          <w:b w:val="false"/>
          <w:bCs w:val="false"/>
          <w:i w:val="false"/>
          <w:iCs w:val="false"/>
          <w:color w:val="333333"/>
          <w:sz w:val="21"/>
          <w:szCs w:val="21"/>
        </w:rPr>
        <w:t xml:space="preserve">Aucun acteur européen ne propose aujourd’hui une plateforme intégrée couvrant ces quatre dimensions. Les solutions existantes sont fragmentaires : des outils d’observabilité LLM (LangSmith, Helicone) qui ne couvrent pas la conformité, des cabinets de conseil AI Act sans compétence technique token, des initiatives ESG déconnectées de l’optimisation économique. TokenForge occupe une position unique à l’intersection de ces quatre besoins.</w:t>
      </w:r>
    </w:p>
    <w:p>
      <w:pPr>
        <w:spacing w:after="100"/>
      </w:pPr>
    </w:p>
    <w:p>
      <w:pPr>
        <w:pStyle w:val="Heading1"/>
        <w:spacing w:before="360" w:after="200"/>
      </w:pPr>
      <w:r>
        <w:rPr>
          <w:rFonts w:ascii="Arial" w:cs="Arial" w:eastAsia="Arial" w:hAnsi="Arial"/>
          <w:b/>
          <w:bCs/>
          <w:color w:val="1B3A5C"/>
          <w:sz w:val="32"/>
          <w:szCs w:val="32"/>
        </w:rPr>
        <w:t xml:space="preserve">3. Architecture Produit Unifiée</w:t>
      </w:r>
    </w:p>
    <w:p>
      <w:pPr>
        <w:pStyle w:val="Heading2"/>
        <w:spacing w:before="300" w:after="160"/>
      </w:pPr>
      <w:r>
        <w:rPr>
          <w:rFonts w:ascii="Arial" w:cs="Arial" w:eastAsia="Arial" w:hAnsi="Arial"/>
          <w:b/>
          <w:bCs/>
          <w:color w:val="2E86AB"/>
          <w:sz w:val="26"/>
          <w:szCs w:val="26"/>
        </w:rPr>
        <w:t xml:space="preserve">3.1 Vue d’ensemble</w:t>
      </w:r>
    </w:p>
    <w:p>
      <w:pPr>
        <w:spacing w:after="120"/>
        <w:jc w:val="left"/>
      </w:pPr>
      <w:r>
        <w:rPr>
          <w:rFonts w:ascii="Arial" w:cs="Arial" w:eastAsia="Arial" w:hAnsi="Arial"/>
          <w:b w:val="false"/>
          <w:bCs w:val="false"/>
          <w:i w:val="false"/>
          <w:iCs w:val="false"/>
          <w:color w:val="333333"/>
          <w:sz w:val="21"/>
          <w:szCs w:val="21"/>
        </w:rPr>
        <w:t xml:space="preserve">TokenForge est construit comme une plateforme modulaire où quatre moteurs spécialisés partagent un socle de données commun. Chaque module peut être activé indépendamment, mais leur combinaison crée une synergie unique.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120"/>
              <w:jc w:val="center"/>
            </w:pPr>
            <w:r>
              <w:rPr>
                <w:rFonts w:ascii="Arial" w:cs="Arial" w:eastAsia="Arial" w:hAnsi="Arial"/>
                <w:b/>
                <w:bCs/>
                <w:color w:val="1B3A5C"/>
                <w:sz w:val="22"/>
                <w:szCs w:val="22"/>
              </w:rPr>
              <w:t xml:space="preserve">ARCHITECTURE TOKENFORGE</w:t>
            </w:r>
          </w:p>
          <w:p>
            <w:pPr>
              <w:spacing w:after="80"/>
              <w:jc w:val="center"/>
            </w:pPr>
            <w:r>
              <w:rPr>
                <w:rFonts w:ascii="Courier New" w:cs="Courier New" w:eastAsia="Courier New" w:hAnsi="Courier New"/>
                <w:color w:val="0F2440"/>
                <w:sz w:val="16"/>
                <w:szCs w:val="16"/>
              </w:rPr>
              <w:t xml:space="preserve">┌────────────────────────────────────────────────────────────┐</w:t>
            </w:r>
          </w:p>
          <w:p>
            <w:pPr>
              <w:spacing w:after="40"/>
              <w:jc w:val="center"/>
            </w:pPr>
            <w:r>
              <w:rPr>
                <w:rFonts w:ascii="Courier New" w:cs="Courier New" w:eastAsia="Courier New" w:hAnsi="Courier New"/>
                <w:color w:val="0F2440"/>
                <w:sz w:val="16"/>
                <w:szCs w:val="16"/>
              </w:rPr>
              <w:t xml:space="preserve">│  FRONTEND : Next.js 15 + Tailwind + shadcn/ui + Recharts  │</w:t>
            </w:r>
          </w:p>
          <w:p>
            <w:pPr>
              <w:spacing w:after="80"/>
              <w:jc w:val="center"/>
            </w:pPr>
            <w:r>
              <w:rPr>
                <w:rFonts w:ascii="Courier New" w:cs="Courier New" w:eastAsia="Courier New" w:hAnsi="Courier New"/>
                <w:color w:val="0F2440"/>
                <w:sz w:val="16"/>
                <w:szCs w:val="16"/>
              </w:rPr>
              <w:t xml:space="preserve">└────────────────────────────────────────────────────────────┘</w:t>
            </w:r>
          </w:p>
          <w:p>
            <w:pPr>
              <w:spacing w:after="80"/>
              <w:jc w:val="center"/>
            </w:pPr>
            <w:r>
              <w:rPr>
                <w:rFonts w:ascii="Courier New" w:cs="Courier New" w:eastAsia="Courier New" w:hAnsi="Courier New"/>
                <w:color w:val="2E86AB"/>
                <w:sz w:val="16"/>
                <w:szCs w:val="16"/>
              </w:rPr>
              <w:t xml:space="preserve">▼                    ▼                    ▼                    ▼</w:t>
            </w:r>
          </w:p>
          <w:p>
            <w:pPr>
              <w:spacing w:after="40"/>
              <w:jc w:val="center"/>
            </w:pPr>
            <w:r>
              <w:rPr>
                <w:rFonts w:ascii="Courier New" w:cs="Courier New" w:eastAsia="Courier New" w:hAnsi="Courier New"/>
                <w:color w:val="0F2440"/>
                <w:sz w:val="16"/>
                <w:szCs w:val="16"/>
              </w:rPr>
              <w:t xml:space="preserve">┌───────────┐  ┌───────────┐  ┌───────────┐  ┌───────────┐</w:t>
            </w:r>
          </w:p>
          <w:p>
            <w:pPr>
              <w:spacing w:after="40"/>
              <w:jc w:val="center"/>
            </w:pPr>
            <w:r>
              <w:rPr>
                <w:rFonts w:ascii="Courier New" w:cs="Courier New" w:eastAsia="Courier New" w:hAnsi="Courier New"/>
                <w:color w:val="0F2440"/>
                <w:sz w:val="16"/>
                <w:szCs w:val="16"/>
              </w:rPr>
              <w:t xml:space="preserve">│ TokenOps  │  │  ESG Cert │  │ Compliance│  │  Broker   │</w:t>
            </w:r>
          </w:p>
          <w:p>
            <w:pPr>
              <w:spacing w:after="80"/>
              <w:jc w:val="center"/>
            </w:pPr>
            <w:r>
              <w:rPr>
                <w:rFonts w:ascii="Courier New" w:cs="Courier New" w:eastAsia="Courier New" w:hAnsi="Courier New"/>
                <w:color w:val="0F2440"/>
                <w:sz w:val="16"/>
                <w:szCs w:val="16"/>
              </w:rPr>
              <w:t xml:space="preserve">└───────────┘  └───────────┘  └───────────┘  └───────────┘</w:t>
            </w:r>
          </w:p>
          <w:p>
            <w:pPr>
              <w:spacing w:after="80"/>
              <w:jc w:val="center"/>
            </w:pPr>
            <w:r>
              <w:rPr>
                <w:rFonts w:ascii="Courier New" w:cs="Courier New" w:eastAsia="Courier New" w:hAnsi="Courier New"/>
                <w:color w:val="2E86AB"/>
                <w:sz w:val="16"/>
                <w:szCs w:val="16"/>
              </w:rPr>
              <w:t xml:space="preserve">▼                    ▼                    ▼                    ▼</w:t>
            </w:r>
          </w:p>
          <w:p>
            <w:pPr>
              <w:spacing w:after="40"/>
              <w:jc w:val="center"/>
            </w:pPr>
            <w:r>
              <w:rPr>
                <w:rFonts w:ascii="Courier New" w:cs="Courier New" w:eastAsia="Courier New" w:hAnsi="Courier New"/>
                <w:color w:val="0F2440"/>
                <w:sz w:val="16"/>
                <w:szCs w:val="16"/>
              </w:rPr>
              <w:t xml:space="preserve">┌────────────────────────────────────────────────────────────┐</w:t>
            </w:r>
          </w:p>
          <w:p>
            <w:pPr>
              <w:spacing w:after="40"/>
              <w:jc w:val="center"/>
            </w:pPr>
            <w:r>
              <w:rPr>
                <w:rFonts w:ascii="Courier New" w:cs="Courier New" w:eastAsia="Courier New" w:hAnsi="Courier New"/>
                <w:color w:val="0F2440"/>
                <w:sz w:val="16"/>
                <w:szCs w:val="16"/>
              </w:rPr>
              <w:t xml:space="preserve">│       API GATEWAY (Hono.js / tRPC sur Bun)               │</w:t>
            </w:r>
          </w:p>
          <w:p>
            <w:pPr>
              <w:spacing w:after="80"/>
              <w:jc w:val="center"/>
            </w:pPr>
            <w:r>
              <w:rPr>
                <w:rFonts w:ascii="Courier New" w:cs="Courier New" w:eastAsia="Courier New" w:hAnsi="Courier New"/>
                <w:color w:val="0F2440"/>
                <w:sz w:val="16"/>
                <w:szCs w:val="16"/>
              </w:rPr>
              <w:t xml:space="preserve">└────────────────────────────────────────────────────────────┘</w:t>
            </w:r>
          </w:p>
          <w:p>
            <w:pPr>
              <w:spacing w:after="80"/>
              <w:jc w:val="center"/>
            </w:pPr>
            <w:r>
              <w:rPr>
                <w:rFonts w:ascii="Courier New" w:cs="Courier New" w:eastAsia="Courier New" w:hAnsi="Courier New"/>
                <w:color w:val="2E86AB"/>
                <w:sz w:val="16"/>
                <w:szCs w:val="16"/>
              </w:rPr>
              <w:t xml:space="preserve">▼                                        ▼</w:t>
            </w:r>
          </w:p>
          <w:p>
            <w:pPr>
              <w:spacing w:after="40"/>
              <w:jc w:val="center"/>
            </w:pPr>
            <w:r>
              <w:rPr>
                <w:rFonts w:ascii="Courier New" w:cs="Courier New" w:eastAsia="Courier New" w:hAnsi="Courier New"/>
                <w:color w:val="0F2440"/>
                <w:sz w:val="16"/>
                <w:szCs w:val="16"/>
              </w:rPr>
              <w:t xml:space="preserve">┌──────────────────────────┐  ┌─────────────────────────────┐</w:t>
            </w:r>
          </w:p>
          <w:p>
            <w:pPr>
              <w:spacing w:after="40"/>
              <w:jc w:val="center"/>
            </w:pPr>
            <w:r>
              <w:rPr>
                <w:rFonts w:ascii="Courier New" w:cs="Courier New" w:eastAsia="Courier New" w:hAnsi="Courier New"/>
                <w:color w:val="0F2440"/>
                <w:sz w:val="16"/>
                <w:szCs w:val="16"/>
              </w:rPr>
              <w:t xml:space="preserve">│ PostgreSQL (Supabase)    │  │ ClickHouse (analytics)     │</w:t>
            </w:r>
          </w:p>
          <w:p>
            <w:pPr>
              <w:spacing w:after="40"/>
              <w:jc w:val="center"/>
            </w:pPr>
            <w:r>
              <w:rPr>
                <w:rFonts w:ascii="Courier New" w:cs="Courier New" w:eastAsia="Courier New" w:hAnsi="Courier New"/>
                <w:color w:val="0F2440"/>
                <w:sz w:val="16"/>
                <w:szCs w:val="16"/>
              </w:rPr>
              <w:t xml:space="preserve">└──────────────────────────┘  └─────────────────────────────┘</w:t>
            </w:r>
          </w:p>
        </w:tc>
      </w:tr>
    </w:tbl>
    <w:p>
      <w:pPr>
        <w:spacing w:after="200"/>
      </w:pPr>
    </w:p>
    <w:p>
      <w:pPr>
        <w:pStyle w:val="Heading2"/>
        <w:spacing w:before="300" w:after="160"/>
      </w:pPr>
      <w:r>
        <w:rPr>
          <w:rFonts w:ascii="Arial" w:cs="Arial" w:eastAsia="Arial" w:hAnsi="Arial"/>
          <w:b/>
          <w:bCs/>
          <w:color w:val="2E86AB"/>
          <w:sz w:val="26"/>
          <w:szCs w:val="26"/>
        </w:rPr>
        <w:t xml:space="preserve">3.2 Module 1 — TokenOps (Optimisation des coûts)</w:t>
      </w:r>
    </w:p>
    <w:p>
      <w:pPr>
        <w:pStyle w:val="Heading3"/>
        <w:spacing w:before="240" w:after="120"/>
      </w:pPr>
      <w:r>
        <w:rPr>
          <w:rFonts w:ascii="Arial" w:cs="Arial" w:eastAsia="Arial" w:hAnsi="Arial"/>
          <w:b/>
          <w:bCs/>
          <w:color w:val="0F2440"/>
          <w:sz w:val="22"/>
          <w:szCs w:val="22"/>
        </w:rPr>
        <w:t xml:space="preserve">3.2.1 Description fonctionnelle</w:t>
      </w:r>
    </w:p>
    <w:p>
      <w:pPr>
        <w:spacing w:after="120"/>
        <w:jc w:val="left"/>
      </w:pPr>
      <w:r>
        <w:rPr>
          <w:rFonts w:ascii="Arial" w:cs="Arial" w:eastAsia="Arial" w:hAnsi="Arial"/>
          <w:b w:val="false"/>
          <w:bCs w:val="false"/>
          <w:i w:val="false"/>
          <w:iCs w:val="false"/>
          <w:color w:val="333333"/>
          <w:sz w:val="21"/>
          <w:szCs w:val="21"/>
        </w:rPr>
        <w:t xml:space="preserve">TokenOps est le cœur économique de la plateforme. Il capture en temps réel toutes les consommations de tokens via un proxy API transparent ou des SDK légers, puis les analyse pour détecter les gaspillages et recommander des optimisations.</w:t>
      </w:r>
    </w:p>
    <w:p>
      <w:pPr>
        <w:pStyle w:val="Heading3"/>
        <w:spacing w:before="240" w:after="120"/>
      </w:pPr>
      <w:r>
        <w:rPr>
          <w:rFonts w:ascii="Arial" w:cs="Arial" w:eastAsia="Arial" w:hAnsi="Arial"/>
          <w:b/>
          <w:bCs/>
          <w:color w:val="0F2440"/>
          <w:sz w:val="22"/>
          <w:szCs w:val="22"/>
        </w:rPr>
        <w:t xml:space="preserve">3.2.2 Fonctionnalités détaillées</w:t>
      </w:r>
    </w:p>
    <w:p>
      <w:pPr>
        <w:pStyle w:val="ListParagraph"/>
        <w:numPr>
          <w:ilvl w:val="0"/>
          <w:numId w:val="2"/>
        </w:numPr>
        <w:spacing w:after="80"/>
      </w:pPr>
      <w:r>
        <w:rPr>
          <w:rFonts w:ascii="Arial" w:cs="Arial" w:eastAsia="Arial" w:hAnsi="Arial"/>
          <w:sz w:val="21"/>
          <w:szCs w:val="21"/>
        </w:rPr>
        <w:t xml:space="preserve">Proxy API transparent : interception et logging de toutes les requêtes vers OpenAI, Anthropic, Mistral, Cohere, Google. Déploiement en 5 minutes via changement d’URL de base.</w:t>
      </w:r>
    </w:p>
    <w:p>
      <w:pPr>
        <w:pStyle w:val="ListParagraph"/>
        <w:numPr>
          <w:ilvl w:val="0"/>
          <w:numId w:val="2"/>
        </w:numPr>
        <w:spacing w:after="80"/>
      </w:pPr>
      <w:r>
        <w:rPr>
          <w:rFonts w:ascii="Arial" w:cs="Arial" w:eastAsia="Arial" w:hAnsi="Arial"/>
          <w:sz w:val="21"/>
          <w:szCs w:val="21"/>
        </w:rPr>
        <w:t xml:space="preserve">Dashboard €/token utile : ratio entre tokens générés et tokens effectivement exploités par l’application. Granularité par projet, équipe, modèle, endpoint.</w:t>
      </w:r>
    </w:p>
    <w:p>
      <w:pPr>
        <w:pStyle w:val="ListParagraph"/>
        <w:numPr>
          <w:ilvl w:val="0"/>
          <w:numId w:val="2"/>
        </w:numPr>
        <w:spacing w:after="80"/>
      </w:pPr>
      <w:r>
        <w:rPr>
          <w:rFonts w:ascii="Arial" w:cs="Arial" w:eastAsia="Arial" w:hAnsi="Arial"/>
          <w:sz w:val="21"/>
          <w:szCs w:val="21"/>
        </w:rPr>
        <w:t xml:space="preserve">Moteur de recommandation : suggère automatiquement le modèle optimal (ex. basculer de GPT-4o à Claude Haiku pour les tâches simples), le prompt engineering à appliquer, et le caching sémantique.</w:t>
      </w:r>
    </w:p>
    <w:p>
      <w:pPr>
        <w:pStyle w:val="ListParagraph"/>
        <w:numPr>
          <w:ilvl w:val="0"/>
          <w:numId w:val="2"/>
        </w:numPr>
        <w:spacing w:after="80"/>
      </w:pPr>
      <w:r>
        <w:rPr>
          <w:rFonts w:ascii="Arial" w:cs="Arial" w:eastAsia="Arial" w:hAnsi="Arial"/>
          <w:sz w:val="21"/>
          <w:szCs w:val="21"/>
        </w:rPr>
        <w:t xml:space="preserve">Alertes budgétaires : notifications temps réel quand un projet dépasse son budget token alloué, avec kill-switch optionnel.</w:t>
      </w:r>
    </w:p>
    <w:p>
      <w:pPr>
        <w:pStyle w:val="ListParagraph"/>
        <w:numPr>
          <w:ilvl w:val="0"/>
          <w:numId w:val="2"/>
        </w:numPr>
        <w:spacing w:after="80"/>
      </w:pPr>
      <w:r>
        <w:rPr>
          <w:rFonts w:ascii="Arial" w:cs="Arial" w:eastAsia="Arial" w:hAnsi="Arial"/>
          <w:sz w:val="21"/>
          <w:szCs w:val="21"/>
        </w:rPr>
        <w:t xml:space="preserve">Cache sémantique : détection des requêtes similaires déjà traitées, réponse depuis le cache sans consommer de tokens (économie moyenne : 15-25 %).</w:t>
      </w:r>
    </w:p>
    <w:p>
      <w:pPr>
        <w:pStyle w:val="Heading3"/>
        <w:spacing w:before="240" w:after="120"/>
      </w:pPr>
      <w:r>
        <w:rPr>
          <w:rFonts w:ascii="Arial" w:cs="Arial" w:eastAsia="Arial" w:hAnsi="Arial"/>
          <w:b/>
          <w:bCs/>
          <w:color w:val="0F2440"/>
          <w:sz w:val="22"/>
          <w:szCs w:val="22"/>
        </w:rPr>
        <w:t xml:space="preserve">3.2.3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Composant</w:t>
            </w:r>
          </w:p>
        </w:tc>
        <w:tc>
          <w:tcPr>
            <w:tcW w:type="dxa" w:w="326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Technologie</w:t>
            </w:r>
          </w:p>
        </w:tc>
        <w:tc>
          <w:tcPr>
            <w:tcW w:type="dxa" w:w="326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Justification</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Proxy API</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Bun + Hono.js</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Performance (&gt;50k req/s), faible latence ajoutée (&lt;2ms)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Ingestion logs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ClickHouse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OLAP optimisé pour les séries temporelles, requêtes analytiques rapides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Cache sémantique</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Redis + pgvector</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Embeddings pour similarité sémantique, Redis pour le hot cache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Dashboard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Next.js 15 + Recharts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SSR pour le SEO, composants interactifs performants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Auth &amp; DB</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Supabase (PostgreSQL + Auth)</w:t>
            </w:r>
          </w:p>
        </w:tc>
        <w:tc>
          <w:tcPr>
            <w:tcW w:type="dxa" w:w="3263"/>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Open source, Row Level Security, temps réel via WebSockets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File d’attente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BullMQ (Redis)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Jobs asynchrones : rapports, alertes, batch processing</w:t>
            </w:r>
          </w:p>
        </w:tc>
      </w:tr>
    </w:tbl>
    <w:p>
      <w:pPr>
        <w:spacing w:after="200"/>
      </w:pPr>
    </w:p>
    <w:p>
      <w:pPr>
        <w:pStyle w:val="Heading2"/>
        <w:spacing w:before="300" w:after="160"/>
      </w:pPr>
      <w:r>
        <w:rPr>
          <w:rFonts w:ascii="Arial" w:cs="Arial" w:eastAsia="Arial" w:hAnsi="Arial"/>
          <w:b/>
          <w:bCs/>
          <w:color w:val="2E86AB"/>
          <w:sz w:val="26"/>
          <w:szCs w:val="26"/>
        </w:rPr>
        <w:t xml:space="preserve">3.3 Module 2 — Token ESG (Certification environnementale)</w:t>
      </w:r>
    </w:p>
    <w:p>
      <w:pPr>
        <w:pStyle w:val="Heading3"/>
        <w:spacing w:before="240" w:after="120"/>
      </w:pPr>
      <w:r>
        <w:rPr>
          <w:rFonts w:ascii="Arial" w:cs="Arial" w:eastAsia="Arial" w:hAnsi="Arial"/>
          <w:b/>
          <w:bCs/>
          <w:color w:val="0F2440"/>
          <w:sz w:val="22"/>
          <w:szCs w:val="22"/>
        </w:rPr>
        <w:t xml:space="preserve">3.3.1 Description fonctionnelle</w:t>
      </w:r>
    </w:p>
    <w:p>
      <w:pPr>
        <w:spacing w:after="120"/>
        <w:jc w:val="left"/>
      </w:pPr>
      <w:r>
        <w:rPr>
          <w:rFonts w:ascii="Arial" w:cs="Arial" w:eastAsia="Arial" w:hAnsi="Arial"/>
          <w:b w:val="false"/>
          <w:bCs w:val="false"/>
          <w:i w:val="false"/>
          <w:iCs w:val="false"/>
          <w:color w:val="333333"/>
          <w:sz w:val="21"/>
          <w:szCs w:val="21"/>
        </w:rPr>
        <w:t xml:space="preserve">L’EU AI Act impose la publication de l’empreinte énergétique des modèles d’IA. Token ESG répond à ce besoin en créant un standard de certification « green token » basé sur la localisation géographique de l’inférence, le mix énergétique utilisé, et l’efficacité du matériel.</w:t>
      </w:r>
    </w:p>
    <w:p>
      <w:pPr>
        <w:pStyle w:val="Heading3"/>
        <w:spacing w:before="240" w:after="120"/>
      </w:pPr>
      <w:r>
        <w:rPr>
          <w:rFonts w:ascii="Arial" w:cs="Arial" w:eastAsia="Arial" w:hAnsi="Arial"/>
          <w:b/>
          <w:bCs/>
          <w:color w:val="0F2440"/>
          <w:sz w:val="22"/>
          <w:szCs w:val="22"/>
        </w:rPr>
        <w:t xml:space="preserve">3.3.2 Fonctionnalités détaillées</w:t>
      </w:r>
    </w:p>
    <w:p>
      <w:pPr>
        <w:pStyle w:val="ListParagraph"/>
        <w:numPr>
          <w:ilvl w:val="0"/>
          <w:numId w:val="2"/>
        </w:numPr>
        <w:spacing w:after="80"/>
      </w:pPr>
      <w:r>
        <w:rPr>
          <w:rFonts w:ascii="Arial" w:cs="Arial" w:eastAsia="Arial" w:hAnsi="Arial"/>
          <w:sz w:val="21"/>
          <w:szCs w:val="21"/>
        </w:rPr>
        <w:t xml:space="preserve">Calcul automatique de l’empreinte carbone par requête : croisement modèle utilisé × région cloud × PUE datacenter × mix énergétique régional.</w:t>
      </w:r>
    </w:p>
    <w:p>
      <w:pPr>
        <w:pStyle w:val="ListParagraph"/>
        <w:numPr>
          <w:ilvl w:val="0"/>
          <w:numId w:val="2"/>
        </w:numPr>
        <w:spacing w:after="80"/>
      </w:pPr>
      <w:r>
        <w:rPr>
          <w:rFonts w:ascii="Arial" w:cs="Arial" w:eastAsia="Arial" w:hAnsi="Arial"/>
          <w:sz w:val="21"/>
          <w:szCs w:val="21"/>
        </w:rPr>
        <w:t xml:space="preserve">Certificats vérifiables : « 1M tokens = X kgCO₂ évités », comparaison avec la moyenne du marché. Registre immuable (PostgreSQL + signature cryptographique).</w:t>
      </w:r>
    </w:p>
    <w:p>
      <w:pPr>
        <w:pStyle w:val="ListParagraph"/>
        <w:numPr>
          <w:ilvl w:val="0"/>
          <w:numId w:val="2"/>
        </w:numPr>
        <w:spacing w:after="80"/>
      </w:pPr>
      <w:r>
        <w:rPr>
          <w:rFonts w:ascii="Arial" w:cs="Arial" w:eastAsia="Arial" w:hAnsi="Arial"/>
          <w:sz w:val="21"/>
          <w:szCs w:val="21"/>
        </w:rPr>
        <w:t xml:space="preserve">API de compensation : intégration avec des plateformes de crédits carbone existantes pour la compensation automatique.</w:t>
      </w:r>
    </w:p>
    <w:p>
      <w:pPr>
        <w:pStyle w:val="ListParagraph"/>
        <w:numPr>
          <w:ilvl w:val="0"/>
          <w:numId w:val="2"/>
        </w:numPr>
        <w:spacing w:after="80"/>
      </w:pPr>
      <w:r>
        <w:rPr>
          <w:rFonts w:ascii="Arial" w:cs="Arial" w:eastAsia="Arial" w:hAnsi="Arial"/>
          <w:sz w:val="21"/>
          <w:szCs w:val="21"/>
        </w:rPr>
        <w:t xml:space="preserve">Rapports ESG générés automatiquement : conformes aux standards CSRD pour inclusion dans les rapports de durabilité des entreprises.</w:t>
      </w:r>
    </w:p>
    <w:p>
      <w:pPr>
        <w:pStyle w:val="Heading3"/>
        <w:spacing w:before="240" w:after="120"/>
      </w:pPr>
      <w:r>
        <w:rPr>
          <w:rFonts w:ascii="Arial" w:cs="Arial" w:eastAsia="Arial" w:hAnsi="Arial"/>
          <w:b/>
          <w:bCs/>
          <w:color w:val="0F2440"/>
          <w:sz w:val="22"/>
          <w:szCs w:val="22"/>
        </w:rPr>
        <w:t xml:space="preserve">3.3.3 Modèle de données</w:t>
      </w:r>
    </w:p>
    <w:p>
      <w:pPr>
        <w:spacing w:after="120"/>
        <w:jc w:val="left"/>
      </w:pPr>
      <w:r>
        <w:rPr>
          <w:rFonts w:ascii="Arial" w:cs="Arial" w:eastAsia="Arial" w:hAnsi="Arial"/>
          <w:b w:val="false"/>
          <w:bCs w:val="false"/>
          <w:i w:val="false"/>
          <w:iCs w:val="false"/>
          <w:color w:val="333333"/>
          <w:sz w:val="21"/>
          <w:szCs w:val="21"/>
        </w:rPr>
        <w:t xml:space="preserve">Chaque requête interceptée est enrichie avec les métadonnées environnementales suivantes, stockées dans la table carbon_footprint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Champ</w:t>
            </w:r>
          </w:p>
        </w:tc>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Type</w:t>
            </w:r>
          </w:p>
        </w:tc>
        <w:tc>
          <w:tcPr>
            <w:tcW w:type="dxa" w:w="4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request_id</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UUID</w:t>
            </w:r>
          </w:p>
        </w:tc>
        <w:tc>
          <w:tcPr>
            <w:tcW w:type="dxa" w:w="4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Référence vers la requête interceptée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provider_region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VARCHAR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Région cloud (ex. eu-west-1, us-east-1)</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energy_mix_gco2_kwh</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FLOAT</w:t>
            </w:r>
          </w:p>
        </w:tc>
        <w:tc>
          <w:tcPr>
            <w:tcW w:type="dxa" w:w="4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Intensité carbone du réseau électrique (gCO₂/kWh)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gpu_type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VARCHAR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Type de GPU utilisé (H100, B200, A100...)</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pue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FLOAT</w:t>
            </w:r>
          </w:p>
        </w:tc>
        <w:tc>
          <w:tcPr>
            <w:tcW w:type="dxa" w:w="4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Power Usage Effectiveness du datacenter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tokens_processed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INTEGER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Nombre total de tokens (input + output)</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energy_consumed_wh</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FLOAT</w:t>
            </w:r>
          </w:p>
        </w:tc>
        <w:tc>
          <w:tcPr>
            <w:tcW w:type="dxa" w:w="4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Estimation énergie consommée en Wh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co2_grams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Empreinte carbone calculée en grammes de CO₂</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certificate_hash</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VARCHAR</w:t>
            </w:r>
          </w:p>
        </w:tc>
        <w:tc>
          <w:tcPr>
            <w:tcW w:type="dxa" w:w="4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Hash SHA-256 du certificat généré</w:t>
            </w:r>
          </w:p>
        </w:tc>
      </w:tr>
    </w:tbl>
    <w:p>
      <w:pPr>
        <w:spacing w:after="200"/>
      </w:pPr>
    </w:p>
    <w:p>
      <w:pPr>
        <w:pStyle w:val="Heading2"/>
        <w:spacing w:before="300" w:after="160"/>
      </w:pPr>
      <w:r>
        <w:rPr>
          <w:rFonts w:ascii="Arial" w:cs="Arial" w:eastAsia="Arial" w:hAnsi="Arial"/>
          <w:b/>
          <w:bCs/>
          <w:color w:val="2E86AB"/>
          <w:sz w:val="26"/>
          <w:szCs w:val="26"/>
        </w:rPr>
        <w:t xml:space="preserve">3.4 Module 3 — Compliance (Conformité EU AI Act)</w:t>
      </w:r>
    </w:p>
    <w:p>
      <w:pPr>
        <w:pStyle w:val="Heading3"/>
        <w:spacing w:before="240" w:after="120"/>
      </w:pPr>
      <w:r>
        <w:rPr>
          <w:rFonts w:ascii="Arial" w:cs="Arial" w:eastAsia="Arial" w:hAnsi="Arial"/>
          <w:b/>
          <w:bCs/>
          <w:color w:val="0F2440"/>
          <w:sz w:val="22"/>
          <w:szCs w:val="22"/>
        </w:rPr>
        <w:t xml:space="preserve">3.4.1 Description fonctionnelle</w:t>
      </w:r>
    </w:p>
    <w:p>
      <w:pPr>
        <w:spacing w:after="120"/>
        <w:jc w:val="left"/>
      </w:pPr>
      <w:r>
        <w:rPr>
          <w:rFonts w:ascii="Arial" w:cs="Arial" w:eastAsia="Arial" w:hAnsi="Arial"/>
          <w:b w:val="false"/>
          <w:bCs w:val="false"/>
          <w:i w:val="false"/>
          <w:iCs w:val="false"/>
          <w:color w:val="333333"/>
          <w:sz w:val="21"/>
          <w:szCs w:val="21"/>
        </w:rPr>
        <w:t xml:space="preserve">Le module Compliance automatise la mise en conformité avec l’EU AI Act en générant les rapports de traçabilité requis : chaîne GPU → token, provenance des modèles, classification des risques, et documentation des usages.</w:t>
      </w:r>
    </w:p>
    <w:p>
      <w:pPr>
        <w:pStyle w:val="Heading3"/>
        <w:spacing w:before="240" w:after="120"/>
      </w:pPr>
      <w:r>
        <w:rPr>
          <w:rFonts w:ascii="Arial" w:cs="Arial" w:eastAsia="Arial" w:hAnsi="Arial"/>
          <w:b/>
          <w:bCs/>
          <w:color w:val="0F2440"/>
          <w:sz w:val="22"/>
          <w:szCs w:val="22"/>
        </w:rPr>
        <w:t xml:space="preserve">3.4.2 Fonctionnalités détaillées</w:t>
      </w:r>
    </w:p>
    <w:p>
      <w:pPr>
        <w:pStyle w:val="ListParagraph"/>
        <w:numPr>
          <w:ilvl w:val="0"/>
          <w:numId w:val="2"/>
        </w:numPr>
        <w:spacing w:after="80"/>
      </w:pPr>
      <w:r>
        <w:rPr>
          <w:rFonts w:ascii="Arial" w:cs="Arial" w:eastAsia="Arial" w:hAnsi="Arial"/>
          <w:sz w:val="21"/>
          <w:szCs w:val="21"/>
        </w:rPr>
        <w:t xml:space="preserve">Classification automatique des usages IA selon les catégories de risque de l’AI Act (inacceptable, haut, limité, minimal).</w:t>
      </w:r>
    </w:p>
    <w:p>
      <w:pPr>
        <w:pStyle w:val="ListParagraph"/>
        <w:numPr>
          <w:ilvl w:val="0"/>
          <w:numId w:val="2"/>
        </w:numPr>
        <w:spacing w:after="80"/>
      </w:pPr>
      <w:r>
        <w:rPr>
          <w:rFonts w:ascii="Arial" w:cs="Arial" w:eastAsia="Arial" w:hAnsi="Arial"/>
          <w:sz w:val="21"/>
          <w:szCs w:val="21"/>
        </w:rPr>
        <w:t xml:space="preserve">Registre d’utilisation horodaté : qui a utilisé quel modèle, pour quelle tâche, avec quels résultats. Conservation conforme RGPD.</w:t>
      </w:r>
    </w:p>
    <w:p>
      <w:pPr>
        <w:pStyle w:val="ListParagraph"/>
        <w:numPr>
          <w:ilvl w:val="0"/>
          <w:numId w:val="2"/>
        </w:numPr>
        <w:spacing w:after="80"/>
      </w:pPr>
      <w:r>
        <w:rPr>
          <w:rFonts w:ascii="Arial" w:cs="Arial" w:eastAsia="Arial" w:hAnsi="Arial"/>
          <w:sz w:val="21"/>
          <w:szCs w:val="21"/>
        </w:rPr>
        <w:t xml:space="preserve">Génération automatique de la documentation technique requise par l’Article 11 (systèmes à haut risque).</w:t>
      </w:r>
    </w:p>
    <w:p>
      <w:pPr>
        <w:pStyle w:val="ListParagraph"/>
        <w:numPr>
          <w:ilvl w:val="0"/>
          <w:numId w:val="2"/>
        </w:numPr>
        <w:spacing w:after="80"/>
      </w:pPr>
      <w:r>
        <w:rPr>
          <w:rFonts w:ascii="Arial" w:cs="Arial" w:eastAsia="Arial" w:hAnsi="Arial"/>
          <w:sz w:val="21"/>
          <w:szCs w:val="21"/>
        </w:rPr>
        <w:t xml:space="preserve">Tableau de bord de conformité avec score global, points de non-conformité, et plan d’action recommandé.</w:t>
      </w:r>
    </w:p>
    <w:p>
      <w:pPr>
        <w:pStyle w:val="ListParagraph"/>
        <w:numPr>
          <w:ilvl w:val="0"/>
          <w:numId w:val="2"/>
        </w:numPr>
        <w:spacing w:after="80"/>
      </w:pPr>
      <w:r>
        <w:rPr>
          <w:rFonts w:ascii="Arial" w:cs="Arial" w:eastAsia="Arial" w:hAnsi="Arial"/>
          <w:sz w:val="21"/>
          <w:szCs w:val="21"/>
        </w:rPr>
        <w:t xml:space="preserve">Veille réglementaire automatisée : alertes sur les évolutions de l’AI Act et des normes harmonisées.</w:t>
      </w:r>
    </w:p>
    <w:p>
      <w:pPr>
        <w:spacing w:after="100"/>
      </w:pPr>
    </w:p>
    <w:p>
      <w:pPr>
        <w:pStyle w:val="Heading2"/>
        <w:spacing w:before="300" w:after="160"/>
      </w:pPr>
      <w:r>
        <w:rPr>
          <w:rFonts w:ascii="Arial" w:cs="Arial" w:eastAsia="Arial" w:hAnsi="Arial"/>
          <w:b/>
          <w:bCs/>
          <w:color w:val="2E86AB"/>
          <w:sz w:val="26"/>
          <w:szCs w:val="26"/>
        </w:rPr>
        <w:t xml:space="preserve">3.5 Module 4 — Broker (Courtage intelligent)</w:t>
      </w:r>
    </w:p>
    <w:p>
      <w:pPr>
        <w:pStyle w:val="Heading3"/>
        <w:spacing w:before="240" w:after="120"/>
      </w:pPr>
      <w:r>
        <w:rPr>
          <w:rFonts w:ascii="Arial" w:cs="Arial" w:eastAsia="Arial" w:hAnsi="Arial"/>
          <w:b/>
          <w:bCs/>
          <w:color w:val="0F2440"/>
          <w:sz w:val="22"/>
          <w:szCs w:val="22"/>
        </w:rPr>
        <w:t xml:space="preserve">3.5.1 Description fonctionnelle</w:t>
      </w:r>
    </w:p>
    <w:p>
      <w:pPr>
        <w:spacing w:after="120"/>
        <w:jc w:val="left"/>
      </w:pPr>
      <w:r>
        <w:rPr>
          <w:rFonts w:ascii="Arial" w:cs="Arial" w:eastAsia="Arial" w:hAnsi="Arial"/>
          <w:b w:val="false"/>
          <w:bCs w:val="false"/>
          <w:i w:val="false"/>
          <w:iCs w:val="false"/>
          <w:color w:val="333333"/>
          <w:sz w:val="21"/>
          <w:szCs w:val="21"/>
        </w:rPr>
        <w:t xml:space="preserve">Le module Broker agit comme un routeur intelligent multi-provider. Il analyse en temps réel les prix, la latence et la qualité de réponse de chaque fournisseur pour router chaque requête vers le provider optimal selon les critères du client (coût, qualité, latence, souveraineté).</w:t>
      </w:r>
    </w:p>
    <w:p>
      <w:pPr>
        <w:pStyle w:val="Heading3"/>
        <w:spacing w:before="240" w:after="120"/>
      </w:pPr>
      <w:r>
        <w:rPr>
          <w:rFonts w:ascii="Arial" w:cs="Arial" w:eastAsia="Arial" w:hAnsi="Arial"/>
          <w:b/>
          <w:bCs/>
          <w:color w:val="0F2440"/>
          <w:sz w:val="22"/>
          <w:szCs w:val="22"/>
        </w:rPr>
        <w:t xml:space="preserve">3.5.2 Fonctionnalités détaillées</w:t>
      </w:r>
    </w:p>
    <w:p>
      <w:pPr>
        <w:pStyle w:val="ListParagraph"/>
        <w:numPr>
          <w:ilvl w:val="0"/>
          <w:numId w:val="2"/>
        </w:numPr>
        <w:spacing w:after="80"/>
      </w:pPr>
      <w:r>
        <w:rPr>
          <w:rFonts w:ascii="Arial" w:cs="Arial" w:eastAsia="Arial" w:hAnsi="Arial"/>
          <w:sz w:val="21"/>
          <w:szCs w:val="21"/>
        </w:rPr>
        <w:t xml:space="preserve">Routage multi-provider : OpenAI, Anthropic, Mistral, Google, Cohere, modèles open source (Llama, Qwen). Abstraction complète de l’API.</w:t>
      </w:r>
    </w:p>
    <w:p>
      <w:pPr>
        <w:pStyle w:val="ListParagraph"/>
        <w:numPr>
          <w:ilvl w:val="0"/>
          <w:numId w:val="2"/>
        </w:numPr>
        <w:spacing w:after="80"/>
      </w:pPr>
      <w:r>
        <w:rPr>
          <w:rFonts w:ascii="Arial" w:cs="Arial" w:eastAsia="Arial" w:hAnsi="Arial"/>
          <w:sz w:val="21"/>
          <w:szCs w:val="21"/>
        </w:rPr>
        <w:t xml:space="preserve">Algorithme d’arbitrage : analyse historique des prix intra-journée par provider/région pour identifier les créneaux optimaux.</w:t>
      </w:r>
    </w:p>
    <w:p>
      <w:pPr>
        <w:pStyle w:val="ListParagraph"/>
        <w:numPr>
          <w:ilvl w:val="0"/>
          <w:numId w:val="2"/>
        </w:numPr>
        <w:spacing w:after="80"/>
      </w:pPr>
      <w:r>
        <w:rPr>
          <w:rFonts w:ascii="Arial" w:cs="Arial" w:eastAsia="Arial" w:hAnsi="Arial"/>
          <w:sz w:val="21"/>
          <w:szCs w:val="21"/>
        </w:rPr>
        <w:t xml:space="preserve">Contrats à terme simultanés : possibilité de réserver des volumes de tokens à prix fixe (ex. 1 Md tokens GPT-4o livrables Q4).</w:t>
      </w:r>
    </w:p>
    <w:p>
      <w:pPr>
        <w:pStyle w:val="ListParagraph"/>
        <w:numPr>
          <w:ilvl w:val="0"/>
          <w:numId w:val="2"/>
        </w:numPr>
        <w:spacing w:after="80"/>
      </w:pPr>
      <w:r>
        <w:rPr>
          <w:rFonts w:ascii="Arial" w:cs="Arial" w:eastAsia="Arial" w:hAnsi="Arial"/>
          <w:sz w:val="21"/>
          <w:szCs w:val="21"/>
        </w:rPr>
        <w:t xml:space="preserve">Failover automatique : si un provider est down ou dégradé, redirection transparente vers le meilleur alternatif.</w:t>
      </w:r>
    </w:p>
    <w:p>
      <w:pPr>
        <w:spacing w:after="200"/>
      </w:pPr>
    </w:p>
    <w:p>
      <w:pPr>
        <w:pStyle w:val="Heading1"/>
        <w:spacing w:before="360" w:after="200"/>
      </w:pPr>
      <w:r>
        <w:rPr>
          <w:rFonts w:ascii="Arial" w:cs="Arial" w:eastAsia="Arial" w:hAnsi="Arial"/>
          <w:b/>
          <w:bCs/>
          <w:color w:val="1B3A5C"/>
          <w:sz w:val="32"/>
          <w:szCs w:val="32"/>
        </w:rPr>
        <w:t xml:space="preserve">4. Spécifications Techniques pour Claude Code</w:t>
      </w:r>
    </w:p>
    <w:p>
      <w:pPr>
        <w:pStyle w:val="Heading2"/>
        <w:spacing w:before="300" w:after="160"/>
      </w:pPr>
      <w:r>
        <w:rPr>
          <w:rFonts w:ascii="Arial" w:cs="Arial" w:eastAsia="Arial" w:hAnsi="Arial"/>
          <w:b/>
          <w:bCs/>
          <w:color w:val="2E86AB"/>
          <w:sz w:val="26"/>
          <w:szCs w:val="26"/>
        </w:rPr>
        <w:t xml:space="preserve">4.1 Structure du monorepo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spacing w:after="20"/>
            </w:pPr>
            <w:r>
              <w:rPr>
                <w:rFonts w:ascii="Courier New" w:cs="Courier New" w:eastAsia="Courier New" w:hAnsi="Courier New"/>
                <w:color w:val="334155"/>
                <w:sz w:val="16"/>
                <w:szCs w:val="16"/>
              </w:rPr>
              <w:t xml:space="preserve">tokenforge/</w:t>
            </w:r>
          </w:p>
          <w:p>
            <w:pPr>
              <w:spacing w:after="20"/>
            </w:pPr>
            <w:r>
              <w:rPr>
                <w:rFonts w:ascii="Courier New" w:cs="Courier New" w:eastAsia="Courier New" w:hAnsi="Courier New"/>
                <w:color w:val="334155"/>
                <w:sz w:val="16"/>
                <w:szCs w:val="16"/>
              </w:rPr>
              <w:t xml:space="preserve">├── apps/</w:t>
            </w:r>
          </w:p>
          <w:p>
            <w:pPr>
              <w:spacing w:after="20"/>
            </w:pPr>
            <w:r>
              <w:rPr>
                <w:rFonts w:ascii="Courier New" w:cs="Courier New" w:eastAsia="Courier New" w:hAnsi="Courier New"/>
                <w:color w:val="334155"/>
                <w:sz w:val="16"/>
                <w:szCs w:val="16"/>
              </w:rPr>
              <w:t xml:space="preserve">│   ├── web/                    # Next.js 15 (App Router)</w:t>
            </w:r>
          </w:p>
          <w:p>
            <w:pPr>
              <w:spacing w:after="20"/>
            </w:pPr>
            <w:r>
              <w:rPr>
                <w:rFonts w:ascii="Courier New" w:cs="Courier New" w:eastAsia="Courier New" w:hAnsi="Courier New"/>
                <w:color w:val="334155"/>
                <w:sz w:val="16"/>
                <w:szCs w:val="16"/>
              </w:rPr>
              <w:t xml:space="preserve">│   │   ├── app/</w:t>
            </w:r>
          </w:p>
          <w:p>
            <w:pPr>
              <w:spacing w:after="20"/>
            </w:pPr>
            <w:r>
              <w:rPr>
                <w:rFonts w:ascii="Courier New" w:cs="Courier New" w:eastAsia="Courier New" w:hAnsi="Courier New"/>
                <w:color w:val="334155"/>
                <w:sz w:val="16"/>
                <w:szCs w:val="16"/>
              </w:rPr>
              <w:t xml:space="preserve">│   │   │   ├── (auth)/             # Login, register, SSO</w:t>
            </w:r>
          </w:p>
          <w:p>
            <w:pPr>
              <w:spacing w:after="20"/>
            </w:pPr>
            <w:r>
              <w:rPr>
                <w:rFonts w:ascii="Courier New" w:cs="Courier New" w:eastAsia="Courier New" w:hAnsi="Courier New"/>
                <w:color w:val="334155"/>
                <w:sz w:val="16"/>
                <w:szCs w:val="16"/>
              </w:rPr>
              <w:t xml:space="preserve">│   │   │   ├── dashboard/          # Vue principale</w:t>
            </w:r>
          </w:p>
          <w:p>
            <w:pPr>
              <w:spacing w:after="20"/>
            </w:pPr>
            <w:r>
              <w:rPr>
                <w:rFonts w:ascii="Courier New" w:cs="Courier New" w:eastAsia="Courier New" w:hAnsi="Courier New"/>
                <w:color w:val="334155"/>
                <w:sz w:val="16"/>
                <w:szCs w:val="16"/>
              </w:rPr>
              <w:t xml:space="preserve">│   │   │   ├── tokenops/           # Module optimisation</w:t>
            </w:r>
          </w:p>
          <w:p>
            <w:pPr>
              <w:spacing w:after="20"/>
            </w:pPr>
            <w:r>
              <w:rPr>
                <w:rFonts w:ascii="Courier New" w:cs="Courier New" w:eastAsia="Courier New" w:hAnsi="Courier New"/>
                <w:color w:val="334155"/>
                <w:sz w:val="16"/>
                <w:szCs w:val="16"/>
              </w:rPr>
              <w:t xml:space="preserve">│   │   │   ├── esg/                # Module ESG</w:t>
            </w:r>
          </w:p>
          <w:p>
            <w:pPr>
              <w:spacing w:after="20"/>
            </w:pPr>
            <w:r>
              <w:rPr>
                <w:rFonts w:ascii="Courier New" w:cs="Courier New" w:eastAsia="Courier New" w:hAnsi="Courier New"/>
                <w:color w:val="334155"/>
                <w:sz w:val="16"/>
                <w:szCs w:val="16"/>
              </w:rPr>
              <w:t xml:space="preserve">│   │   │   ├── compliance/         # Module conformité</w:t>
            </w:r>
          </w:p>
          <w:p>
            <w:pPr>
              <w:spacing w:after="20"/>
            </w:pPr>
            <w:r>
              <w:rPr>
                <w:rFonts w:ascii="Courier New" w:cs="Courier New" w:eastAsia="Courier New" w:hAnsi="Courier New"/>
                <w:color w:val="334155"/>
                <w:sz w:val="16"/>
                <w:szCs w:val="16"/>
              </w:rPr>
              <w:t xml:space="preserve">│   │   │   ├── broker/             # Module courtage</w:t>
            </w:r>
          </w:p>
          <w:p>
            <w:pPr>
              <w:spacing w:after="20"/>
            </w:pPr>
            <w:r>
              <w:rPr>
                <w:rFonts w:ascii="Courier New" w:cs="Courier New" w:eastAsia="Courier New" w:hAnsi="Courier New"/>
                <w:color w:val="334155"/>
                <w:sz w:val="16"/>
                <w:szCs w:val="16"/>
              </w:rPr>
              <w:t xml:space="preserve">│   │   │   └── settings/           # Configuration compte</w:t>
            </w:r>
          </w:p>
          <w:p>
            <w:pPr>
              <w:spacing w:after="20"/>
            </w:pPr>
            <w:r>
              <w:rPr>
                <w:rFonts w:ascii="Courier New" w:cs="Courier New" w:eastAsia="Courier New" w:hAnsi="Courier New"/>
                <w:color w:val="334155"/>
                <w:sz w:val="16"/>
                <w:szCs w:val="16"/>
              </w:rPr>
              <w:t xml:space="preserve">│   │   ├── components/         # Composants UI (shadcn)</w:t>
            </w:r>
          </w:p>
          <w:p>
            <w:pPr>
              <w:spacing w:after="20"/>
            </w:pPr>
            <w:r>
              <w:rPr>
                <w:rFonts w:ascii="Courier New" w:cs="Courier New" w:eastAsia="Courier New" w:hAnsi="Courier New"/>
                <w:color w:val="334155"/>
                <w:sz w:val="16"/>
                <w:szCs w:val="16"/>
              </w:rPr>
              <w:t xml:space="preserve">│   │   └── lib/                # Utils, hooks, stores</w:t>
            </w:r>
          </w:p>
          <w:p>
            <w:pPr>
              <w:spacing w:after="20"/>
            </w:pPr>
            <w:r>
              <w:rPr>
                <w:rFonts w:ascii="Courier New" w:cs="Courier New" w:eastAsia="Courier New" w:hAnsi="Courier New"/>
                <w:color w:val="334155"/>
                <w:sz w:val="16"/>
                <w:szCs w:val="16"/>
              </w:rPr>
              <w:t xml:space="preserve">│   └── proxy/                  # Proxy API (Bun + Hono)</w:t>
            </w:r>
          </w:p>
          <w:p>
            <w:pPr>
              <w:spacing w:after="20"/>
            </w:pPr>
            <w:r>
              <w:rPr>
                <w:rFonts w:ascii="Courier New" w:cs="Courier New" w:eastAsia="Courier New" w:hAnsi="Courier New"/>
                <w:color w:val="334155"/>
                <w:sz w:val="16"/>
                <w:szCs w:val="16"/>
              </w:rPr>
              <w:t xml:space="preserve">│       ├── src/</w:t>
            </w:r>
          </w:p>
          <w:p>
            <w:pPr>
              <w:spacing w:after="20"/>
            </w:pPr>
            <w:r>
              <w:rPr>
                <w:rFonts w:ascii="Courier New" w:cs="Courier New" w:eastAsia="Courier New" w:hAnsi="Courier New"/>
                <w:color w:val="334155"/>
                <w:sz w:val="16"/>
                <w:szCs w:val="16"/>
              </w:rPr>
              <w:t xml:space="preserve">│       │   ├── middleware/      # Auth, rate-limit, logging</w:t>
            </w:r>
          </w:p>
          <w:p>
            <w:pPr>
              <w:spacing w:after="20"/>
            </w:pPr>
            <w:r>
              <w:rPr>
                <w:rFonts w:ascii="Courier New" w:cs="Courier New" w:eastAsia="Courier New" w:hAnsi="Courier New"/>
                <w:color w:val="334155"/>
                <w:sz w:val="16"/>
                <w:szCs w:val="16"/>
              </w:rPr>
              <w:t xml:space="preserve">│       │   ├── routes/          # Endpoints proxy</w:t>
            </w:r>
          </w:p>
          <w:p>
            <w:pPr>
              <w:spacing w:after="20"/>
            </w:pPr>
            <w:r>
              <w:rPr>
                <w:rFonts w:ascii="Courier New" w:cs="Courier New" w:eastAsia="Courier New" w:hAnsi="Courier New"/>
                <w:color w:val="334155"/>
                <w:sz w:val="16"/>
                <w:szCs w:val="16"/>
              </w:rPr>
              <w:t xml:space="preserve">│       │   ├── cache/           # Cache sémantique</w:t>
            </w:r>
          </w:p>
          <w:p>
            <w:pPr>
              <w:spacing w:after="20"/>
            </w:pPr>
            <w:r>
              <w:rPr>
                <w:rFonts w:ascii="Courier New" w:cs="Courier New" w:eastAsia="Courier New" w:hAnsi="Courier New"/>
                <w:color w:val="334155"/>
                <w:sz w:val="16"/>
                <w:szCs w:val="16"/>
              </w:rPr>
              <w:t xml:space="preserve">│       │   └── broker/          # Logique de routage</w:t>
            </w:r>
          </w:p>
          <w:p>
            <w:pPr>
              <w:spacing w:after="20"/>
            </w:pPr>
            <w:r>
              <w:rPr>
                <w:rFonts w:ascii="Courier New" w:cs="Courier New" w:eastAsia="Courier New" w:hAnsi="Courier New"/>
                <w:color w:val="334155"/>
                <w:sz w:val="16"/>
                <w:szCs w:val="16"/>
              </w:rPr>
              <w:t xml:space="preserve">│       └── index.ts</w:t>
            </w:r>
          </w:p>
          <w:p>
            <w:pPr>
              <w:spacing w:after="20"/>
            </w:pPr>
            <w:r>
              <w:rPr>
                <w:rFonts w:ascii="Courier New" w:cs="Courier New" w:eastAsia="Courier New" w:hAnsi="Courier New"/>
                <w:color w:val="334155"/>
                <w:sz w:val="16"/>
                <w:szCs w:val="16"/>
              </w:rPr>
              <w:t xml:space="preserve">├── packages/</w:t>
            </w:r>
          </w:p>
          <w:p>
            <w:pPr>
              <w:spacing w:after="20"/>
            </w:pPr>
            <w:r>
              <w:rPr>
                <w:rFonts w:ascii="Courier New" w:cs="Courier New" w:eastAsia="Courier New" w:hAnsi="Courier New"/>
                <w:color w:val="334155"/>
                <w:sz w:val="16"/>
                <w:szCs w:val="16"/>
              </w:rPr>
              <w:t xml:space="preserve">│   ├── db/                     # Schema Drizzle ORM</w:t>
            </w:r>
          </w:p>
          <w:p>
            <w:pPr>
              <w:spacing w:after="20"/>
            </w:pPr>
            <w:r>
              <w:rPr>
                <w:rFonts w:ascii="Courier New" w:cs="Courier New" w:eastAsia="Courier New" w:hAnsi="Courier New"/>
                <w:color w:val="334155"/>
                <w:sz w:val="16"/>
                <w:szCs w:val="16"/>
              </w:rPr>
              <w:t xml:space="preserve">│   ├── shared/                 # Types, constantes, utils</w:t>
            </w:r>
          </w:p>
          <w:p>
            <w:pPr>
              <w:spacing w:after="20"/>
            </w:pPr>
            <w:r>
              <w:rPr>
                <w:rFonts w:ascii="Courier New" w:cs="Courier New" w:eastAsia="Courier New" w:hAnsi="Courier New"/>
                <w:color w:val="334155"/>
                <w:sz w:val="16"/>
                <w:szCs w:val="16"/>
              </w:rPr>
              <w:t xml:space="preserve">│   ├── esg-engine/             # Calculs empreinte carbone</w:t>
            </w:r>
          </w:p>
          <w:p>
            <w:pPr>
              <w:spacing w:after="20"/>
            </w:pPr>
            <w:r>
              <w:rPr>
                <w:rFonts w:ascii="Courier New" w:cs="Courier New" w:eastAsia="Courier New" w:hAnsi="Courier New"/>
                <w:color w:val="334155"/>
                <w:sz w:val="16"/>
                <w:szCs w:val="16"/>
              </w:rPr>
              <w:t xml:space="preserve">│   ├── compliance-engine/      # Logique AI Act</w:t>
            </w:r>
          </w:p>
          <w:p>
            <w:pPr>
              <w:spacing w:after="20"/>
            </w:pPr>
            <w:r>
              <w:rPr>
                <w:rFonts w:ascii="Courier New" w:cs="Courier New" w:eastAsia="Courier New" w:hAnsi="Courier New"/>
                <w:color w:val="334155"/>
                <w:sz w:val="16"/>
                <w:szCs w:val="16"/>
              </w:rPr>
              <w:t xml:space="preserve">│   └── ui/                     # Composants partagés</w:t>
            </w:r>
          </w:p>
          <w:p>
            <w:pPr>
              <w:spacing w:after="20"/>
            </w:pPr>
            <w:r>
              <w:rPr>
                <w:rFonts w:ascii="Courier New" w:cs="Courier New" w:eastAsia="Courier New" w:hAnsi="Courier New"/>
                <w:color w:val="334155"/>
                <w:sz w:val="16"/>
                <w:szCs w:val="16"/>
              </w:rPr>
              <w:t xml:space="preserve">├── infra/</w:t>
            </w:r>
          </w:p>
          <w:p>
            <w:pPr>
              <w:spacing w:after="20"/>
            </w:pPr>
            <w:r>
              <w:rPr>
                <w:rFonts w:ascii="Courier New" w:cs="Courier New" w:eastAsia="Courier New" w:hAnsi="Courier New"/>
                <w:color w:val="334155"/>
                <w:sz w:val="16"/>
                <w:szCs w:val="16"/>
              </w:rPr>
              <w:t xml:space="preserve">│   ├── docker-compose.yml      # Dev local</w:t>
            </w:r>
          </w:p>
          <w:p>
            <w:pPr>
              <w:spacing w:after="20"/>
            </w:pPr>
            <w:r>
              <w:rPr>
                <w:rFonts w:ascii="Courier New" w:cs="Courier New" w:eastAsia="Courier New" w:hAnsi="Courier New"/>
                <w:color w:val="334155"/>
                <w:sz w:val="16"/>
                <w:szCs w:val="16"/>
              </w:rPr>
              <w:t xml:space="preserve">│   ├── supabase/               # Migrations, seed</w:t>
            </w:r>
          </w:p>
          <w:p>
            <w:pPr>
              <w:spacing w:after="20"/>
            </w:pPr>
            <w:r>
              <w:rPr>
                <w:rFonts w:ascii="Courier New" w:cs="Courier New" w:eastAsia="Courier New" w:hAnsi="Courier New"/>
                <w:color w:val="334155"/>
                <w:sz w:val="16"/>
                <w:szCs w:val="16"/>
              </w:rPr>
              <w:t xml:space="preserve">│   └── clickhouse/             # Config analytics</w:t>
            </w:r>
          </w:p>
          <w:p>
            <w:pPr>
              <w:spacing w:after="20"/>
            </w:pPr>
            <w:r>
              <w:rPr>
                <w:rFonts w:ascii="Courier New" w:cs="Courier New" w:eastAsia="Courier New" w:hAnsi="Courier New"/>
                <w:color w:val="334155"/>
                <w:sz w:val="16"/>
                <w:szCs w:val="16"/>
              </w:rPr>
              <w:t xml:space="preserve">├── turbo.json                  # Turborepo config</w:t>
            </w:r>
          </w:p>
          <w:p>
            <w:pPr>
              <w:spacing w:after="20"/>
            </w:pPr>
            <w:r>
              <w:rPr>
                <w:rFonts w:ascii="Courier New" w:cs="Courier New" w:eastAsia="Courier New" w:hAnsi="Courier New"/>
                <w:color w:val="334155"/>
                <w:sz w:val="16"/>
                <w:szCs w:val="16"/>
              </w:rPr>
              <w:t xml:space="preserve">├── package.json</w:t>
            </w:r>
          </w:p>
          <w:p>
            <w:pPr>
              <w:spacing w:after="20"/>
            </w:pPr>
            <w:r>
              <w:rPr>
                <w:rFonts w:ascii="Courier New" w:cs="Courier New" w:eastAsia="Courier New" w:hAnsi="Courier New"/>
                <w:color w:val="334155"/>
                <w:sz w:val="16"/>
                <w:szCs w:val="16"/>
              </w:rPr>
              <w:t xml:space="preserve">└── .env.example</w:t>
            </w:r>
          </w:p>
        </w:tc>
      </w:tr>
    </w:tbl>
    <w:p>
      <w:pPr>
        <w:spacing w:after="200"/>
      </w:pPr>
    </w:p>
    <w:p>
      <w:pPr>
        <w:pStyle w:val="Heading2"/>
        <w:spacing w:before="300" w:after="160"/>
      </w:pPr>
      <w:r>
        <w:rPr>
          <w:rFonts w:ascii="Arial" w:cs="Arial" w:eastAsia="Arial" w:hAnsi="Arial"/>
          <w:b/>
          <w:bCs/>
          <w:color w:val="2E86AB"/>
          <w:sz w:val="26"/>
          <w:szCs w:val="26"/>
        </w:rPr>
        <w:t xml:space="preserve">4.2 Schéma de base de données (Drizzle ORM)</w:t>
      </w:r>
    </w:p>
    <w:p>
      <w:pPr>
        <w:spacing w:after="120"/>
        <w:jc w:val="left"/>
      </w:pPr>
      <w:r>
        <w:rPr>
          <w:rFonts w:ascii="Arial" w:cs="Arial" w:eastAsia="Arial" w:hAnsi="Arial"/>
          <w:b w:val="false"/>
          <w:bCs w:val="false"/>
          <w:i w:val="false"/>
          <w:iCs w:val="false"/>
          <w:color w:val="333333"/>
          <w:sz w:val="21"/>
          <w:szCs w:val="21"/>
        </w:rPr>
        <w:t xml:space="preserve">Le schéma ci-dessous décrit les tables principales. Le code Drizzle complet doit être généré dans packages/db/schema.ts.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spacing w:after="10"/>
            </w:pPr>
            <w:r>
              <w:rPr>
                <w:rFonts w:ascii="Courier New" w:cs="Courier New" w:eastAsia="Courier New" w:hAnsi="Courier New"/>
                <w:color w:val="334155"/>
                <w:sz w:val="15"/>
                <w:szCs w:val="15"/>
              </w:rPr>
              <w:t xml:space="preserve">// packages/db/schema.ts</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ORGANISATIONS &amp; AUTH ──────────────────────────────</w:t>
            </w:r>
          </w:p>
          <w:p>
            <w:pPr>
              <w:spacing w:after="10"/>
            </w:pPr>
            <w:r>
              <w:rPr>
                <w:rFonts w:ascii="Courier New" w:cs="Courier New" w:eastAsia="Courier New" w:hAnsi="Courier New"/>
                <w:color w:val="334155"/>
                <w:sz w:val="15"/>
                <w:szCs w:val="15"/>
              </w:rPr>
              <w:t xml:space="preserve">organizations     { id, name, slug, plan, stripe_id, created_at }</w:t>
            </w:r>
          </w:p>
          <w:p>
            <w:pPr>
              <w:spacing w:after="10"/>
            </w:pPr>
            <w:r>
              <w:rPr>
                <w:rFonts w:ascii="Courier New" w:cs="Courier New" w:eastAsia="Courier New" w:hAnsi="Courier New"/>
                <w:color w:val="334155"/>
                <w:sz w:val="15"/>
                <w:szCs w:val="15"/>
              </w:rPr>
              <w:t xml:space="preserve">users             { id, org_id(FK), email, role, avatar_url }</w:t>
            </w:r>
          </w:p>
          <w:p>
            <w:pPr>
              <w:spacing w:after="10"/>
            </w:pPr>
            <w:r>
              <w:rPr>
                <w:rFonts w:ascii="Courier New" w:cs="Courier New" w:eastAsia="Courier New" w:hAnsi="Courier New"/>
                <w:color w:val="334155"/>
                <w:sz w:val="15"/>
                <w:szCs w:val="15"/>
              </w:rPr>
              <w:t xml:space="preserve">api_keys          { id, org_id(FK), key_hash, label, permissions[], last_used }</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TOKENOPS (CORE) ──────────────────────────────────</w:t>
            </w:r>
          </w:p>
          <w:p>
            <w:pPr>
              <w:spacing w:after="10"/>
            </w:pPr>
            <w:r>
              <w:rPr>
                <w:rFonts w:ascii="Courier New" w:cs="Courier New" w:eastAsia="Courier New" w:hAnsi="Courier New"/>
                <w:color w:val="334155"/>
                <w:sz w:val="15"/>
                <w:szCs w:val="15"/>
              </w:rPr>
              <w:t xml:space="preserve">projects          { id, org_id(FK), name, budget_monthly, alert_threshold }</w:t>
            </w:r>
          </w:p>
          <w:p>
            <w:pPr>
              <w:spacing w:after="10"/>
            </w:pPr>
            <w:r>
              <w:rPr>
                <w:rFonts w:ascii="Courier New" w:cs="Courier New" w:eastAsia="Courier New" w:hAnsi="Courier New"/>
                <w:color w:val="334155"/>
                <w:sz w:val="15"/>
                <w:szCs w:val="15"/>
              </w:rPr>
              <w:t xml:space="preserve">requests          { id, project_id(FK), provider, model, region,</w:t>
            </w:r>
          </w:p>
          <w:p>
            <w:pPr>
              <w:spacing w:after="10"/>
            </w:pPr>
            <w:r>
              <w:rPr>
                <w:rFonts w:ascii="Courier New" w:cs="Courier New" w:eastAsia="Courier New" w:hAnsi="Courier New"/>
                <w:color w:val="334155"/>
                <w:sz w:val="15"/>
                <w:szCs w:val="15"/>
              </w:rPr>
              <w:t xml:space="preserve">                    input_tokens, output_tokens, cost_usd,</w:t>
            </w:r>
          </w:p>
          <w:p>
            <w:pPr>
              <w:spacing w:after="10"/>
            </w:pPr>
            <w:r>
              <w:rPr>
                <w:rFonts w:ascii="Courier New" w:cs="Courier New" w:eastAsia="Courier New" w:hAnsi="Courier New"/>
                <w:color w:val="334155"/>
                <w:sz w:val="15"/>
                <w:szCs w:val="15"/>
              </w:rPr>
              <w:t xml:space="preserve">                    latency_ms, cached, timestamp }</w:t>
            </w:r>
          </w:p>
          <w:p>
            <w:pPr>
              <w:spacing w:after="10"/>
            </w:pPr>
            <w:r>
              <w:rPr>
                <w:rFonts w:ascii="Courier New" w:cs="Courier New" w:eastAsia="Courier New" w:hAnsi="Courier New"/>
                <w:color w:val="334155"/>
                <w:sz w:val="15"/>
                <w:szCs w:val="15"/>
              </w:rPr>
              <w:t xml:space="preserve">daily_aggregates  { project_id, date, total_tokens, total_cost,</w:t>
            </w:r>
          </w:p>
          <w:p>
            <w:pPr>
              <w:spacing w:after="10"/>
            </w:pPr>
            <w:r>
              <w:rPr>
                <w:rFonts w:ascii="Courier New" w:cs="Courier New" w:eastAsia="Courier New" w:hAnsi="Courier New"/>
                <w:color w:val="334155"/>
                <w:sz w:val="15"/>
                <w:szCs w:val="15"/>
              </w:rPr>
              <w:t xml:space="preserve">                    cache_hit_rate, avg_latency, top_model }</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ESG MODULE ───────────────────────────────────────</w:t>
            </w:r>
          </w:p>
          <w:p>
            <w:pPr>
              <w:spacing w:after="10"/>
            </w:pPr>
            <w:r>
              <w:rPr>
                <w:rFonts w:ascii="Courier New" w:cs="Courier New" w:eastAsia="Courier New" w:hAnsi="Courier New"/>
                <w:color w:val="334155"/>
                <w:sz w:val="15"/>
                <w:szCs w:val="15"/>
              </w:rPr>
              <w:t xml:space="preserve">carbon_footprints { id, request_id(FK), provider_region, gpu_type,</w:t>
            </w:r>
          </w:p>
          <w:p>
            <w:pPr>
              <w:spacing w:after="10"/>
            </w:pPr>
            <w:r>
              <w:rPr>
                <w:rFonts w:ascii="Courier New" w:cs="Courier New" w:eastAsia="Courier New" w:hAnsi="Courier New"/>
                <w:color w:val="334155"/>
                <w:sz w:val="15"/>
                <w:szCs w:val="15"/>
              </w:rPr>
              <w:t xml:space="preserve">                    pue, energy_mix_gco2_kwh, energy_wh, co2_grams }</w:t>
            </w:r>
          </w:p>
          <w:p>
            <w:pPr>
              <w:spacing w:after="10"/>
            </w:pPr>
            <w:r>
              <w:rPr>
                <w:rFonts w:ascii="Courier New" w:cs="Courier New" w:eastAsia="Courier New" w:hAnsi="Courier New"/>
                <w:color w:val="334155"/>
                <w:sz w:val="15"/>
                <w:szCs w:val="15"/>
              </w:rPr>
              <w:t xml:space="preserve">green_certificates { id, org_id(FK), period_start, period_end,</w:t>
            </w:r>
          </w:p>
          <w:p>
            <w:pPr>
              <w:spacing w:after="10"/>
            </w:pPr>
            <w:r>
              <w:rPr>
                <w:rFonts w:ascii="Courier New" w:cs="Courier New" w:eastAsia="Courier New" w:hAnsi="Courier New"/>
                <w:color w:val="334155"/>
                <w:sz w:val="15"/>
                <w:szCs w:val="15"/>
              </w:rPr>
              <w:t xml:space="preserve">                     total_tokens, total_co2_kg, avoided_co2_kg,</w:t>
            </w:r>
          </w:p>
          <w:p>
            <w:pPr>
              <w:spacing w:after="10"/>
            </w:pPr>
            <w:r>
              <w:rPr>
                <w:rFonts w:ascii="Courier New" w:cs="Courier New" w:eastAsia="Courier New" w:hAnsi="Courier New"/>
                <w:color w:val="334155"/>
                <w:sz w:val="15"/>
                <w:szCs w:val="15"/>
              </w:rPr>
              <w:t xml:space="preserve">                     certificate_hash, verified }</w:t>
            </w:r>
          </w:p>
          <w:p>
            <w:pPr>
              <w:spacing w:after="10"/>
            </w:pPr>
            <w:r>
              <w:rPr>
                <w:rFonts w:ascii="Courier New" w:cs="Courier New" w:eastAsia="Courier New" w:hAnsi="Courier New"/>
                <w:color w:val="334155"/>
                <w:sz w:val="15"/>
                <w:szCs w:val="15"/>
              </w:rPr>
              <w:t xml:space="preserve">energy_grid_data  { region, date, gco2_kwh, renewable_pct, source }</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COMPLIANCE MODULE ───────────────────────────────</w:t>
            </w:r>
          </w:p>
          <w:p>
            <w:pPr>
              <w:spacing w:after="10"/>
            </w:pPr>
            <w:r>
              <w:rPr>
                <w:rFonts w:ascii="Courier New" w:cs="Courier New" w:eastAsia="Courier New" w:hAnsi="Courier New"/>
                <w:color w:val="334155"/>
                <w:sz w:val="15"/>
                <w:szCs w:val="15"/>
              </w:rPr>
              <w:t xml:space="preserve">ai_systems        { id, org_id(FK), name, description, risk_level,</w:t>
            </w:r>
          </w:p>
          <w:p>
            <w:pPr>
              <w:spacing w:after="10"/>
            </w:pPr>
            <w:r>
              <w:rPr>
                <w:rFonts w:ascii="Courier New" w:cs="Courier New" w:eastAsia="Courier New" w:hAnsi="Courier New"/>
                <w:color w:val="334155"/>
                <w:sz w:val="15"/>
                <w:szCs w:val="15"/>
              </w:rPr>
              <w:t xml:space="preserve">                    models_used[], purpose, deployed_at }</w:t>
            </w:r>
          </w:p>
          <w:p>
            <w:pPr>
              <w:spacing w:after="10"/>
            </w:pPr>
            <w:r>
              <w:rPr>
                <w:rFonts w:ascii="Courier New" w:cs="Courier New" w:eastAsia="Courier New" w:hAnsi="Courier New"/>
                <w:color w:val="334155"/>
                <w:sz w:val="15"/>
                <w:szCs w:val="15"/>
              </w:rPr>
              <w:t xml:space="preserve">compliance_checks { id, system_id(FK), check_type, status,</w:t>
            </w:r>
          </w:p>
          <w:p>
            <w:pPr>
              <w:spacing w:after="10"/>
            </w:pPr>
            <w:r>
              <w:rPr>
                <w:rFonts w:ascii="Courier New" w:cs="Courier New" w:eastAsia="Courier New" w:hAnsi="Courier New"/>
                <w:color w:val="334155"/>
                <w:sz w:val="15"/>
                <w:szCs w:val="15"/>
              </w:rPr>
              <w:t xml:space="preserve">                    findings, recommendations, checked_at }</w:t>
            </w:r>
          </w:p>
          <w:p>
            <w:pPr>
              <w:spacing w:after="10"/>
            </w:pPr>
            <w:r>
              <w:rPr>
                <w:rFonts w:ascii="Courier New" w:cs="Courier New" w:eastAsia="Courier New" w:hAnsi="Courier New"/>
                <w:color w:val="334155"/>
                <w:sz w:val="15"/>
                <w:szCs w:val="15"/>
              </w:rPr>
              <w:t xml:space="preserve">audit_logs        { id, org_id(FK), actor, action, resource,</w:t>
            </w:r>
          </w:p>
          <w:p>
            <w:pPr>
              <w:spacing w:after="10"/>
            </w:pPr>
            <w:r>
              <w:rPr>
                <w:rFonts w:ascii="Courier New" w:cs="Courier New" w:eastAsia="Courier New" w:hAnsi="Courier New"/>
                <w:color w:val="334155"/>
                <w:sz w:val="15"/>
                <w:szCs w:val="15"/>
              </w:rPr>
              <w:t xml:space="preserve">                    details_json, ip, timestamp }</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BROKER MODULE ───────────────────────────────────</w:t>
            </w:r>
          </w:p>
          <w:p>
            <w:pPr>
              <w:spacing w:after="10"/>
            </w:pPr>
            <w:r>
              <w:rPr>
                <w:rFonts w:ascii="Courier New" w:cs="Courier New" w:eastAsia="Courier New" w:hAnsi="Courier New"/>
                <w:color w:val="334155"/>
                <w:sz w:val="15"/>
                <w:szCs w:val="15"/>
              </w:rPr>
              <w:t xml:space="preserve">provider_configs  { id, org_id(FK), provider, api_key_enc,</w:t>
            </w:r>
          </w:p>
          <w:p>
            <w:pPr>
              <w:spacing w:after="10"/>
            </w:pPr>
            <w:r>
              <w:rPr>
                <w:rFonts w:ascii="Courier New" w:cs="Courier New" w:eastAsia="Courier New" w:hAnsi="Courier New"/>
                <w:color w:val="334155"/>
                <w:sz w:val="15"/>
                <w:szCs w:val="15"/>
              </w:rPr>
              <w:t xml:space="preserve">                    priority, max_budget, enabled }</w:t>
            </w:r>
          </w:p>
          <w:p>
            <w:pPr>
              <w:spacing w:after="10"/>
            </w:pPr>
            <w:r>
              <w:rPr>
                <w:rFonts w:ascii="Courier New" w:cs="Courier New" w:eastAsia="Courier New" w:hAnsi="Courier New"/>
                <w:color w:val="334155"/>
                <w:sz w:val="15"/>
                <w:szCs w:val="15"/>
              </w:rPr>
              <w:t xml:space="preserve">routing_rules     { id, org_id(FK), name, conditions_json,</w:t>
            </w:r>
          </w:p>
          <w:p>
            <w:pPr>
              <w:spacing w:after="10"/>
            </w:pPr>
            <w:r>
              <w:rPr>
                <w:rFonts w:ascii="Courier New" w:cs="Courier New" w:eastAsia="Courier New" w:hAnsi="Courier New"/>
                <w:color w:val="334155"/>
                <w:sz w:val="15"/>
                <w:szCs w:val="15"/>
              </w:rPr>
              <w:t xml:space="preserve">                    target_provider, target_model, fallback }</w:t>
            </w:r>
          </w:p>
          <w:p>
            <w:pPr>
              <w:spacing w:after="10"/>
            </w:pPr>
            <w:r>
              <w:rPr>
                <w:rFonts w:ascii="Courier New" w:cs="Courier New" w:eastAsia="Courier New" w:hAnsi="Courier New"/>
                <w:color w:val="334155"/>
                <w:sz w:val="15"/>
                <w:szCs w:val="15"/>
              </w:rPr>
              <w:t xml:space="preserve">price_history     { provider, model, region, timestamp,</w:t>
            </w:r>
          </w:p>
          <w:p>
            <w:pPr>
              <w:spacing w:after="10"/>
            </w:pPr>
            <w:r>
              <w:rPr>
                <w:rFonts w:ascii="Courier New" w:cs="Courier New" w:eastAsia="Courier New" w:hAnsi="Courier New"/>
                <w:color w:val="334155"/>
                <w:sz w:val="15"/>
                <w:szCs w:val="15"/>
              </w:rPr>
              <w:t xml:space="preserve">                    input_price_per_1k, output_price_per_1k }</w:t>
            </w:r>
          </w:p>
        </w:tc>
      </w:tr>
    </w:tbl>
    <w:p>
      <w:pPr>
        <w:spacing w:after="200"/>
      </w:pPr>
    </w:p>
    <w:p>
      <w:pPr>
        <w:pStyle w:val="Heading2"/>
        <w:spacing w:before="300" w:after="160"/>
      </w:pPr>
      <w:r>
        <w:rPr>
          <w:rFonts w:ascii="Arial" w:cs="Arial" w:eastAsia="Arial" w:hAnsi="Arial"/>
          <w:b/>
          <w:bCs/>
          <w:color w:val="2E86AB"/>
          <w:sz w:val="26"/>
          <w:szCs w:val="26"/>
        </w:rPr>
        <w:t xml:space="preserve">4.3 API Endpoints (Proxy)</w:t>
      </w:r>
    </w:p>
    <w:p>
      <w:pPr>
        <w:spacing w:after="120"/>
        <w:jc w:val="left"/>
      </w:pPr>
      <w:r>
        <w:rPr>
          <w:rFonts w:ascii="Arial" w:cs="Arial" w:eastAsia="Arial" w:hAnsi="Arial"/>
          <w:b w:val="false"/>
          <w:bCs w:val="false"/>
          <w:i w:val="false"/>
          <w:iCs w:val="false"/>
          <w:color w:val="333333"/>
          <w:sz w:val="21"/>
          <w:szCs w:val="21"/>
        </w:rPr>
        <w:t xml:space="preserve">Le proxy Hono.js expose les endpoints suivants. Tous les endpoints sont préfixés par /api/v1 et nécessitent une authentification par clé API (header X-TokenForge-Key).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Endpoint</w:t>
            </w:r>
          </w:p>
        </w:tc>
        <w:tc>
          <w:tcPr>
            <w:tcW w:type="dxa" w:w="50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POST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/v1/chat/completions</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Proxy transparent — compatible OpenAI. Route vers le provider optimal.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/v1/messages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Proxy transparent — compatible Anthropic.</w:t>
            </w:r>
          </w:p>
        </w:tc>
      </w:tr>
      <w:tr>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/v1/analytics/usage</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Consommation agrégée (filtres : dates, projets, modèles).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/v1/analytics/savings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Rapport d’économies réalisées vs baseline.</w:t>
            </w:r>
          </w:p>
        </w:tc>
      </w:tr>
      <w:tr>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/v1/esg/footprint</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Empreinte carbone sur une période donnée.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/v1/esg/certificate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Génère un certificat green token pour la période spécifiée.</w:t>
            </w:r>
          </w:p>
        </w:tc>
      </w:tr>
      <w:tr>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/v1/compliance/status</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Score de conformité AI Act global + détail par système.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/v1/compliance/audit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Déclenche un audit automatisé d’un système IA enregistré.</w:t>
            </w:r>
          </w:p>
        </w:tc>
      </w:tr>
      <w:tr>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/v1/broker/prices</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Prix temps réel par provider/modèle/région.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/v1/broker/rules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Mise à jour des règles de routage.</w:t>
            </w:r>
          </w:p>
        </w:tc>
      </w:tr>
    </w:tbl>
    <w:p>
      <w:pPr>
        <w:spacing w:after="200"/>
      </w:pPr>
    </w:p>
    <w:p>
      <w:pPr>
        <w:pStyle w:val="Heading2"/>
        <w:spacing w:before="300" w:after="160"/>
      </w:pPr>
      <w:r>
        <w:rPr>
          <w:rFonts w:ascii="Arial" w:cs="Arial" w:eastAsia="Arial" w:hAnsi="Arial"/>
          <w:b/>
          <w:bCs/>
          <w:color w:val="2E86AB"/>
          <w:sz w:val="26"/>
          <w:szCs w:val="26"/>
        </w:rPr>
        <w:t xml:space="preserve">4.4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spacing w:after="10"/>
            </w:pPr>
            <w:r>
              <w:rPr>
                <w:rFonts w:ascii="Courier New" w:cs="Courier New" w:eastAsia="Courier New" w:hAnsi="Courier New"/>
                <w:color w:val="334155"/>
                <w:sz w:val="15"/>
                <w:szCs w:val="15"/>
              </w:rPr>
              <w:t xml:space="preserve"># .env.example</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Supabase ────────────────────────────────────────</w:t>
            </w:r>
          </w:p>
          <w:p>
            <w:pPr>
              <w:spacing w:after="10"/>
            </w:pPr>
            <w:r>
              <w:rPr>
                <w:rFonts w:ascii="Courier New" w:cs="Courier New" w:eastAsia="Courier New" w:hAnsi="Courier New"/>
                <w:color w:val="334155"/>
                <w:sz w:val="15"/>
                <w:szCs w:val="15"/>
              </w:rPr>
              <w:t xml:space="preserve">SUPABASE_URL=http://localhost:54321</w:t>
            </w:r>
          </w:p>
          <w:p>
            <w:pPr>
              <w:spacing w:after="10"/>
            </w:pPr>
            <w:r>
              <w:rPr>
                <w:rFonts w:ascii="Courier New" w:cs="Courier New" w:eastAsia="Courier New" w:hAnsi="Courier New"/>
                <w:color w:val="334155"/>
                <w:sz w:val="15"/>
                <w:szCs w:val="15"/>
              </w:rPr>
              <w:t xml:space="preserve">SUPABASE_ANON_KEY=your-anon-key</w:t>
            </w:r>
          </w:p>
          <w:p>
            <w:pPr>
              <w:spacing w:after="10"/>
            </w:pPr>
            <w:r>
              <w:rPr>
                <w:rFonts w:ascii="Courier New" w:cs="Courier New" w:eastAsia="Courier New" w:hAnsi="Courier New"/>
                <w:color w:val="334155"/>
                <w:sz w:val="15"/>
                <w:szCs w:val="15"/>
              </w:rPr>
              <w:t xml:space="preserve">SUPABASE_SERVICE_ROLE_KEY=your-service-key</w:t>
            </w:r>
          </w:p>
          <w:p>
            <w:pPr>
              <w:spacing w:after="10"/>
            </w:pPr>
            <w:r>
              <w:rPr>
                <w:rFonts w:ascii="Courier New" w:cs="Courier New" w:eastAsia="Courier New" w:hAnsi="Courier New"/>
                <w:color w:val="334155"/>
                <w:sz w:val="15"/>
                <w:szCs w:val="15"/>
              </w:rPr>
              <w:t xml:space="preserve">DATABASE_URL=postgresql://postgres:postgres@localhost:54322/postgres</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ClickHouse ──────────────────────────────────────</w:t>
            </w:r>
          </w:p>
          <w:p>
            <w:pPr>
              <w:spacing w:after="10"/>
            </w:pPr>
            <w:r>
              <w:rPr>
                <w:rFonts w:ascii="Courier New" w:cs="Courier New" w:eastAsia="Courier New" w:hAnsi="Courier New"/>
                <w:color w:val="334155"/>
                <w:sz w:val="15"/>
                <w:szCs w:val="15"/>
              </w:rPr>
              <w:t xml:space="preserve">CLICKHOUSE_URL=http://localhost:8123</w:t>
            </w:r>
          </w:p>
          <w:p>
            <w:pPr>
              <w:spacing w:after="10"/>
            </w:pPr>
            <w:r>
              <w:rPr>
                <w:rFonts w:ascii="Courier New" w:cs="Courier New" w:eastAsia="Courier New" w:hAnsi="Courier New"/>
                <w:color w:val="334155"/>
                <w:sz w:val="15"/>
                <w:szCs w:val="15"/>
              </w:rPr>
              <w:t xml:space="preserve">CLICKHOUSE_DB=tokenforge</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Redis ───────────────────────────────────────────</w:t>
            </w:r>
          </w:p>
          <w:p>
            <w:pPr>
              <w:spacing w:after="10"/>
            </w:pPr>
            <w:r>
              <w:rPr>
                <w:rFonts w:ascii="Courier New" w:cs="Courier New" w:eastAsia="Courier New" w:hAnsi="Courier New"/>
                <w:color w:val="334155"/>
                <w:sz w:val="15"/>
                <w:szCs w:val="15"/>
              </w:rPr>
              <w:t xml:space="preserve">REDIS_URL=redis://localhost:6379</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Providers (encrypted at rest) ───────────────────</w:t>
            </w:r>
          </w:p>
          <w:p>
            <w:pPr>
              <w:spacing w:after="10"/>
            </w:pPr>
            <w:r>
              <w:rPr>
                <w:rFonts w:ascii="Courier New" w:cs="Courier New" w:eastAsia="Courier New" w:hAnsi="Courier New"/>
                <w:color w:val="334155"/>
                <w:sz w:val="15"/>
                <w:szCs w:val="15"/>
              </w:rPr>
              <w:t xml:space="preserve">OPENAI_API_KEY=sk-...</w:t>
            </w:r>
          </w:p>
          <w:p>
            <w:pPr>
              <w:spacing w:after="10"/>
            </w:pPr>
            <w:r>
              <w:rPr>
                <w:rFonts w:ascii="Courier New" w:cs="Courier New" w:eastAsia="Courier New" w:hAnsi="Courier New"/>
                <w:color w:val="334155"/>
                <w:sz w:val="15"/>
                <w:szCs w:val="15"/>
              </w:rPr>
              <w:t xml:space="preserve">ANTHROPIC_API_KEY=sk-ant-...</w:t>
            </w:r>
          </w:p>
          <w:p>
            <w:pPr>
              <w:spacing w:after="10"/>
            </w:pPr>
            <w:r>
              <w:rPr>
                <w:rFonts w:ascii="Courier New" w:cs="Courier New" w:eastAsia="Courier New" w:hAnsi="Courier New"/>
                <w:color w:val="334155"/>
                <w:sz w:val="15"/>
                <w:szCs w:val="15"/>
              </w:rPr>
              <w:t xml:space="preserve">MISTRAL_API_KEY=...</w:t>
            </w:r>
          </w:p>
          <w:p>
            <w:pPr>
              <w:spacing w:after="10"/>
            </w:pPr>
            <w:r>
              <w:rPr>
                <w:rFonts w:ascii="Courier New" w:cs="Courier New" w:eastAsia="Courier New" w:hAnsi="Courier New"/>
                <w:color w:val="334155"/>
                <w:sz w:val="15"/>
                <w:szCs w:val="15"/>
              </w:rPr>
              <w:t xml:space="preserve">GOOGLE_AI_KEY=...</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App ─────────────────────────────────────────────</w:t>
            </w:r>
          </w:p>
          <w:p>
            <w:pPr>
              <w:spacing w:after="10"/>
            </w:pPr>
            <w:r>
              <w:rPr>
                <w:rFonts w:ascii="Courier New" w:cs="Courier New" w:eastAsia="Courier New" w:hAnsi="Courier New"/>
                <w:color w:val="334155"/>
                <w:sz w:val="15"/>
                <w:szCs w:val="15"/>
              </w:rPr>
              <w:t xml:space="preserve">NEXT_PUBLIC_APP_URL=http://localhost:3000</w:t>
            </w:r>
          </w:p>
          <w:p>
            <w:pPr>
              <w:spacing w:after="10"/>
            </w:pPr>
            <w:r>
              <w:rPr>
                <w:rFonts w:ascii="Courier New" w:cs="Courier New" w:eastAsia="Courier New" w:hAnsi="Courier New"/>
                <w:color w:val="334155"/>
                <w:sz w:val="15"/>
                <w:szCs w:val="15"/>
              </w:rPr>
              <w:t xml:space="preserve">PROXY_PORT=8787</w:t>
            </w:r>
          </w:p>
          <w:p>
            <w:pPr>
              <w:spacing w:after="10"/>
            </w:pPr>
            <w:r>
              <w:rPr>
                <w:rFonts w:ascii="Courier New" w:cs="Courier New" w:eastAsia="Courier New" w:hAnsi="Courier New"/>
                <w:color w:val="334155"/>
                <w:sz w:val="15"/>
                <w:szCs w:val="15"/>
              </w:rPr>
              <w:t xml:space="preserve">ENCRYPTION_KEY=your-256-bit-key</w:t>
            </w:r>
          </w:p>
          <w:p>
            <w:pPr>
              <w:spacing w:after="10"/>
            </w:pPr>
            <w:r>
              <w:rPr>
                <w:rFonts w:ascii="Courier New" w:cs="Courier New" w:eastAsia="Courier New" w:hAnsi="Courier New"/>
                <w:color w:val="334155"/>
                <w:sz w:val="15"/>
                <w:szCs w:val="15"/>
              </w:rPr>
              <w:t xml:space="preserve"/>
            </w:r>
          </w:p>
          <w:p>
            <w:pPr>
              <w:spacing w:after="10"/>
            </w:pPr>
            <w:r>
              <w:rPr>
                <w:rFonts w:ascii="Courier New" w:cs="Courier New" w:eastAsia="Courier New" w:hAnsi="Courier New"/>
                <w:color w:val="334155"/>
                <w:sz w:val="15"/>
                <w:szCs w:val="15"/>
              </w:rPr>
              <w:t xml:space="preserve"># ── Stripe ──────────────────────────────────────────</w:t>
            </w:r>
          </w:p>
          <w:p>
            <w:pPr>
              <w:spacing w:after="10"/>
            </w:pPr>
            <w:r>
              <w:rPr>
                <w:rFonts w:ascii="Courier New" w:cs="Courier New" w:eastAsia="Courier New" w:hAnsi="Courier New"/>
                <w:color w:val="334155"/>
                <w:sz w:val="15"/>
                <w:szCs w:val="15"/>
              </w:rPr>
              <w:t xml:space="preserve">STRIPE_SECRET_KEY=sk_test_...</w:t>
            </w:r>
          </w:p>
          <w:p>
            <w:pPr>
              <w:spacing w:after="10"/>
            </w:pPr>
            <w:r>
              <w:rPr>
                <w:rFonts w:ascii="Courier New" w:cs="Courier New" w:eastAsia="Courier New" w:hAnsi="Courier New"/>
                <w:color w:val="334155"/>
                <w:sz w:val="15"/>
                <w:szCs w:val="15"/>
              </w:rPr>
              <w:t xml:space="preserve">STRIPE_WEBHOOK_SECRET=whsec_...</w:t>
            </w:r>
          </w:p>
        </w:tc>
      </w:tr>
    </w:tbl>
    <w:p>
      <w:pPr>
        <w:spacing w:after="200"/>
      </w:pPr>
    </w:p>
    <w:p>
      <w:pPr>
        <w:pStyle w:val="Heading2"/>
        <w:spacing w:before="300" w:after="160"/>
      </w:pPr>
      <w:r>
        <w:rPr>
          <w:rFonts w:ascii="Arial" w:cs="Arial" w:eastAsia="Arial" w:hAnsi="Arial"/>
          <w:b/>
          <w:bCs/>
          <w:color w:val="2E86AB"/>
          <w:sz w:val="26"/>
          <w:szCs w:val="26"/>
        </w:rPr>
        <w:t xml:space="preserve">4.5 Instructions d’implémentation pour Claude Code</w:t>
      </w:r>
    </w:p>
    <w:p>
      <w:pPr>
        <w:spacing w:after="120"/>
        <w:jc w:val="left"/>
      </w:pPr>
      <w:r>
        <w:rPr>
          <w:rFonts w:ascii="Arial" w:cs="Arial" w:eastAsia="Arial" w:hAnsi="Arial"/>
          <w:b w:val="false"/>
          <w:bCs w:val="false"/>
          <w:i w:val="false"/>
          <w:iCs w:val="false"/>
          <w:color w:val="333333"/>
          <w:sz w:val="21"/>
          <w:szCs w:val="21"/>
        </w:rPr>
        <w:t xml:space="preserve">Ce document est conçu pour être transmis directement à Claude Code comme spécification de projet. Voici les instructions prioritaires :</w:t>
      </w:r>
    </w:p>
    <w:p>
      <w:pPr>
        <w:spacing w:after="60"/>
      </w:pPr>
    </w:p>
    <w:p>
      <w:pPr>
        <w:pStyle w:val="ListParagraph"/>
        <w:numPr>
          <w:ilvl w:val="0"/>
          <w:numId w:val="3"/>
        </w:numPr>
        <w:spacing w:after="100"/>
      </w:pPr>
      <w:r>
        <w:rPr>
          <w:rFonts w:ascii="Arial" w:cs="Arial" w:eastAsia="Arial" w:hAnsi="Arial"/>
          <w:b/>
          <w:bCs/>
          <w:sz w:val="21"/>
          <w:szCs w:val="21"/>
        </w:rPr>
        <w:t xml:space="preserve">Phase 1 — Scaffolding (Jour 1-2) : Initialiser le monorepo Turborepo avec les deux apps (web + proxy) et les packages partagés. Configurer Supabase local, ClickHouse Docker, Redis. Générer le schéma Drizzle ORM complet et les migrations.</w:t>
      </w:r>
    </w:p>
    <w:p>
      <w:pPr>
        <w:pStyle w:val="ListParagraph"/>
        <w:numPr>
          <w:ilvl w:val="0"/>
          <w:numId w:val="3"/>
        </w:numPr>
        <w:spacing w:after="100"/>
      </w:pPr>
      <w:r>
        <w:rPr>
          <w:rFonts w:ascii="Arial" w:cs="Arial" w:eastAsia="Arial" w:hAnsi="Arial"/>
          <w:b/>
          <w:bCs/>
          <w:sz w:val="21"/>
          <w:szCs w:val="21"/>
        </w:rPr>
        <w:t xml:space="preserve">Phase 2 — Proxy core (Jour 3-5) : Implémenter le proxy Hono.js avec interception des requêtes OpenAI/Anthropic, logging dans ClickHouse, et authentification par clé API. Le proxy doit ajouter moins de 5ms de latence.</w:t>
      </w:r>
    </w:p>
    <w:p>
      <w:pPr>
        <w:pStyle w:val="ListParagraph"/>
        <w:numPr>
          <w:ilvl w:val="0"/>
          <w:numId w:val="3"/>
        </w:numPr>
        <w:spacing w:after="100"/>
      </w:pPr>
      <w:r>
        <w:rPr>
          <w:rFonts w:ascii="Arial" w:cs="Arial" w:eastAsia="Arial" w:hAnsi="Arial"/>
          <w:b/>
          <w:bCs/>
          <w:sz w:val="21"/>
          <w:szCs w:val="21"/>
        </w:rPr>
        <w:t xml:space="preserve">Phase 3 — Dashboard TokenOps (Jour 6-10) : Construire le dashboard Next.js avec Recharts : consommation temps réel, ventilation par modèle/projet, alertes budgétaires, recommendations d’optimisation.</w:t>
      </w:r>
    </w:p>
    <w:p>
      <w:pPr>
        <w:pStyle w:val="ListParagraph"/>
        <w:numPr>
          <w:ilvl w:val="0"/>
          <w:numId w:val="3"/>
        </w:numPr>
        <w:spacing w:after="100"/>
      </w:pPr>
      <w:r>
        <w:rPr>
          <w:rFonts w:ascii="Arial" w:cs="Arial" w:eastAsia="Arial" w:hAnsi="Arial"/>
          <w:b/>
          <w:bCs/>
          <w:sz w:val="21"/>
          <w:szCs w:val="21"/>
        </w:rPr>
        <w:t xml:space="preserve">Phase 4 — Module ESG (Jour 11-14) : Implémenter le calcul d’empreinte carbone, la génération de certificats, et les rapports ESG. Intégrer les données de mix énergétique par région.</w:t>
      </w:r>
    </w:p>
    <w:p>
      <w:pPr>
        <w:pStyle w:val="ListParagraph"/>
        <w:numPr>
          <w:ilvl w:val="0"/>
          <w:numId w:val="3"/>
        </w:numPr>
        <w:spacing w:after="100"/>
      </w:pPr>
      <w:r>
        <w:rPr>
          <w:rFonts w:ascii="Arial" w:cs="Arial" w:eastAsia="Arial" w:hAnsi="Arial"/>
          <w:b/>
          <w:bCs/>
          <w:sz w:val="21"/>
          <w:szCs w:val="21"/>
        </w:rPr>
        <w:t xml:space="preserve">Phase 5 — Module Compliance (Jour 15-18) : Classification des risques, registre d’utilisation, génération de documentation Article 11, tableau de bord de conformité.</w:t>
      </w:r>
    </w:p>
    <w:p>
      <w:pPr>
        <w:pStyle w:val="ListParagraph"/>
        <w:numPr>
          <w:ilvl w:val="0"/>
          <w:numId w:val="3"/>
        </w:numPr>
        <w:spacing w:after="100"/>
      </w:pPr>
      <w:r>
        <w:rPr>
          <w:rFonts w:ascii="Arial" w:cs="Arial" w:eastAsia="Arial" w:hAnsi="Arial"/>
          <w:b/>
          <w:bCs/>
          <w:sz w:val="21"/>
          <w:szCs w:val="21"/>
        </w:rPr>
        <w:t xml:space="preserve">Phase 6 — Module Broker (Jour 19-22) : Routage multi-provider, algorithme d’arbitrage, failover automatique, interface de configuration des règles.</w:t>
      </w:r>
    </w:p>
    <w:p>
      <w:pPr>
        <w:pStyle w:val="ListParagraph"/>
        <w:numPr>
          <w:ilvl w:val="0"/>
          <w:numId w:val="3"/>
        </w:numPr>
        <w:spacing w:after="100"/>
      </w:pPr>
      <w:r>
        <w:rPr>
          <w:rFonts w:ascii="Arial" w:cs="Arial" w:eastAsia="Arial" w:hAnsi="Arial"/>
          <w:b/>
          <w:bCs/>
          <w:sz w:val="21"/>
          <w:szCs w:val="21"/>
        </w:rPr>
        <w:t xml:space="preserve">Phase 7 — Cache sémantique (Jour 23-25) : Implémenter le cache basé sur pgvector pour la détection de requêtes similaires, avec Redis pour le hot cache.</w:t>
      </w:r>
    </w:p>
    <w:p>
      <w:pPr>
        <w:pStyle w:val="ListParagraph"/>
        <w:numPr>
          <w:ilvl w:val="0"/>
          <w:numId w:val="3"/>
        </w:numPr>
        <w:spacing w:after="100"/>
      </w:pPr>
      <w:r>
        <w:rPr>
          <w:rFonts w:ascii="Arial" w:cs="Arial" w:eastAsia="Arial" w:hAnsi="Arial"/>
          <w:b/>
          <w:bCs/>
          <w:sz w:val="21"/>
          <w:szCs w:val="21"/>
        </w:rPr>
        <w:t xml:space="preserve">Phase 8 — Billing &amp; Auth (Jour 26-28) : Intégration Stripe (plans Free/Pro/Enterprise), Supabase Auth avec SSO Google/GitHub, gestion multi-tenant.</w:t>
      </w:r>
    </w:p>
    <w:p>
      <w:pPr>
        <w:pStyle w:val="ListParagraph"/>
        <w:numPr>
          <w:ilvl w:val="0"/>
          <w:numId w:val="3"/>
        </w:numPr>
        <w:spacing w:after="100"/>
      </w:pPr>
      <w:r>
        <w:rPr>
          <w:rFonts w:ascii="Arial" w:cs="Arial" w:eastAsia="Arial" w:hAnsi="Arial"/>
          <w:b/>
          <w:bCs/>
          <w:sz w:val="21"/>
          <w:szCs w:val="21"/>
        </w:rPr>
        <w:t xml:space="preserve">Phase 9 — Tests &amp; déploiement (Jour 29-30) : Tests E2E Playwright, CI/CD GitHub Actions, déploiement Vercel (web) + Fly.io (proxy) + Supabase Cloud.</w:t>
      </w:r>
    </w:p>
    <w:p>
      <w:pPr>
        <w:spacing w:after="200"/>
      </w:pPr>
    </w:p>
    <w:p>
      <w:pPr>
        <w:pStyle w:val="Heading1"/>
        <w:spacing w:before="360" w:after="200"/>
      </w:pPr>
      <w:r>
        <w:rPr>
          <w:rFonts w:ascii="Arial" w:cs="Arial" w:eastAsia="Arial" w:hAnsi="Arial"/>
          <w:b/>
          <w:bCs/>
          <w:color w:val="1B3A5C"/>
          <w:sz w:val="32"/>
          <w:szCs w:val="32"/>
        </w:rPr>
        <w:t xml:space="preserve">5. Modèle Économique</w:t>
      </w:r>
    </w:p>
    <w:p>
      <w:pPr>
        <w:pStyle w:val="Heading2"/>
        <w:spacing w:before="300" w:after="160"/>
      </w:pPr>
      <w:r>
        <w:rPr>
          <w:rFonts w:ascii="Arial" w:cs="Arial" w:eastAsia="Arial" w:hAnsi="Arial"/>
          <w:b/>
          <w:bCs/>
          <w:color w:val="2E86AB"/>
          <w:sz w:val="26"/>
          <w:szCs w:val="26"/>
        </w:rPr>
        <w:t xml:space="preserve">5.1 Grille tarifaire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Free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Pro (149€/mois)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Business (499€)</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Enterprise</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Requêtes/mois</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10 000</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500 000</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5 000 000</w:t>
            </w:r>
          </w:p>
        </w:tc>
        <w:tc>
          <w:tcPr>
            <w:tcW w:type="dxa" w:w="1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Illimité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TokenOps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Complet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Complet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Complet</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ESG</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 audit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 custom</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Broker</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(3 providers)</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Tous</w:t>
            </w:r>
          </w:p>
        </w:tc>
        <w:tc>
          <w:tcPr>
            <w:tcW w:type="dxa" w:w="1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 on-prem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 dédié</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Support</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Community</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Email 48h</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Priority 4h</w:t>
            </w:r>
          </w:p>
        </w:tc>
        <w:tc>
          <w:tcPr>
            <w:tcW w:type="dxa" w:w="1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Dédié + SLA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Success 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0.5 % économies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0.3 % économies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Négocié</w:t>
            </w:r>
          </w:p>
        </w:tc>
      </w:tr>
    </w:tbl>
    <w:p>
      <w:pPr>
        <w:spacing w:after="100"/>
      </w:pPr>
    </w:p>
    <w:p>
      <w:pPr>
        <w:pStyle w:val="Heading2"/>
        <w:spacing w:before="300" w:after="160"/>
      </w:pPr>
      <w:r>
        <w:rPr>
          <w:rFonts w:ascii="Arial" w:cs="Arial" w:eastAsia="Arial" w:hAnsi="Arial"/>
          <w:b/>
          <w:bCs/>
          <w:color w:val="2E86AB"/>
          <w:sz w:val="26"/>
          <w:szCs w:val="26"/>
        </w:rPr>
        <w:t xml:space="preserve">5.2 Sources de revenus</w:t>
      </w:r>
    </w:p>
    <w:p>
      <w:pPr>
        <w:pStyle w:val="ListParagraph"/>
        <w:numPr>
          <w:ilvl w:val="0"/>
          <w:numId w:val="2"/>
        </w:numPr>
        <w:spacing w:after="80"/>
      </w:pPr>
      <w:r>
        <w:rPr>
          <w:rFonts w:ascii="Arial" w:cs="Arial" w:eastAsia="Arial" w:hAnsi="Arial"/>
          <w:b/>
          <w:bCs/>
          <w:sz w:val="21"/>
          <w:szCs w:val="21"/>
        </w:rPr>
        <w:t xml:space="preserve">Abonnement SaaS (récurrent) : </w:t>
      </w:r>
      <w:r>
        <w:rPr>
          <w:rFonts w:ascii="Arial" w:cs="Arial" w:eastAsia="Arial" w:hAnsi="Arial"/>
          <w:sz w:val="21"/>
          <w:szCs w:val="21"/>
        </w:rPr>
        <w:t xml:space="preserve">70 % du CA prévisionnel. Modèle freemium avec conversion à 10-15 %.</w:t>
      </w:r>
    </w:p>
    <w:p>
      <w:pPr>
        <w:pStyle w:val="ListParagraph"/>
        <w:numPr>
          <w:ilvl w:val="0"/>
          <w:numId w:val="2"/>
        </w:numPr>
        <w:spacing w:after="80"/>
      </w:pPr>
      <w:r>
        <w:rPr>
          <w:rFonts w:ascii="Arial" w:cs="Arial" w:eastAsia="Arial" w:hAnsi="Arial"/>
          <w:b/>
          <w:bCs/>
          <w:sz w:val="21"/>
          <w:szCs w:val="21"/>
        </w:rPr>
        <w:t xml:space="preserve">Success fee (performance) : </w:t>
      </w:r>
      <w:r>
        <w:rPr>
          <w:rFonts w:ascii="Arial" w:cs="Arial" w:eastAsia="Arial" w:hAnsi="Arial"/>
          <w:sz w:val="21"/>
          <w:szCs w:val="21"/>
        </w:rPr>
        <w:t xml:space="preserve">15 % du CA. Commission de 0,3-0,5 % sur les économies mesurées et vérifiables.</w:t>
      </w:r>
    </w:p>
    <w:p>
      <w:pPr>
        <w:pStyle w:val="ListParagraph"/>
        <w:numPr>
          <w:ilvl w:val="0"/>
          <w:numId w:val="2"/>
        </w:numPr>
        <w:spacing w:after="80"/>
      </w:pPr>
      <w:r>
        <w:rPr>
          <w:rFonts w:ascii="Arial" w:cs="Arial" w:eastAsia="Arial" w:hAnsi="Arial"/>
          <w:b/>
          <w:bCs/>
          <w:sz w:val="21"/>
          <w:szCs w:val="21"/>
        </w:rPr>
        <w:t xml:space="preserve">Certificats ESG : </w:t>
      </w:r>
      <w:r>
        <w:rPr>
          <w:rFonts w:ascii="Arial" w:cs="Arial" w:eastAsia="Arial" w:hAnsi="Arial"/>
          <w:sz w:val="21"/>
          <w:szCs w:val="21"/>
        </w:rPr>
        <w:t xml:space="preserve">10 % du CA. Vente de certificats green token (analogie crédits carbone).</w:t>
      </w:r>
    </w:p>
    <w:p>
      <w:pPr>
        <w:pStyle w:val="ListParagraph"/>
        <w:numPr>
          <w:ilvl w:val="0"/>
          <w:numId w:val="2"/>
        </w:numPr>
        <w:spacing w:after="80"/>
      </w:pPr>
      <w:r>
        <w:rPr>
          <w:rFonts w:ascii="Arial" w:cs="Arial" w:eastAsia="Arial" w:hAnsi="Arial"/>
          <w:b/>
          <w:bCs/>
          <w:sz w:val="21"/>
          <w:szCs w:val="21"/>
        </w:rPr>
        <w:t xml:space="preserve">Consulting compliance : </w:t>
      </w:r>
      <w:r>
        <w:rPr>
          <w:rFonts w:ascii="Arial" w:cs="Arial" w:eastAsia="Arial" w:hAnsi="Arial"/>
          <w:sz w:val="21"/>
          <w:szCs w:val="21"/>
        </w:rPr>
        <w:t xml:space="preserve">5 % du CA. Forfaits d’audit AI Act (20-50 k€) pour les grandes entreprises.</w:t>
      </w:r>
    </w:p>
    <w:p>
      <w:pPr>
        <w:spacing w:after="200"/>
      </w:pPr>
    </w:p>
    <w:p>
      <w:pPr>
        <w:pStyle w:val="Heading2"/>
        <w:spacing w:before="300" w:after="160"/>
      </w:pPr>
      <w:r>
        <w:rPr>
          <w:rFonts w:ascii="Arial" w:cs="Arial" w:eastAsia="Arial" w:hAnsi="Arial"/>
          <w:b/>
          <w:bCs/>
          <w:color w:val="2E86AB"/>
          <w:sz w:val="26"/>
          <w:szCs w:val="26"/>
        </w:rPr>
        <w:t xml:space="preserve">5.3 Projections financières (24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Indicateur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Mois 6</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Mois 12</w:t>
            </w:r>
          </w:p>
        </w:tc>
        <w:tc>
          <w:tcPr>
            <w:tcW w:type="dxa" w:w="225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Mois 24</w:t>
            </w:r>
          </w:p>
        </w:tc>
      </w:tr>
      <w:tr>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Clients payants</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8</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35</w:t>
            </w:r>
          </w:p>
        </w:tc>
        <w:tc>
          <w:tcPr>
            <w:tcW w:type="dxa" w:w="2258"/>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150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MRR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4 500 €</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28 000 €</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145 000 €</w:t>
            </w:r>
          </w:p>
        </w:tc>
      </w:tr>
      <w:tr>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ARR</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54 000 €</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336 000 €</w:t>
            </w:r>
          </w:p>
        </w:tc>
        <w:tc>
          <w:tcPr>
            <w:tcW w:type="dxa" w:w="2258"/>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1 740 000 €</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Success fees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1 200 €</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12 000 €</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85 000 €</w:t>
            </w:r>
          </w:p>
        </w:tc>
      </w:tr>
      <w:tr>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Coûts mensuels</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8 000 €</w:t>
            </w:r>
          </w:p>
        </w:tc>
        <w:tc>
          <w:tcPr>
            <w:tcW w:type="dxa" w:w="225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22 000 €</w:t>
            </w:r>
          </w:p>
        </w:tc>
        <w:tc>
          <w:tcPr>
            <w:tcW w:type="dxa" w:w="2258"/>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65 000 €</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Rentabilité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Pré-rev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Breakeven</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Profitable</w:t>
            </w:r>
          </w:p>
        </w:tc>
      </w:tr>
    </w:tbl>
    <w:p>
      <w:pPr>
        <w:spacing w:after="200"/>
      </w:pPr>
    </w:p>
    <w:p>
      <w:pPr>
        <w:pStyle w:val="Heading1"/>
        <w:spacing w:before="360" w:after="200"/>
      </w:pPr>
      <w:r>
        <w:rPr>
          <w:rFonts w:ascii="Arial" w:cs="Arial" w:eastAsia="Arial" w:hAnsi="Arial"/>
          <w:b/>
          <w:bCs/>
          <w:color w:val="1B3A5C"/>
          <w:sz w:val="32"/>
          <w:szCs w:val="32"/>
        </w:rPr>
        <w:t xml:space="preserve">6. Feuille de Route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Période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Phase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Livrables</w:t>
            </w:r>
          </w:p>
        </w:tc>
      </w:tr>
      <w:tr>
        <w:tc>
          <w:tcPr>
            <w:tcW w:type="dxa" w:w="1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S1-S2</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Foundation</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Monorepo initialisé, Supabase + ClickHouse configurés, schéma DB complet, proxy MVP fonctionnel interceptant les requêtes OpenAI.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S3-S4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Core TokenOps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Dashboard de consommation temps réel, alertes budgétaires, premiers rapports d’économie. 3 rendez-vous DSI via pôles SCS / TheCamp.</w:t>
            </w:r>
          </w:p>
        </w:tc>
      </w:tr>
      <w:tr>
        <w:tc>
          <w:tcPr>
            <w:tcW w:type="dxa" w:w="1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S5-S6</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ESG + Broker</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Module ESG avec calcul carbone automatique et génération de certificats. Routage multi-provider (OpenAI + Anthropic + Mistral).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S7-S8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Compliance MVP</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Classification des risques AI Act, registre d’utilisation, rapports de conformité basiques. Cache sémantique opérationnel.</w:t>
            </w:r>
          </w:p>
        </w:tc>
      </w:tr>
      <w:tr>
        <w:tc>
          <w:tcPr>
            <w:tcW w:type="dxa" w:w="1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S9-S10</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Beta privée</w:t>
            </w:r>
          </w:p>
        </w:tc>
        <w:tc>
          <w:tcPr>
            <w:tcW w:type="dxa" w:w="50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Pilote gratuit avec 3-5 clients réels. Intégration Stripe pour billing. Collecte de métriques de satisfaction et d’économies.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S11-S12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Go-to-market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Offre formalisée « 30 % d’économie ou remboursé ». Pipeline marketing LinkedIn + conférence AI Paris. Dossier Bpifrance déposé.</w:t>
            </w:r>
          </w:p>
        </w:tc>
      </w:tr>
    </w:tbl>
    <w:p>
      <w:pPr>
        <w:spacing w:after="200"/>
      </w:pPr>
    </w:p>
    <w:p>
      <w:pPr>
        <w:pStyle w:val="Heading1"/>
        <w:spacing w:before="360" w:after="200"/>
      </w:pPr>
      <w:r>
        <w:rPr>
          <w:rFonts w:ascii="Arial" w:cs="Arial" w:eastAsia="Arial" w:hAnsi="Arial"/>
          <w:b/>
          <w:bCs/>
          <w:color w:val="1B3A5C"/>
          <w:sz w:val="32"/>
          <w:szCs w:val="32"/>
        </w:rPr>
        <w:t xml:space="preserve">7. Leviers Spécifiques France / Provence-Alpes</w:t>
      </w:r>
    </w:p>
    <w:p>
      <w:pPr>
        <w:pStyle w:val="Heading2"/>
        <w:spacing w:before="300" w:after="160"/>
      </w:pPr>
      <w:r>
        <w:rPr>
          <w:rFonts w:ascii="Arial" w:cs="Arial" w:eastAsia="Arial" w:hAnsi="Arial"/>
          <w:b/>
          <w:bCs/>
          <w:color w:val="2E86AB"/>
          <w:sz w:val="26"/>
          <w:szCs w:val="26"/>
        </w:rPr>
        <w:t xml:space="preserve">7.1 Financements publics</w:t>
      </w:r>
    </w:p>
    <w:p>
      <w:pPr>
        <w:pStyle w:val="ListParagraph"/>
        <w:numPr>
          <w:ilvl w:val="0"/>
          <w:numId w:val="2"/>
        </w:numPr>
        <w:spacing w:after="80"/>
      </w:pPr>
      <w:r>
        <w:rPr>
          <w:rFonts w:ascii="Arial" w:cs="Arial" w:eastAsia="Arial" w:hAnsi="Arial"/>
          <w:b/>
          <w:bCs/>
          <w:sz w:val="21"/>
          <w:szCs w:val="21"/>
        </w:rPr>
        <w:t xml:space="preserve">Bpifrance — Aide Innov : </w:t>
      </w:r>
      <w:r>
        <w:rPr>
          <w:rFonts w:ascii="Arial" w:cs="Arial" w:eastAsia="Arial" w:hAnsi="Arial"/>
          <w:sz w:val="21"/>
          <w:szCs w:val="21"/>
        </w:rPr>
        <w:t xml:space="preserve">subvention 50 k€ pour le développement du MVP. Critère d’éligibilité : caractère innovant de l’optimisation tokenomique.</w:t>
      </w:r>
    </w:p>
    <w:p>
      <w:pPr>
        <w:pStyle w:val="ListParagraph"/>
        <w:numPr>
          <w:ilvl w:val="0"/>
          <w:numId w:val="2"/>
        </w:numPr>
        <w:spacing w:after="80"/>
      </w:pPr>
      <w:r>
        <w:rPr>
          <w:rFonts w:ascii="Arial" w:cs="Arial" w:eastAsia="Arial" w:hAnsi="Arial"/>
          <w:b/>
          <w:bCs/>
          <w:sz w:val="21"/>
          <w:szCs w:val="21"/>
        </w:rPr>
        <w:t xml:space="preserve">Bpifrance — Deep Tech : </w:t>
      </w:r>
      <w:r>
        <w:rPr>
          <w:rFonts w:ascii="Arial" w:cs="Arial" w:eastAsia="Arial" w:hAnsi="Arial"/>
          <w:sz w:val="21"/>
          <w:szCs w:val="21"/>
        </w:rPr>
        <w:t xml:space="preserve">jusqu’à 70 % des dépenses R&amp;D si le cache sémantique et l’algorithme d’arbitrage sont qualifiés comme recherche.</w:t>
      </w:r>
    </w:p>
    <w:p>
      <w:pPr>
        <w:pStyle w:val="ListParagraph"/>
        <w:numPr>
          <w:ilvl w:val="0"/>
          <w:numId w:val="2"/>
        </w:numPr>
        <w:spacing w:after="80"/>
      </w:pPr>
      <w:r>
        <w:rPr>
          <w:rFonts w:ascii="Arial" w:cs="Arial" w:eastAsia="Arial" w:hAnsi="Arial"/>
          <w:b/>
          <w:bCs/>
          <w:sz w:val="21"/>
          <w:szCs w:val="21"/>
        </w:rPr>
        <w:t xml:space="preserve">Région Sud — Industrie Verte : </w:t>
      </w:r>
      <w:r>
        <w:rPr>
          <w:rFonts w:ascii="Arial" w:cs="Arial" w:eastAsia="Arial" w:hAnsi="Arial"/>
          <w:sz w:val="21"/>
          <w:szCs w:val="21"/>
        </w:rPr>
        <w:t xml:space="preserve">subvention 30-40 % si l’infrastructure est alimentée en solaire local (pertinent pour la future micro-AI factory).</w:t>
      </w:r>
    </w:p>
    <w:p>
      <w:pPr>
        <w:pStyle w:val="ListParagraph"/>
        <w:numPr>
          <w:ilvl w:val="0"/>
          <w:numId w:val="2"/>
        </w:numPr>
        <w:spacing w:after="80"/>
      </w:pPr>
      <w:r>
        <w:rPr>
          <w:rFonts w:ascii="Arial" w:cs="Arial" w:eastAsia="Arial" w:hAnsi="Arial"/>
          <w:b/>
          <w:bCs/>
          <w:sz w:val="21"/>
          <w:szCs w:val="21"/>
        </w:rPr>
        <w:t xml:space="preserve">CIR / CII : </w:t>
      </w:r>
      <w:r>
        <w:rPr>
          <w:rFonts w:ascii="Arial" w:cs="Arial" w:eastAsia="Arial" w:hAnsi="Arial"/>
          <w:sz w:val="21"/>
          <w:szCs w:val="21"/>
        </w:rPr>
        <w:t xml:space="preserve">Crédit d’Impôt Recherche (30 %) et Crédit d’Impôt Innovation (20 %) applicables aux dépenses de R&amp;D logicielle.</w:t>
      </w:r>
    </w:p>
    <w:p>
      <w:pPr>
        <w:spacing w:after="100"/>
      </w:pPr>
    </w:p>
    <w:p>
      <w:pPr>
        <w:pStyle w:val="Heading2"/>
        <w:spacing w:before="300" w:after="160"/>
      </w:pPr>
      <w:r>
        <w:rPr>
          <w:rFonts w:ascii="Arial" w:cs="Arial" w:eastAsia="Arial" w:hAnsi="Arial"/>
          <w:b/>
          <w:bCs/>
          <w:color w:val="2E86AB"/>
          <w:sz w:val="26"/>
          <w:szCs w:val="26"/>
        </w:rPr>
        <w:t xml:space="preserve">7.2 Écosystème local</w:t>
      </w:r>
    </w:p>
    <w:p>
      <w:pPr>
        <w:pStyle w:val="ListParagraph"/>
        <w:numPr>
          <w:ilvl w:val="0"/>
          <w:numId w:val="2"/>
        </w:numPr>
        <w:spacing w:after="80"/>
      </w:pPr>
      <w:r>
        <w:rPr>
          <w:rFonts w:ascii="Arial" w:cs="Arial" w:eastAsia="Arial" w:hAnsi="Arial"/>
          <w:sz w:val="21"/>
          <w:szCs w:val="21"/>
        </w:rPr>
        <w:t xml:space="preserve">Pôle SCS (Solutions Communicantes Sécurisées) à Sophia Antipolis : réseau de DSI et CTO de grands comptes régionaux.</w:t>
      </w:r>
    </w:p>
    <w:p>
      <w:pPr>
        <w:pStyle w:val="ListParagraph"/>
        <w:numPr>
          <w:ilvl w:val="0"/>
          <w:numId w:val="2"/>
        </w:numPr>
        <w:spacing w:after="80"/>
      </w:pPr>
      <w:r>
        <w:rPr>
          <w:rFonts w:ascii="Arial" w:cs="Arial" w:eastAsia="Arial" w:hAnsi="Arial"/>
          <w:sz w:val="21"/>
          <w:szCs w:val="21"/>
        </w:rPr>
        <w:t xml:space="preserve">TheCamp (Aix-en-Provence) : incubateur/accélérateur avec accès à des mentors tech et business.</w:t>
      </w:r>
    </w:p>
    <w:p>
      <w:pPr>
        <w:pStyle w:val="ListParagraph"/>
        <w:numPr>
          <w:ilvl w:val="0"/>
          <w:numId w:val="2"/>
        </w:numPr>
        <w:spacing w:after="80"/>
      </w:pPr>
      <w:r>
        <w:rPr>
          <w:rFonts w:ascii="Arial" w:cs="Arial" w:eastAsia="Arial" w:hAnsi="Arial"/>
          <w:sz w:val="21"/>
          <w:szCs w:val="21"/>
        </w:rPr>
        <w:t xml:space="preserve">La Ciotat — Pôle média : concentration d’entreprises tech et numériques, clients potentiels directs.</w:t>
      </w:r>
    </w:p>
    <w:p>
      <w:pPr>
        <w:pStyle w:val="ListParagraph"/>
        <w:numPr>
          <w:ilvl w:val="0"/>
          <w:numId w:val="2"/>
        </w:numPr>
        <w:spacing w:after="80"/>
      </w:pPr>
      <w:r>
        <w:rPr>
          <w:rFonts w:ascii="Arial" w:cs="Arial" w:eastAsia="Arial" w:hAnsi="Arial"/>
          <w:sz w:val="21"/>
          <w:szCs w:val="21"/>
        </w:rPr>
        <w:t xml:space="preserve">Scaleway Paris : GPU souverains H100 à tarif préférentiel pour projets « AI Act-ready » — partenaire idéal pour le module Broker.</w:t>
      </w:r>
    </w:p>
    <w:p>
      <w:pPr>
        <w:spacing w:after="100"/>
      </w:pPr>
    </w:p>
    <w:p>
      <w:pPr>
        <w:pStyle w:val="Heading2"/>
        <w:spacing w:before="300" w:after="160"/>
      </w:pPr>
      <w:r>
        <w:rPr>
          <w:rFonts w:ascii="Arial" w:cs="Arial" w:eastAsia="Arial" w:hAnsi="Arial"/>
          <w:b/>
          <w:bCs/>
          <w:color w:val="2E86AB"/>
          <w:sz w:val="26"/>
          <w:szCs w:val="26"/>
        </w:rPr>
        <w:t xml:space="preserve">7.3 Avantage concurrentiel européen</w:t>
      </w:r>
    </w:p>
    <w:p>
      <w:pPr>
        <w:spacing w:after="120"/>
        <w:jc w:val="left"/>
      </w:pPr>
      <w:r>
        <w:rPr>
          <w:rFonts w:ascii="Arial" w:cs="Arial" w:eastAsia="Arial" w:hAnsi="Arial"/>
          <w:b w:val="false"/>
          <w:bCs w:val="false"/>
          <w:i w:val="false"/>
          <w:iCs w:val="false"/>
          <w:color w:val="333333"/>
          <w:sz w:val="21"/>
          <w:szCs w:val="21"/>
        </w:rPr>
        <w:t xml:space="preserve">La localisation française est un avantage stratégique majeur. Être en avance sur la traçabilité token/énergie est un différenciateur fort vis-à-vis des acteurs US et asiatiques qui n’ont pas les contraintes de l’EU AI Act. Les entreprises européennes préféreront un outil souverain, conforme par défaut, plutôt qu’un outil US nécessitant des adaptations coûteuses.</w:t>
      </w:r>
    </w:p>
    <w:p>
      <w:pPr>
        <w:spacing w:after="200"/>
      </w:pPr>
    </w:p>
    <w:p>
      <w:pPr>
        <w:pStyle w:val="Heading1"/>
        <w:spacing w:before="360" w:after="200"/>
      </w:pPr>
      <w:r>
        <w:rPr>
          <w:rFonts w:ascii="Arial" w:cs="Arial" w:eastAsia="Arial" w:hAnsi="Arial"/>
          <w:b/>
          <w:bCs/>
          <w:color w:val="1B3A5C"/>
          <w:sz w:val="32"/>
          <w:szCs w:val="32"/>
        </w:rPr>
        <w:t xml:space="preserve">8. Évolution Future : Micro-AI Factory Verte</w:t>
      </w:r>
    </w:p>
    <w:p>
      <w:pPr>
        <w:spacing w:after="120"/>
        <w:jc w:val="left"/>
      </w:pPr>
      <w:r>
        <w:rPr>
          <w:rFonts w:ascii="Arial" w:cs="Arial" w:eastAsia="Arial" w:hAnsi="Arial"/>
          <w:b w:val="false"/>
          <w:bCs w:val="false"/>
          <w:i w:val="false"/>
          <w:iCs w:val="false"/>
          <w:color w:val="333333"/>
          <w:sz w:val="21"/>
          <w:szCs w:val="21"/>
        </w:rPr>
        <w:t xml:space="preserve">Une fois TokenForge établi comme SaaS (phase 1, capital limité), la phase 2 consiste à verticaliser l’offre en exploitant une infrastructure physique d’inférence en Provence-Alpes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7A4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Paramètre</w:t>
            </w:r>
          </w:p>
        </w:tc>
        <w:tc>
          <w:tcPr>
            <w:tcW w:type="dxa" w:w="6526"/>
            <w:tcBorders>
              <w:top w:val="single" w:color="CCCCCC" w:sz="1"/>
              <w:left w:val="single" w:color="CCCCCC" w:sz="1"/>
              <w:bottom w:val="single" w:color="CCCCCC" w:sz="1"/>
              <w:right w:val="single" w:color="CCCCCC" w:sz="1"/>
            </w:tcBorders>
            <w:shd w:fill="1A7A4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Spécification</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Matériel</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 nœud DGX B200 Blackwell (&gt; 1 000 tokens/s/utilisateur sur Llama-4)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Énergie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Solaire local (autoconsommation) + tarif EDF heures creuses → coût &lt; 0,7 c€/1k tokens vs 2-4 c€ en cloud</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Modèle</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Llama-4-FR fine-tuné pour le français — inférence souveraine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Offre B2B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Packs illimités ou facturation à 0,012 €/1k tokens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CAPEX</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2-3 M€ (leasing matériel + raccordement 1 MW)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Financement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Bpifrance + Région Sud « Industrie Verte » = subvention 30-40 %</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Marge brute</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&gt; 60 % (avantage énergétique structurel)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Délai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18-24 mois après lancement SaaS</w:t>
            </w:r>
          </w:p>
        </w:tc>
      </w:tr>
    </w:tbl>
    <w:p>
      <w:pPr>
        <w:spacing w:after="100"/>
      </w:pPr>
    </w:p>
    <w:p>
      <w:pPr>
        <w:spacing w:after="120"/>
        <w:jc w:val="left"/>
      </w:pPr>
      <w:r>
        <w:rPr>
          <w:rFonts w:ascii="Arial" w:cs="Arial" w:eastAsia="Arial" w:hAnsi="Arial"/>
          <w:b w:val="false"/>
          <w:bCs w:val="false"/>
          <w:i w:val="false"/>
          <w:iCs w:val="false"/>
          <w:color w:val="333333"/>
          <w:sz w:val="21"/>
          <w:szCs w:val="21"/>
        </w:rPr>
        <w:t xml:space="preserve">Cette évolution transforme TokenForge d’un pure player SaaS en un acteur intégré de la chaîne de valeur des tokens IA, créant une barrière à l’entrée majeure et des marges structurellement supérieures.</w:t>
      </w:r>
    </w:p>
    <w:p>
      <w:pPr>
        <w:spacing w:after="200"/>
      </w:pPr>
    </w:p>
    <w:p>
      <w:pPr>
        <w:pStyle w:val="Heading1"/>
        <w:spacing w:before="360" w:after="200"/>
      </w:pPr>
      <w:r>
        <w:rPr>
          <w:rFonts w:ascii="Arial" w:cs="Arial" w:eastAsia="Arial" w:hAnsi="Arial"/>
          <w:b/>
          <w:bCs/>
          <w:color w:val="1B3A5C"/>
          <w:sz w:val="32"/>
          <w:szCs w:val="32"/>
        </w:rPr>
        <w:t xml:space="preserve">9. Risques et Stratégies de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Risque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Probabilité</w:t>
            </w:r>
          </w:p>
        </w:tc>
        <w:tc>
          <w:tcPr>
            <w:tcW w:type="dxa" w:w="5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Course aux prix bas des API</w:t>
            </w:r>
          </w:p>
        </w:tc>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Haute</w:t>
            </w:r>
          </w:p>
        </w:tc>
        <w:tc>
          <w:tcPr>
            <w:tcW w:type="dxa" w:w="5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Le success fee aligne les intérêts : même si les prix baissent, l’optimisation reste rentable. Diversification revenus (ESG +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Consolidation des providers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Moyenne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Architecture multi-provider dès le départ. Indépendance technologique via abstraction complète.</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Retard EU AI Act</w:t>
            </w:r>
          </w:p>
        </w:tc>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Faible</w:t>
            </w:r>
          </w:p>
        </w:tc>
        <w:tc>
          <w:tcPr>
            <w:tcW w:type="dxa" w:w="5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Les obligations de transparence énergétique sont déjà un avantage marketing même sans obligation légale immédiate.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Concurrence 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Moyenne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Avantage RGPD/souveraineté européenne. Proximité client. Conformité native vs adaptation.</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9"/>
                <w:szCs w:val="19"/>
              </w:rPr>
              <w:t xml:space="preserve">Difficulté recrutement</w:t>
            </w:r>
          </w:p>
        </w:tc>
        <w:tc>
          <w:tcPr>
            <w:tcW w:type="dxa" w:w="1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Haute</w:t>
            </w:r>
          </w:p>
        </w:tc>
        <w:tc>
          <w:tcPr>
            <w:tcW w:type="dxa" w:w="58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9"/>
                <w:szCs w:val="19"/>
              </w:rPr>
              <w:t xml:space="preserve">Télétravail + écosystème Aix-Marseille. Offre d’equity pour les premiers employés.</w:t>
            </w:r>
          </w:p>
        </w:tc>
      </w:tr>
    </w:tbl>
    <w:p>
      <w:pPr>
        <w:spacing w:after="200"/>
      </w:pPr>
    </w:p>
    <w:p>
      <w:pPr>
        <w:pStyle w:val="Heading1"/>
        <w:spacing w:before="360" w:after="200"/>
      </w:pPr>
      <w:r>
        <w:rPr>
          <w:rFonts w:ascii="Arial" w:cs="Arial" w:eastAsia="Arial" w:hAnsi="Arial"/>
          <w:b/>
          <w:bCs/>
          <w:color w:val="1B3A5C"/>
          <w:sz w:val="32"/>
          <w:szCs w:val="32"/>
        </w:rPr>
        <w:t xml:space="preserve">10. Conclusion et Prochaines Étapes</w:t>
      </w:r>
    </w:p>
    <w:p>
      <w:pPr>
        <w:spacing w:after="120"/>
        <w:jc w:val="left"/>
      </w:pPr>
      <w:r>
        <w:rPr>
          <w:rFonts w:ascii="Arial" w:cs="Arial" w:eastAsia="Arial" w:hAnsi="Arial"/>
          <w:b w:val="false"/>
          <w:bCs w:val="false"/>
          <w:i w:val="false"/>
          <w:iCs w:val="false"/>
          <w:color w:val="333333"/>
          <w:sz w:val="21"/>
          <w:szCs w:val="21"/>
        </w:rPr>
        <w:t xml:space="preserve">TokenForge capitalise sur une convergence unique : l’explosion des dépenses en tokens IA, l’arrivée de l’EU AI Act, la prise de conscience environnementale, et la volatilité des prix d’inférence. En unifiant optimisation économique, certification ESG, conformité réglementaire et courtage intelligent dans une seule plateforme, le projet crée une proposition de valeur inégalée sur le marché européen.</w:t>
      </w:r>
    </w:p>
    <w:p>
      <w:pPr>
        <w:spacing w:after="120"/>
        <w:jc w:val="left"/>
      </w:pPr>
      <w:r>
        <w:rPr>
          <w:rFonts w:ascii="Arial" w:cs="Arial" w:eastAsia="Arial" w:hAnsi="Arial"/>
          <w:b w:val="false"/>
          <w:bCs w:val="false"/>
          <w:i w:val="false"/>
          <w:iCs w:val="false"/>
          <w:color w:val="333333"/>
          <w:sz w:val="21"/>
          <w:szCs w:val="21"/>
        </w:rPr>
        <w:t xml:space="preserve">Le ticket d’entrée reste accessible (80-150 k€), le time-to-market est court (MVP en 30 jours), et les leviers de financement publics français réduisent significativement le risque financier. La clé du succès repose sur un seul principe : attaquer un point de douleur mesurable (€/token, CO₂/token, score de conformité) et packager une solution simple à acheter.</w:t>
      </w:r>
    </w:p>
    <w:p>
      <w:pPr>
        <w:spacing w:after="100"/>
      </w:pPr>
    </w:p>
    <w:p>
      <w:pPr>
        <w:spacing w:after="200"/>
        <w:jc w:val="left"/>
      </w:pPr>
      <w:r>
        <w:rPr>
          <w:rFonts w:ascii="Arial" w:cs="Arial" w:eastAsia="Arial" w:hAnsi="Arial"/>
          <w:b/>
          <w:bCs/>
          <w:color w:val="1B3A5C"/>
          <w:sz w:val="24"/>
          <w:szCs w:val="24"/>
        </w:rPr>
        <w:t xml:space="preserve">Action immédiate : </w:t>
      </w:r>
      <w:r>
        <w:rPr>
          <w:rFonts w:ascii="Arial" w:cs="Arial" w:eastAsia="Arial" w:hAnsi="Arial"/>
          <w:color w:val="333333"/>
          <w:sz w:val="24"/>
          <w:szCs w:val="24"/>
        </w:rPr>
        <w:t xml:space="preserve">Transmettre ce document à Claude Code pour initialiser le monorepo TokenForge et démarrer la Phase 1 (scaffolding). L’objectif est d’avoir un proxy fonctionnel interceptant les requêtes en 48 heures.</w:t>
      </w:r>
    </w:p>
    <w:p>
      <w:pPr>
        <w:spacing w:after="200"/>
      </w:pPr>
    </w:p>
    <w:p>
      <w:pPr>
        <w:pStyle w:val="Heading1"/>
        <w:spacing w:before="360" w:after="200"/>
      </w:pPr>
      <w:r>
        <w:rPr>
          <w:rFonts w:ascii="Arial" w:cs="Arial" w:eastAsia="Arial" w:hAnsi="Arial"/>
          <w:b/>
          <w:bCs/>
          <w:color w:val="1B3A5C"/>
          <w:sz w:val="32"/>
          <w:szCs w:val="32"/>
        </w:rPr>
        <w:t xml:space="preserve">Annexe A : Glossaire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Terme</w:t>
            </w:r>
          </w:p>
        </w:tc>
        <w:tc>
          <w:tcPr>
            <w:tcW w:type="dxa" w:w="6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spacing w:after="40"/>
            </w:pPr>
            <w:r>
              <w:rPr>
                <w:rFonts w:ascii="Arial" w:cs="Arial" w:eastAsia="Arial" w:hAnsi="Arial"/>
                <w:b/>
                <w:bCs/>
                <w:color w:val="FFFFFF"/>
                <w:sz w:val="19"/>
                <w:szCs w:val="19"/>
              </w:rPr>
              <w:t xml:space="preserve">Définition</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Token</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Unité atomique de texte traitée par un LLM (environ 0,75 mot en français, 4 caractères en anglais).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Token/sec/watt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Métrique d’efficacité industrielle : nombre de tokens générés par seconde par watt consommé.</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AI Factory</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Concept NVIDIA : datacenter spécialisé dans la production de tokens IA à l’échelle industrielle.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Power Usage Effectiveness : ratio énergie totale / énergie utile d’un datacenter (idéal : 1.0).</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EU AI Act</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Règlement européen sur l’intelligence artificielle, entré en vigueur en 2024 avec application progressive jusqu’à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CSRD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Corporate Sustainability Reporting Directive — obligation de reporting extra-financier pour les grandes entreprises.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Cache sémantique</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Système qui détecte les requêtes sémantiquement proches de requêtes précédentes pour éviter de consommer des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pgvector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Extension PostgreSQL pour le stockage et la recherche de vecteurs d’embeddings.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MRR / ARR</w:t>
            </w:r>
          </w:p>
        </w:tc>
        <w:tc>
          <w:tcPr>
            <w:tcW w:type="dxa" w:w="6526"/>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Monthly/Annual Recurring Revenue — revenu récurrent mensuel/annuel, métrique clé SaaS.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333333"/>
                <w:sz w:val="18"/>
                <w:szCs w:val="18"/>
              </w:rPr>
              <w:t xml:space="preserve">Success fee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333333"/>
                <w:sz w:val="18"/>
                <w:szCs w:val="18"/>
              </w:rPr>
              <w:t xml:space="preserve">Commission variable indexée sur la performance réelle (ici : économies mesurées pour le client).</w:t>
            </w:r>
          </w:p>
        </w:tc>
      </w:tr>
    </w:tbl>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TokenForge — Rapport Technique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TokenForge — Rapport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86A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24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2026-02-08T15:56:40.675Z</dcterms:created>
  <dcterms:modified xsi:type="dcterms:W3CDTF">2026-02-08T15:56:40.676Z</dcterms:modified>
</cp:coreProperties>
</file>

<file path=docProps/custom.xml><?xml version="1.0" encoding="utf-8"?>
<Properties xmlns="http://schemas.openxmlformats.org/officeDocument/2006/custom-properties" xmlns:vt="http://schemas.openxmlformats.org/officeDocument/2006/docPropsVTypes"/>
</file>