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280"/>
        <w:jc w:val="center"/>
      </w:pPr>
      <w:r>
        <w:rPr>
          <w:rFonts w:ascii="Calibri" w:hAnsi="Calibri"/>
          <w:b/>
          <w:color w:val="2E74B5"/>
          <w:sz w:val="20"/>
        </w:rPr>
        <w:t>PRIVATE LAUNCH OPERATIONS</w:t>
      </w:r>
    </w:p>
    <w:p>
      <w:pPr>
        <w:spacing w:after="200"/>
        <w:jc w:val="center"/>
      </w:pPr>
      <w:r>
        <w:rPr>
          <w:rFonts w:ascii="Calibri" w:hAnsi="Calibri"/>
          <w:b/>
          <w:color w:val="163A5F"/>
          <w:sz w:val="56"/>
        </w:rPr>
        <w:t>GODFIN Owner</w:t>
        <w:br/>
        <w:t>Completion Runbook</w:t>
      </w:r>
    </w:p>
    <w:p>
      <w:pPr>
        <w:spacing w:after="480"/>
        <w:jc w:val="center"/>
      </w:pPr>
      <w:r>
        <w:rPr>
          <w:rFonts w:ascii="Calibri" w:hAnsi="Calibri"/>
          <w:color w:val="1F4D78"/>
          <w:sz w:val="26"/>
        </w:rPr>
        <w:t>Owner-controlled credentials, signing, compliance, validation, and launch gates</w:t>
      </w:r>
    </w:p>
    <w:p>
      <w:pPr>
        <w:spacing w:after="840"/>
        <w:jc w:val="center"/>
      </w:pPr>
      <w:r>
        <w:rPr>
          <w:rFonts w:ascii="Calibri" w:hAnsi="Calibri"/>
          <w:color w:val="667085"/>
          <w:sz w:val="20"/>
        </w:rPr>
        <w:t>Version 2.0  •  29 July 2026  •  oculusrex14/GODFIN (private)</w:t>
        <w:br/>
        <w:t>Production branch: codex/godfin-production-v3</w:t>
      </w:r>
    </w:p>
    <w:p>
      <w:pPr>
        <w:spacing w:before="100" w:after="160" w:line="288" w:lineRule="auto"/>
        <w:ind w:left="115" w:right="115"/>
        <w:shd w:fill="FDECEC"/>
        <w:pBdr>
          <w:left w:val="single" w:sz="18" w:space="8" w:color="9B1C1C"/>
        </w:pBdr>
      </w:pPr>
      <w:r>
        <w:rPr>
          <w:rFonts w:ascii="Calibri" w:hAnsi="Calibri"/>
          <w:b/>
          <w:color w:val="9B1C1C"/>
          <w:sz w:val="21"/>
        </w:rPr>
        <w:t xml:space="preserve">NON-NEGOTIABLE  </w:t>
      </w:r>
      <w:r>
        <w:rPr>
          <w:rFonts w:ascii="Calibri" w:hAnsi="Calibri"/>
          <w:color w:val="172033"/>
          <w:sz w:val="21"/>
        </w:rPr>
        <w:t>Never paste secrets, OAuth credentials, signing certificates, real statements, local databases, PINs, license keys, payout identities, or customer financial data into this document, source control, chat, tickets, or email.</w:t>
      </w:r>
    </w:p>
    <w:p>
      <w:pPr>
        <w:spacing w:before="400"/>
        <w:jc w:val="center"/>
      </w:pPr>
      <w:r>
        <w:rPr>
          <w:rFonts w:ascii="Calibri" w:hAnsi="Calibri"/>
          <w:color w:val="172033"/>
          <w:sz w:val="21"/>
        </w:rPr>
        <w:t>Owner: ______________________________    Target date: __________________</w:t>
      </w:r>
    </w:p>
    <w:p>
      <w:r>
        <w:br w:type="page"/>
      </w:r>
    </w:p>
    <w:p>
      <w:pPr>
        <w:pStyle w:val="Heading1"/>
      </w:pPr>
      <w:r>
        <w:t>How to use this runbook</w:t>
      </w:r>
    </w:p>
    <w:p>
      <w:pPr>
        <w:keepLines/>
        <w:numPr>
          <w:ilvl w:val="0"/>
          <w:numId w:val="10"/>
        </w:numPr>
      </w:pPr>
      <w:r>
        <w:t>Complete sections in order. Each section ends with evidence that can be checked without revealing a secret.</w:t>
      </w:r>
    </w:p>
    <w:p>
      <w:pPr>
        <w:keepLines/>
        <w:numPr>
          <w:ilvl w:val="0"/>
          <w:numId w:val="10"/>
        </w:numPr>
      </w:pPr>
      <w:r>
        <w:t>Use provider dashboards in your own browser. Store every secret only in the provider’s encrypted environment, GitHub Actions secret store, and your business password vault.</w:t>
      </w:r>
    </w:p>
    <w:p>
      <w:pPr>
        <w:keepLines/>
        <w:numPr>
          <w:ilvl w:val="0"/>
          <w:numId w:val="10"/>
        </w:numPr>
      </w:pPr>
      <w:r>
        <w:t>Keep the desktop backend local. Supabase, Vercel, Stripe, Resend, and R2 are website, licensing, email, and distribution services only; they must never become the application database.</w:t>
      </w:r>
    </w:p>
    <w:p>
      <w:pPr>
        <w:keepLines/>
        <w:numPr>
          <w:ilvl w:val="0"/>
          <w:numId w:val="10"/>
        </w:numPr>
      </w:pPr>
      <w:r>
        <w:t>Do not enable checkout, the reward pilot, update-feed promotion, or public launch content until the matching sign-off gate is complete.</w:t>
      </w:r>
    </w:p>
    <w:p>
      <w:pPr>
        <w:keepLines/>
        <w:numPr>
          <w:ilvl w:val="0"/>
          <w:numId w:val="10"/>
        </w:numPr>
      </w:pPr>
      <w:r>
        <w:t>When a step says “ask Codex to verify,” provide only the non-secret project name, public URL, or workflow run URL—not the credential value.</w:t>
      </w:r>
    </w:p>
    <w:p>
      <w:pPr>
        <w:pStyle w:val="Heading1"/>
      </w:pPr>
      <w:r>
        <w:t>Current verified state</w:t>
      </w:r>
    </w:p>
    <w:p>
      <w:pPr>
        <w:spacing w:before="100" w:after="160" w:line="288" w:lineRule="auto"/>
        <w:ind w:left="115" w:right="115"/>
        <w:shd w:fill="EAF7EF"/>
        <w:pBdr>
          <w:left w:val="single" w:sz="18" w:space="8" w:color="17663A"/>
        </w:pBdr>
      </w:pPr>
      <w:r>
        <w:rPr>
          <w:rFonts w:ascii="Calibri" w:hAnsi="Calibri"/>
          <w:b/>
          <w:color w:val="17663A"/>
          <w:sz w:val="21"/>
        </w:rPr>
        <w:t xml:space="preserve">ENGINEERING BASELINE  </w:t>
      </w:r>
      <w:r>
        <w:rPr>
          <w:rFonts w:ascii="Calibri" w:hAnsi="Calibri"/>
          <w:color w:val="172033"/>
          <w:sz w:val="21"/>
        </w:rPr>
        <w:t>Phases 0–4 are implemented. The local baseline is 306 passing backend tests; frontend and website production builds pass; production Playwright and mobile accessibility smoke pass; the packaged macOS app meets the accepted start, memory, database-preservation, fuse, and signature-seal checks.</w:t>
      </w:r>
    </w:p>
    <w:p>
      <w:pPr>
        <w:keepLines/>
        <w:numPr>
          <w:ilvl w:val="0"/>
          <w:numId w:val="11"/>
        </w:numPr>
      </w:pPr>
      <w:r>
        <w:t>Private repository: https://github.com/oculusrex14/GODFIN</w:t>
      </w:r>
    </w:p>
    <w:p>
      <w:pPr>
        <w:keepLines/>
        <w:numPr>
          <w:ilvl w:val="0"/>
          <w:numId w:val="11"/>
        </w:numPr>
      </w:pPr>
      <w:r>
        <w:t>Production website: https://godfin.vercel.app</w:t>
      </w:r>
    </w:p>
    <w:p>
      <w:pPr>
        <w:keepLines/>
        <w:numPr>
          <w:ilvl w:val="0"/>
          <w:numId w:val="11"/>
        </w:numPr>
      </w:pPr>
      <w:r>
        <w:t>Supabase project: GODFIN (ap-south-1); migrations 0001 and 0002 match local history.</w:t>
      </w:r>
    </w:p>
    <w:p>
      <w:pPr>
        <w:keepLines/>
        <w:numPr>
          <w:ilvl w:val="0"/>
          <w:numId w:val="11"/>
        </w:numPr>
      </w:pPr>
      <w:r>
        <w:t>Vercel already contains the Supabase public/server variables and LICENSE_SIGNING_SECRET. Values are encrypted and are intentionally not reproduced here.</w:t>
      </w:r>
    </w:p>
    <w:p>
      <w:pPr>
        <w:keepLines/>
        <w:numPr>
          <w:ilvl w:val="0"/>
          <w:numId w:val="11"/>
        </w:numPr>
      </w:pPr>
      <w:r>
        <w:t>Stripe, Resend, custom-domain, signing, R2, and clean-VM evidence are not yet complete.</w:t>
      </w:r>
    </w:p>
    <w:p>
      <w:pPr>
        <w:keepLines/>
        <w:numPr>
          <w:ilvl w:val="0"/>
          <w:numId w:val="11"/>
        </w:numPr>
      </w:pPr>
      <w:r>
        <w:t>Reward pilot, sponsor card, PPP checkout, and OpenDataLoader shipping remain safely feature-gated where applicable.</w:t>
      </w:r>
    </w:p>
    <w:p>
      <w:pPr>
        <w:keepLines/>
        <w:numPr>
          <w:ilvl w:val="0"/>
          <w:numId w:val="11"/>
        </w:numPr>
      </w:pPr>
      <w:r>
        <w:t>Nothing in this document authorizes a public release. Phase 6 starts only after explicit written public-launch authorization.</w:t>
      </w:r>
    </w:p>
    <w:p>
      <w:pPr>
        <w:pStyle w:val="Heading1"/>
      </w:pPr>
      <w:r>
        <w:t>Critical path and blockers</w:t>
      </w:r>
    </w:p>
    <w:tbl>
      <w:tblPr>
        <w:tblStyle w:val="TableGrid"/>
        <w:tblW w:type="dxa" w:w="9360"/>
        <w:tblLayout w:type="fixed"/>
        <w:tblLook w:firstColumn="1" w:firstRow="1" w:lastColumn="0" w:lastRow="0" w:noHBand="0" w:noVBand="1" w:val="04A0"/>
        <w:tblInd w:w="120" w:type="dxa"/>
      </w:tblPr>
      <w:tblGrid>
        <w:gridCol w:w="1500"/>
        <w:gridCol w:w="2100"/>
        <w:gridCol w:w="3000"/>
        <w:gridCol w:w="2760"/>
      </w:tblGrid>
      <w:tr>
        <w:trPr>
          <w:tblHeader w:val="true"/>
        </w:trPr>
        <w:tc>
          <w:tcPr>
            <w:tcW w:type="dxa" w:w="1500"/>
            <w:shd w:fill="E8EEF5"/>
            <w:tcMar>
              <w:top w:w="80" w:type="dxa"/>
              <w:start w:w="120" w:type="dxa"/>
              <w:bottom w:w="80" w:type="dxa"/>
              <w:end w:w="120" w:type="dxa"/>
            </w:tcMar>
            <w:vAlign w:val="center"/>
          </w:tcPr>
          <w:p>
            <w:pPr>
              <w:spacing w:after="0"/>
            </w:pPr>
            <w:r>
              <w:rPr>
                <w:rFonts w:ascii="Calibri" w:hAnsi="Calibri"/>
                <w:b/>
                <w:color w:val="163A5F"/>
                <w:sz w:val="19"/>
              </w:rPr>
              <w:t>Blocker</w:t>
            </w:r>
          </w:p>
        </w:tc>
        <w:tc>
          <w:tcPr>
            <w:tcW w:type="dxa" w:w="2100"/>
            <w:shd w:fill="E8EEF5"/>
            <w:tcMar>
              <w:top w:w="80" w:type="dxa"/>
              <w:start w:w="120" w:type="dxa"/>
              <w:bottom w:w="80" w:type="dxa"/>
              <w:end w:w="120" w:type="dxa"/>
            </w:tcMar>
            <w:vAlign w:val="center"/>
          </w:tcPr>
          <w:p>
            <w:pPr>
              <w:spacing w:after="0"/>
            </w:pPr>
            <w:r>
              <w:rPr>
                <w:rFonts w:ascii="Calibri" w:hAnsi="Calibri"/>
                <w:b/>
                <w:color w:val="163A5F"/>
                <w:sz w:val="19"/>
              </w:rPr>
              <w:t>Why blocked</w:t>
            </w:r>
          </w:p>
        </w:tc>
        <w:tc>
          <w:tcPr>
            <w:tcW w:type="dxa" w:w="3000"/>
            <w:shd w:fill="E8EEF5"/>
            <w:tcMar>
              <w:top w:w="80" w:type="dxa"/>
              <w:start w:w="120" w:type="dxa"/>
              <w:bottom w:w="80" w:type="dxa"/>
              <w:end w:w="120" w:type="dxa"/>
            </w:tcMar>
            <w:vAlign w:val="center"/>
          </w:tcPr>
          <w:p>
            <w:pPr>
              <w:spacing w:after="0"/>
            </w:pPr>
            <w:r>
              <w:rPr>
                <w:rFonts w:ascii="Calibri" w:hAnsi="Calibri"/>
                <w:b/>
                <w:color w:val="163A5F"/>
                <w:sz w:val="19"/>
              </w:rPr>
              <w:t>Your intervention</w:t>
            </w:r>
          </w:p>
        </w:tc>
        <w:tc>
          <w:tcPr>
            <w:tcW w:type="dxa" w:w="2760"/>
            <w:shd w:fill="E8EEF5"/>
            <w:tcMar>
              <w:top w:w="80" w:type="dxa"/>
              <w:start w:w="120" w:type="dxa"/>
              <w:bottom w:w="80" w:type="dxa"/>
              <w:end w:w="120" w:type="dxa"/>
            </w:tcMar>
            <w:vAlign w:val="center"/>
          </w:tcPr>
          <w:p>
            <w:pPr>
              <w:spacing w:after="0"/>
            </w:pPr>
            <w:r>
              <w:rPr>
                <w:rFonts w:ascii="Calibri" w:hAnsi="Calibri"/>
                <w:b/>
                <w:color w:val="163A5F"/>
                <w:sz w:val="19"/>
              </w:rPr>
              <w:t>Completion evidence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Google OAuth</w:t>
            </w:r>
          </w:p>
        </w:tc>
        <w:tc>
          <w:tcPr>
            <w:tcW w:type="dxa" w:w="2100"/>
            <w:tcMar>
              <w:top w:w="80" w:type="dxa"/>
              <w:start w:w="120" w:type="dxa"/>
              <w:bottom w:w="80" w:type="dxa"/>
              <w:end w:w="120" w:type="dxa"/>
            </w:tcMar>
            <w:vAlign w:val="center"/>
          </w:tcPr>
          <w:p>
            <w:pPr>
              <w:spacing w:after="0"/>
            </w:pPr>
            <w:r>
              <w:rPr>
                <w:rFonts w:ascii="Calibri" w:hAnsi="Calibri"/>
                <w:color w:val="172033"/>
                <w:sz w:val="18"/>
              </w:rPr>
              <w:t>No Google web client/provider has been verified.</w:t>
            </w:r>
          </w:p>
        </w:tc>
        <w:tc>
          <w:tcPr>
            <w:tcW w:type="dxa" w:w="3000"/>
            <w:tcMar>
              <w:top w:w="80" w:type="dxa"/>
              <w:start w:w="120" w:type="dxa"/>
              <w:bottom w:w="80" w:type="dxa"/>
              <w:end w:w="120" w:type="dxa"/>
            </w:tcMar>
            <w:vAlign w:val="center"/>
          </w:tcPr>
          <w:p>
            <w:pPr>
              <w:spacing w:after="0"/>
            </w:pPr>
            <w:r>
              <w:rPr>
                <w:rFonts w:ascii="Calibri" w:hAnsi="Calibri"/>
                <w:color w:val="172033"/>
                <w:sz w:val="18"/>
              </w:rPr>
              <w:t>Create the client and enable Google in Supabase.</w:t>
            </w:r>
          </w:p>
        </w:tc>
        <w:tc>
          <w:tcPr>
            <w:tcW w:type="dxa" w:w="2760"/>
            <w:tcMar>
              <w:top w:w="80" w:type="dxa"/>
              <w:start w:w="120" w:type="dxa"/>
              <w:bottom w:w="80" w:type="dxa"/>
              <w:end w:w="120" w:type="dxa"/>
            </w:tcMar>
            <w:vAlign w:val="center"/>
          </w:tcPr>
          <w:p>
            <w:pPr>
              <w:spacing w:after="0"/>
            </w:pPr>
            <w:r>
              <w:rPr>
                <w:rFonts w:ascii="Calibri" w:hAnsi="Calibri"/>
                <w:color w:val="172033"/>
                <w:sz w:val="18"/>
              </w:rPr>
              <w:t>Google sign-in returns to /account.</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Stripe India</w:t>
            </w:r>
          </w:p>
        </w:tc>
        <w:tc>
          <w:tcPr>
            <w:tcW w:type="dxa" w:w="2100"/>
            <w:tcMar>
              <w:top w:w="80" w:type="dxa"/>
              <w:start w:w="120" w:type="dxa"/>
              <w:bottom w:w="80" w:type="dxa"/>
              <w:end w:w="120" w:type="dxa"/>
            </w:tcMar>
            <w:vAlign w:val="center"/>
          </w:tcPr>
          <w:p>
            <w:pPr>
              <w:spacing w:after="0"/>
            </w:pPr>
            <w:r>
              <w:rPr>
                <w:rFonts w:ascii="Calibri" w:hAnsi="Calibri"/>
                <w:color w:val="172033"/>
                <w:sz w:val="18"/>
              </w:rPr>
              <w:t>Keys, one-time Price IDs, and webhook are absent.</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KYC; create test/live products and webhook.</w:t>
            </w:r>
          </w:p>
        </w:tc>
        <w:tc>
          <w:tcPr>
            <w:tcW w:type="dxa" w:w="2760"/>
            <w:tcMar>
              <w:top w:w="80" w:type="dxa"/>
              <w:start w:w="120" w:type="dxa"/>
              <w:bottom w:w="80" w:type="dxa"/>
              <w:end w:w="120" w:type="dxa"/>
            </w:tcMar>
            <w:vAlign w:val="center"/>
          </w:tcPr>
          <w:p>
            <w:pPr>
              <w:spacing w:after="0"/>
            </w:pPr>
            <w:r>
              <w:rPr>
                <w:rFonts w:ascii="Calibri" w:hAnsi="Calibri"/>
                <w:color w:val="172033"/>
                <w:sz w:val="18"/>
              </w:rPr>
              <w:t>Replay-safe purchase provisions once.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Resend + DNS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sending key/domain verification.</w:t>
            </w:r>
          </w:p>
        </w:tc>
        <w:tc>
          <w:tcPr>
            <w:tcW w:type="dxa" w:w="3000"/>
            <w:tcMar>
              <w:top w:w="80" w:type="dxa"/>
              <w:start w:w="120" w:type="dxa"/>
              <w:bottom w:w="80" w:type="dxa"/>
              <w:end w:w="120" w:type="dxa"/>
            </w:tcMar>
            <w:vAlign w:val="center"/>
          </w:tcPr>
          <w:p>
            <w:pPr>
              <w:spacing w:after="0"/>
            </w:pPr>
            <w:r>
              <w:rPr>
                <w:rFonts w:ascii="Calibri" w:hAnsi="Calibri"/>
                <w:color w:val="172033"/>
                <w:sz w:val="18"/>
              </w:rPr>
              <w:t>Verify godfin.dev and add the production key.</w:t>
            </w:r>
          </w:p>
        </w:tc>
        <w:tc>
          <w:tcPr>
            <w:tcW w:type="dxa" w:w="2760"/>
            <w:tcMar>
              <w:top w:w="80" w:type="dxa"/>
              <w:start w:w="120" w:type="dxa"/>
              <w:bottom w:w="80" w:type="dxa"/>
              <w:end w:w="120" w:type="dxa"/>
            </w:tcMar>
            <w:vAlign w:val="center"/>
          </w:tcPr>
          <w:p>
            <w:pPr>
              <w:spacing w:after="0"/>
            </w:pPr>
            <w:r>
              <w:rPr>
                <w:rFonts w:ascii="Calibri" w:hAnsi="Calibri"/>
                <w:color w:val="172033"/>
                <w:sz w:val="18"/>
              </w:rPr>
              <w:t>SPF, DKIM, DMARC and two inbox tests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Custom domain</w:t>
            </w:r>
          </w:p>
        </w:tc>
        <w:tc>
          <w:tcPr>
            <w:tcW w:type="dxa" w:w="2100"/>
            <w:tcMar>
              <w:top w:w="80" w:type="dxa"/>
              <w:start w:w="120" w:type="dxa"/>
              <w:bottom w:w="80" w:type="dxa"/>
              <w:end w:w="120" w:type="dxa"/>
            </w:tcMar>
            <w:vAlign w:val="center"/>
          </w:tcPr>
          <w:p>
            <w:pPr>
              <w:spacing w:after="0"/>
            </w:pPr>
            <w:r>
              <w:rPr>
                <w:rFonts w:ascii="Calibri" w:hAnsi="Calibri"/>
                <w:color w:val="172033"/>
                <w:sz w:val="18"/>
              </w:rPr>
              <w:t>No Vercel domain is attached.</w:t>
            </w:r>
          </w:p>
        </w:tc>
        <w:tc>
          <w:tcPr>
            <w:tcW w:type="dxa" w:w="3000"/>
            <w:tcMar>
              <w:top w:w="80" w:type="dxa"/>
              <w:start w:w="120" w:type="dxa"/>
              <w:bottom w:w="80" w:type="dxa"/>
              <w:end w:w="120" w:type="dxa"/>
            </w:tcMar>
            <w:vAlign w:val="center"/>
          </w:tcPr>
          <w:p>
            <w:pPr>
              <w:spacing w:after="0"/>
            </w:pPr>
            <w:r>
              <w:rPr>
                <w:rFonts w:ascii="Calibri" w:hAnsi="Calibri"/>
                <w:color w:val="172033"/>
                <w:sz w:val="18"/>
              </w:rPr>
              <w:t>Register/control godfin.dev and connect DNS.</w:t>
            </w:r>
          </w:p>
        </w:tc>
        <w:tc>
          <w:tcPr>
            <w:tcW w:type="dxa" w:w="2760"/>
            <w:tcMar>
              <w:top w:w="80" w:type="dxa"/>
              <w:start w:w="120" w:type="dxa"/>
              <w:bottom w:w="80" w:type="dxa"/>
              <w:end w:w="120" w:type="dxa"/>
            </w:tcMar>
            <w:vAlign w:val="center"/>
          </w:tcPr>
          <w:p>
            <w:pPr>
              <w:spacing w:after="0"/>
            </w:pPr>
            <w:r>
              <w:rPr>
                <w:rFonts w:ascii="Calibri" w:hAnsi="Calibri"/>
                <w:color w:val="172033"/>
                <w:sz w:val="18"/>
              </w:rPr>
              <w:t>HTTPS apex and redirect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Signing</w:t>
            </w:r>
          </w:p>
        </w:tc>
        <w:tc>
          <w:tcPr>
            <w:tcW w:type="dxa" w:w="2100"/>
            <w:tcMar>
              <w:top w:w="80" w:type="dxa"/>
              <w:start w:w="120" w:type="dxa"/>
              <w:bottom w:w="80" w:type="dxa"/>
              <w:end w:w="120" w:type="dxa"/>
            </w:tcMar>
            <w:vAlign w:val="center"/>
          </w:tcPr>
          <w:p>
            <w:pPr>
              <w:spacing w:after="0"/>
            </w:pPr>
            <w:r>
              <w:rPr>
                <w:rFonts w:ascii="Calibri" w:hAnsi="Calibri"/>
                <w:color w:val="172033"/>
                <w:sz w:val="18"/>
              </w:rPr>
              <w:t>No GitHub signing secrets are configured.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Apple and Windows signing enrollment.</w:t>
            </w:r>
          </w:p>
        </w:tc>
        <w:tc>
          <w:tcPr>
            <w:tcW w:type="dxa" w:w="2760"/>
            <w:tcMar>
              <w:top w:w="80" w:type="dxa"/>
              <w:start w:w="120" w:type="dxa"/>
              <w:bottom w:w="80" w:type="dxa"/>
              <w:end w:w="120" w:type="dxa"/>
            </w:tcMar>
            <w:vAlign w:val="center"/>
          </w:tcPr>
          <w:p>
            <w:pPr>
              <w:spacing w:after="0"/>
            </w:pPr>
            <w:r>
              <w:rPr>
                <w:rFonts w:ascii="Calibri" w:hAnsi="Calibri"/>
                <w:color w:val="172033"/>
                <w:sz w:val="18"/>
              </w:rPr>
              <w:t>Notarized/signed installers verify.</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R2 updates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release bucket or releases.godfin.dev.</w:t>
            </w:r>
          </w:p>
        </w:tc>
        <w:tc>
          <w:tcPr>
            <w:tcW w:type="dxa" w:w="3000"/>
            <w:tcMar>
              <w:top w:w="80" w:type="dxa"/>
              <w:start w:w="120" w:type="dxa"/>
              <w:bottom w:w="80" w:type="dxa"/>
              <w:end w:w="120" w:type="dxa"/>
            </w:tcMar>
            <w:vAlign w:val="center"/>
          </w:tcPr>
          <w:p>
            <w:pPr>
              <w:spacing w:after="0"/>
            </w:pPr>
            <w:r>
              <w:rPr>
                <w:rFonts w:ascii="Calibri" w:hAnsi="Calibri"/>
                <w:color w:val="172033"/>
                <w:sz w:val="18"/>
              </w:rPr>
              <w:t>Create R2, DNS, and least-privilege secrets.</w:t>
            </w:r>
          </w:p>
        </w:tc>
        <w:tc>
          <w:tcPr>
            <w:tcW w:type="dxa" w:w="2760"/>
            <w:tcMar>
              <w:top w:w="80" w:type="dxa"/>
              <w:start w:w="120" w:type="dxa"/>
              <w:bottom w:w="80" w:type="dxa"/>
              <w:end w:w="120" w:type="dxa"/>
            </w:tcMar>
            <w:vAlign w:val="center"/>
          </w:tcPr>
          <w:p>
            <w:pPr>
              <w:spacing w:after="0"/>
            </w:pPr>
            <w:r>
              <w:rPr>
                <w:rFonts w:ascii="Calibri" w:hAnsi="Calibri"/>
                <w:color w:val="172033"/>
                <w:sz w:val="18"/>
              </w:rPr>
              <w:t>Immutable assets and updater metadata resolve.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Clean systems</w:t>
            </w:r>
          </w:p>
        </w:tc>
        <w:tc>
          <w:tcPr>
            <w:tcW w:type="dxa" w:w="2100"/>
            <w:tcMar>
              <w:top w:w="80" w:type="dxa"/>
              <w:start w:w="120" w:type="dxa"/>
              <w:bottom w:w="80" w:type="dxa"/>
              <w:end w:w="120" w:type="dxa"/>
            </w:tcMar>
            <w:vAlign w:val="center"/>
          </w:tcPr>
          <w:p>
            <w:pPr>
              <w:spacing w:after="0"/>
            </w:pPr>
            <w:r>
              <w:rPr>
                <w:rFonts w:ascii="Calibri" w:hAnsi="Calibri"/>
                <w:color w:val="172033"/>
                <w:sz w:val="18"/>
              </w:rPr>
              <w:t>Only local macOS packaging is evidenced.</w:t>
            </w:r>
          </w:p>
        </w:tc>
        <w:tc>
          <w:tcPr>
            <w:tcW w:type="dxa" w:w="3000"/>
            <w:tcMar>
              <w:top w:w="80" w:type="dxa"/>
              <w:start w:w="120" w:type="dxa"/>
              <w:bottom w:w="80" w:type="dxa"/>
              <w:end w:w="120" w:type="dxa"/>
            </w:tcMar>
            <w:vAlign w:val="center"/>
          </w:tcPr>
          <w:p>
            <w:pPr>
              <w:spacing w:after="0"/>
            </w:pPr>
            <w:r>
              <w:rPr>
                <w:rFonts w:ascii="Calibri" w:hAnsi="Calibri"/>
                <w:color w:val="172033"/>
                <w:sz w:val="18"/>
              </w:rPr>
              <w:t>Provide clean supported VMs/hardware.</w:t>
            </w:r>
          </w:p>
        </w:tc>
        <w:tc>
          <w:tcPr>
            <w:tcW w:type="dxa" w:w="2760"/>
            <w:tcMar>
              <w:top w:w="80" w:type="dxa"/>
              <w:start w:w="120" w:type="dxa"/>
              <w:bottom w:w="80" w:type="dxa"/>
              <w:end w:w="120" w:type="dxa"/>
            </w:tcMar>
            <w:vAlign w:val="center"/>
          </w:tcPr>
          <w:p>
            <w:pPr>
              <w:spacing w:after="0"/>
            </w:pPr>
            <w:r>
              <w:rPr>
                <w:rFonts w:ascii="Calibri" w:hAnsi="Calibri"/>
                <w:color w:val="172033"/>
                <w:sz w:val="18"/>
              </w:rPr>
              <w:t>Install/upgrade/recovery matrix is signed.</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Reward pilot</w:t>
            </w:r>
          </w:p>
        </w:tc>
        <w:tc>
          <w:tcPr>
            <w:tcW w:type="dxa" w:w="2100"/>
            <w:tcMar>
              <w:top w:w="80" w:type="dxa"/>
              <w:start w:w="120" w:type="dxa"/>
              <w:bottom w:w="80" w:type="dxa"/>
              <w:end w:w="120" w:type="dxa"/>
            </w:tcMar>
            <w:vAlign w:val="center"/>
          </w:tcPr>
          <w:p>
            <w:pPr>
              <w:spacing w:after="0"/>
            </w:pPr>
            <w:r>
              <w:rPr>
                <w:rFonts w:ascii="Calibri" w:hAnsi="Calibri"/>
                <w:color w:val="172033"/>
                <w:sz w:val="18"/>
              </w:rPr>
              <w:t>No approved endpoint, privacy review, or funded payout operation.</w:t>
            </w:r>
          </w:p>
        </w:tc>
        <w:tc>
          <w:tcPr>
            <w:tcW w:type="dxa" w:w="3000"/>
            <w:tcMar>
              <w:top w:w="80" w:type="dxa"/>
              <w:start w:w="120" w:type="dxa"/>
              <w:bottom w:w="80" w:type="dxa"/>
              <w:end w:w="120" w:type="dxa"/>
            </w:tcMar>
            <w:vAlign w:val="center"/>
          </w:tcPr>
          <w:p>
            <w:pPr>
              <w:spacing w:after="0"/>
            </w:pPr>
            <w:r>
              <w:rPr>
                <w:rFonts w:ascii="Calibri" w:hAnsi="Calibri"/>
                <w:color w:val="172033"/>
                <w:sz w:val="18"/>
              </w:rPr>
              <w:t>Keep off or complete Section 10.</w:t>
            </w:r>
          </w:p>
        </w:tc>
        <w:tc>
          <w:tcPr>
            <w:tcW w:type="dxa" w:w="2760"/>
            <w:tcMar>
              <w:top w:w="80" w:type="dxa"/>
              <w:start w:w="120" w:type="dxa"/>
              <w:bottom w:w="80" w:type="dxa"/>
              <w:end w:w="120" w:type="dxa"/>
            </w:tcMar>
            <w:vAlign w:val="center"/>
          </w:tcPr>
          <w:p>
            <w:pPr>
              <w:spacing w:after="0"/>
            </w:pPr>
            <w:r>
              <w:rPr>
                <w:rFonts w:ascii="Calibri" w:hAnsi="Calibri"/>
                <w:color w:val="172033"/>
                <w:sz w:val="18"/>
              </w:rPr>
              <w:t>Redaction and payout audit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OpenDataLoader</w:t>
            </w:r>
          </w:p>
        </w:tc>
        <w:tc>
          <w:tcPr>
            <w:tcW w:type="dxa" w:w="2100"/>
            <w:tcMar>
              <w:top w:w="80" w:type="dxa"/>
              <w:start w:w="120" w:type="dxa"/>
              <w:bottom w:w="80" w:type="dxa"/>
              <w:end w:w="120" w:type="dxa"/>
            </w:tcMar>
            <w:vAlign w:val="center"/>
          </w:tcPr>
          <w:p>
            <w:pPr>
              <w:spacing w:after="0"/>
            </w:pPr>
            <w:r>
              <w:rPr>
                <w:rFonts w:ascii="Calibri" w:hAnsi="Calibri"/>
                <w:color w:val="172033"/>
                <w:sz w:val="18"/>
              </w:rPr>
              <w:t>No 200–500-file redacted benchmark corpus.</w:t>
            </w:r>
          </w:p>
        </w:tc>
        <w:tc>
          <w:tcPr>
            <w:tcW w:type="dxa" w:w="3000"/>
            <w:tcMar>
              <w:top w:w="80" w:type="dxa"/>
              <w:start w:w="120" w:type="dxa"/>
              <w:bottom w:w="80" w:type="dxa"/>
              <w:end w:w="120" w:type="dxa"/>
            </w:tcMar>
            <w:vAlign w:val="center"/>
          </w:tcPr>
          <w:p>
            <w:pPr>
              <w:spacing w:after="0"/>
            </w:pPr>
            <w:r>
              <w:rPr>
                <w:rFonts w:ascii="Calibri" w:hAnsi="Calibri"/>
                <w:color w:val="172033"/>
                <w:sz w:val="18"/>
              </w:rPr>
              <w:t>Source a lawful corpus or leave the feature off.</w:t>
            </w:r>
          </w:p>
        </w:tc>
        <w:tc>
          <w:tcPr>
            <w:tcW w:type="dxa" w:w="2760"/>
            <w:tcMar>
              <w:top w:w="80" w:type="dxa"/>
              <w:start w:w="120" w:type="dxa"/>
              <w:bottom w:w="80" w:type="dxa"/>
              <w:end w:w="120" w:type="dxa"/>
            </w:tcMar>
            <w:vAlign w:val="center"/>
          </w:tcPr>
          <w:p>
            <w:pPr>
              <w:spacing w:after="0"/>
            </w:pPr>
            <w:r>
              <w:rPr>
                <w:rFonts w:ascii="Calibri" w:hAnsi="Calibri"/>
                <w:color w:val="172033"/>
                <w:sz w:val="18"/>
              </w:rPr>
              <w:t>Accuracy decision is documented.</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Public launch</w:t>
            </w:r>
          </w:p>
        </w:tc>
        <w:tc>
          <w:tcPr>
            <w:tcW w:type="dxa" w:w="2100"/>
            <w:tcMar>
              <w:top w:w="80" w:type="dxa"/>
              <w:start w:w="120" w:type="dxa"/>
              <w:bottom w:w="80" w:type="dxa"/>
              <w:end w:w="120" w:type="dxa"/>
            </w:tcMar>
            <w:vAlign w:val="center"/>
          </w:tcPr>
          <w:p>
            <w:pPr>
              <w:spacing w:after="0"/>
            </w:pPr>
            <w:r>
              <w:rPr>
                <w:rFonts w:ascii="Calibri" w:hAnsi="Calibri"/>
                <w:color w:val="172033"/>
                <w:sz w:val="18"/>
              </w:rPr>
              <w:t>Owner authorization has not been issued.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final gate and sign Section 16.</w:t>
            </w:r>
          </w:p>
        </w:tc>
        <w:tc>
          <w:tcPr>
            <w:tcW w:type="dxa" w:w="2760"/>
            <w:tcMar>
              <w:top w:w="80" w:type="dxa"/>
              <w:start w:w="120" w:type="dxa"/>
              <w:bottom w:w="80" w:type="dxa"/>
              <w:end w:w="120" w:type="dxa"/>
            </w:tcMar>
            <w:vAlign w:val="center"/>
          </w:tcPr>
          <w:p>
            <w:pPr>
              <w:spacing w:after="0"/>
            </w:pPr>
            <w:r>
              <w:rPr>
                <w:rFonts w:ascii="Calibri" w:hAnsi="Calibri"/>
                <w:color w:val="172033"/>
                <w:sz w:val="18"/>
              </w:rPr>
              <w:t>Written authorization and release IDs.</w:t>
            </w:r>
          </w:p>
        </w:tc>
      </w:tr>
    </w:tbl>
    <w:p>
      <w:pPr>
        <w:spacing w:after="20"/>
      </w:pPr>
    </w:p>
    <w:p>
      <w:pPr>
        <w:pStyle w:val="Heading1"/>
      </w:pPr>
      <w:r>
        <w:t>1. Google OAuth through Supabase</w:t>
      </w:r>
    </w:p>
    <w:p>
      <w:pPr>
        <w:spacing w:before="100" w:after="160" w:line="288" w:lineRule="auto"/>
        <w:ind w:left="115" w:right="115"/>
        <w:shd w:fill="E8EEF5"/>
        <w:pBdr>
          <w:left w:val="single" w:sz="18" w:space="8" w:color="163A5F"/>
        </w:pBdr>
      </w:pPr>
      <w:r>
        <w:rPr>
          <w:rFonts w:ascii="Calibri" w:hAnsi="Calibri"/>
          <w:b/>
          <w:color w:val="163A5F"/>
          <w:sz w:val="21"/>
        </w:rPr>
        <w:t xml:space="preserve">BOUNDARY  </w:t>
      </w:r>
      <w:r>
        <w:rPr>
          <w:rFonts w:ascii="Calibri" w:hAnsi="Calibri"/>
          <w:color w:val="172033"/>
          <w:sz w:val="21"/>
        </w:rPr>
        <w:t>Google authentication is for website accounts and license management only. Do not request Gmail access here; the optional desktop Gmail integration is separate and local.</w:t>
      </w:r>
    </w:p>
    <w:p>
      <w:pPr>
        <w:pStyle w:val="Heading2"/>
      </w:pPr>
      <w:r>
        <w:t>1.1 Create the Google web client</w:t>
      </w:r>
    </w:p>
    <w:p>
      <w:pPr>
        <w:keepLines/>
        <w:numPr>
          <w:ilvl w:val="0"/>
          <w:numId w:val="10"/>
        </w:numPr>
      </w:pPr>
      <w:r>
        <w:t>Open Google Cloud Console in the business-owned project. Enable two-factor authentication for every administrator.</w:t>
      </w:r>
    </w:p>
    <w:p>
      <w:pPr>
        <w:keepLines/>
        <w:numPr>
          <w:ilvl w:val="0"/>
          <w:numId w:val="10"/>
        </w:numPr>
      </w:pPr>
      <w:r>
        <w:t>Configure the OAuth consent screen. Use the final seller name, support email, privacy URL, terms URL, and verified domain. Choose the appropriate external/testing status for the launch stage.</w:t>
      </w:r>
    </w:p>
    <w:p>
      <w:pPr>
        <w:keepLines/>
        <w:numPr>
          <w:ilvl w:val="0"/>
          <w:numId w:val="10"/>
        </w:numPr>
      </w:pPr>
      <w:r>
        <w:t>Request only openid, email, and profile through this website client. Do not add Gmail or finance scopes.</w:t>
      </w:r>
    </w:p>
    <w:p>
      <w:pPr>
        <w:keepLines/>
        <w:numPr>
          <w:ilvl w:val="0"/>
          <w:numId w:val="10"/>
        </w:numPr>
      </w:pPr>
      <w:r>
        <w:t>Create an OAuth 2.0 Client ID of type Web application.</w:t>
      </w:r>
    </w:p>
    <w:p>
      <w:pPr>
        <w:keepLines/>
        <w:numPr>
          <w:ilvl w:val="0"/>
          <w:numId w:val="10"/>
        </w:numPr>
      </w:pPr>
      <w:r>
        <w:t>Add authorized JavaScript origins: https://godfin.vercel.app now; add https://godfin.dev and https://www.godfin.dev after domain connection.</w:t>
      </w:r>
    </w:p>
    <w:p>
      <w:pPr>
        <w:keepLines/>
        <w:numPr>
          <w:ilvl w:val="0"/>
          <w:numId w:val="10"/>
        </w:numPr>
      </w:pPr>
      <w:r>
        <w:t>In Supabase Dashboard → Authentication → Providers → Google, copy the exact callback URL. For this project it follows https://omrtkfwjauyakhvynutk.supabase.co/auth/v1/callback. Add that exact value as the Google authorized redirect URI.</w:t>
      </w:r>
    </w:p>
    <w:p>
      <w:pPr>
        <w:keepLines/>
        <w:numPr>
          <w:ilvl w:val="0"/>
          <w:numId w:val="10"/>
        </w:numPr>
      </w:pPr>
      <w:r>
        <w:t>Copy the client ID and client secret directly from Google into the Supabase Google provider form. Do not download or commit a client-secret JSON file.</w:t>
      </w:r>
    </w:p>
    <w:p>
      <w:pPr>
        <w:pStyle w:val="Heading2"/>
      </w:pPr>
      <w:r>
        <w:t>1.2 Configure and test Supabase</w:t>
      </w:r>
    </w:p>
    <w:p>
      <w:pPr>
        <w:keepLines/>
        <w:numPr>
          <w:ilvl w:val="0"/>
          <w:numId w:val="10"/>
        </w:numPr>
      </w:pPr>
      <w:r>
        <w:t>In Supabase Authentication → URL Configuration, set Site URL to https://godfin.vercel.app until the custom domain is live.</w:t>
      </w:r>
    </w:p>
    <w:p>
      <w:pPr>
        <w:keepLines/>
        <w:numPr>
          <w:ilvl w:val="0"/>
          <w:numId w:val="10"/>
        </w:numPr>
      </w:pPr>
      <w:r>
        <w:t>Add https://godfin.vercel.app/auth/callback to the redirect allow-list. Later add https://godfin.dev/auth/callback and switch the Site URL to the custom domain.</w:t>
      </w:r>
    </w:p>
    <w:p>
      <w:pPr>
        <w:keepLines/>
        <w:numPr>
          <w:ilvl w:val="0"/>
          <w:numId w:val="10"/>
        </w:numPr>
      </w:pPr>
      <w:r>
        <w:t>Enable the Google provider and save.</w:t>
      </w:r>
    </w:p>
    <w:p>
      <w:pPr>
        <w:keepLines/>
        <w:numPr>
          <w:ilvl w:val="0"/>
          <w:numId w:val="10"/>
        </w:numPr>
      </w:pPr>
      <w:r>
        <w:t>Open https://godfin.vercel.app/account in a private browser window, choose Google, complete consent, and verify return to /account.</w:t>
      </w:r>
    </w:p>
    <w:p>
      <w:pPr>
        <w:keepLines/>
        <w:numPr>
          <w:ilvl w:val="0"/>
          <w:numId w:val="10"/>
        </w:numPr>
      </w:pPr>
      <w:r>
        <w:t>Sign out and repeat with a second test Google account. Confirm neither account can see the other account’s purchases, licenses, activations, or waitlist data.</w:t>
      </w:r>
    </w:p>
    <w:p>
      <w:pPr>
        <w:keepLines/>
        <w:numPr>
          <w:ilvl w:val="0"/>
          <w:numId w:val="10"/>
        </w:numPr>
      </w:pPr>
      <w:r>
        <w:t>Review Supabase Auth logs for redirect, consent, or email mismatch errors. Remove obsolete test clients when verification is complete.</w:t>
      </w:r>
    </w:p>
    <w:p>
      <w:pPr>
        <w:pStyle w:val="RunbookCaption"/>
      </w:pPr>
      <w:r>
        <w:t xml:space="preserve">Official reference: </w:t>
      </w:r>
      <w:hyperlink r:id="rId11">
        <w:r>
          <w:rPr>
            <w:color w:val="2E74B5"/>
            <w:u w:val="single"/>
          </w:rPr>
          <w:t>Supabase Google authentication guide</w:t>
        </w:r>
      </w:hyperlink>
    </w:p>
    <w:p>
      <w:pPr>
        <w:keepLines/>
        <w:numPr>
          <w:ilvl w:val="0"/>
          <w:numId w:val="12"/>
        </w:numPr>
      </w:pPr>
      <w:r>
        <w:t>Google login succeeds from a private window.</w:t>
      </w:r>
    </w:p>
    <w:p>
      <w:pPr>
        <w:keepLines/>
        <w:numPr>
          <w:ilvl w:val="0"/>
          <w:numId w:val="12"/>
        </w:numPr>
      </w:pPr>
      <w:r>
        <w:t>The account page shows the signed-in email and no other user’s data.</w:t>
      </w:r>
    </w:p>
    <w:p>
      <w:pPr>
        <w:keepLines/>
        <w:numPr>
          <w:ilvl w:val="0"/>
          <w:numId w:val="12"/>
        </w:numPr>
      </w:pPr>
      <w:r>
        <w:t>Only openid/email/profile consent appears.</w:t>
      </w:r>
    </w:p>
    <w:p>
      <w:pPr>
        <w:keepLines/>
        <w:numPr>
          <w:ilvl w:val="0"/>
          <w:numId w:val="12"/>
        </w:numPr>
      </w:pPr>
      <w:r>
        <w:t>The client secret exists only in Google/Supabase and the business vault.</w:t>
      </w:r>
    </w:p>
    <w:p>
      <w:pPr>
        <w:spacing w:after="80"/>
      </w:pPr>
      <w:r>
        <w:rPr>
          <w:b/>
        </w:rPr>
        <w:t xml:space="preserve">Google Cloud project ID: </w:t>
      </w:r>
      <w:r>
        <w:t>__________________________________________________________________________</w:t>
      </w:r>
    </w:p>
    <w:p>
      <w:pPr>
        <w:spacing w:after="80"/>
      </w:pPr>
      <w:r>
        <w:rPr>
          <w:b/>
        </w:rPr>
        <w:t xml:space="preserve">Test accounts used: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2. Stripe India: one-time payments only</w:t>
      </w:r>
    </w:p>
    <w:p>
      <w:pPr>
        <w:spacing w:before="100" w:after="160" w:line="288" w:lineRule="auto"/>
        <w:ind w:left="115" w:right="115"/>
        <w:shd w:fill="FDECEC"/>
        <w:pBdr>
          <w:left w:val="single" w:sz="18" w:space="8" w:color="9B1C1C"/>
        </w:pBdr>
      </w:pPr>
      <w:r>
        <w:rPr>
          <w:rFonts w:ascii="Calibri" w:hAnsi="Calibri"/>
          <w:b/>
          <w:color w:val="9B1C1C"/>
          <w:sz w:val="21"/>
        </w:rPr>
        <w:t xml:space="preserve">HARD RULE  </w:t>
      </w:r>
      <w:r>
        <w:rPr>
          <w:rFonts w:ascii="Calibri" w:hAnsi="Calibri"/>
          <w:color w:val="172033"/>
          <w:sz w:val="21"/>
        </w:rPr>
        <w:t>Create one-time prices and Checkout mode=payment only. Pro and Max include zero hosted AI credits. Credit packs are separate one-time purchases. Never create a subscription, trial, recurring price, or monthly allowance.</w:t>
      </w:r>
    </w:p>
    <w:p>
      <w:pPr>
        <w:pStyle w:val="Heading2"/>
      </w:pPr>
      <w:r>
        <w:t>2.1 Complete the business account</w:t>
      </w:r>
    </w:p>
    <w:p>
      <w:pPr>
        <w:keepLines/>
        <w:numPr>
          <w:ilvl w:val="0"/>
          <w:numId w:val="10"/>
        </w:numPr>
      </w:pPr>
      <w:r>
        <w:t>Use a Stripe account owned by the legal seller. Complete India activation, KYC, bank verification, statement descriptor, customer support details, tax settings, and two-factor authentication.</w:t>
      </w:r>
    </w:p>
    <w:p>
      <w:pPr>
        <w:keepLines/>
        <w:numPr>
          <w:ilvl w:val="0"/>
          <w:numId w:val="10"/>
        </w:numPr>
      </w:pPr>
      <w:r>
        <w:t>Invite a backup administrator with the minimum role needed. Do not share one login.</w:t>
      </w:r>
    </w:p>
    <w:p>
      <w:pPr>
        <w:keepLines/>
        <w:numPr>
          <w:ilvl w:val="0"/>
          <w:numId w:val="10"/>
        </w:numPr>
      </w:pPr>
      <w:r>
        <w:t>Confirm with Stripe and your tax adviser that the account may sell one-time software licenses domestically and internationally, and how GST/invoices/refunds must be handled.</w:t>
      </w:r>
    </w:p>
    <w:p>
      <w:pPr>
        <w:keepLines/>
        <w:numPr>
          <w:ilvl w:val="0"/>
          <w:numId w:val="10"/>
        </w:numPr>
      </w:pPr>
      <w:r>
        <w:t>Enable Radar’s supported payment-fraud controls. Do not build hardware serial, persistent IP fingerprint, or payment-method fingerprint storage in GODFIN.</w:t>
      </w:r>
    </w:p>
    <w:p>
      <w:pPr>
        <w:pStyle w:val="Heading2"/>
      </w:pPr>
      <w:r>
        <w:t>2.2 Create test products and prices</w:t>
      </w:r>
    </w:p>
    <w:tbl>
      <w:tblPr>
        <w:tblStyle w:val="TableGrid"/>
        <w:tblW w:type="dxa" w:w="9360"/>
        <w:tblLayout w:type="fixed"/>
        <w:tblLook w:firstColumn="1" w:firstRow="1" w:lastColumn="0" w:lastRow="0" w:noHBand="0" w:noVBand="1" w:val="04A0"/>
        <w:tblInd w:w="120" w:type="dxa"/>
      </w:tblPr>
      <w:tblGrid>
        <w:gridCol w:w="2600"/>
        <w:gridCol w:w="3100"/>
        <w:gridCol w:w="1100"/>
        <w:gridCol w:w="2560"/>
      </w:tblGrid>
      <w:tr>
        <w:trPr>
          <w:tblHeader w:val="true"/>
        </w:trPr>
        <w:tc>
          <w:tcPr>
            <w:tcW w:type="dxa" w:w="2600"/>
            <w:shd w:fill="E8EEF5"/>
            <w:tcMar>
              <w:top w:w="80" w:type="dxa"/>
              <w:start w:w="120" w:type="dxa"/>
              <w:bottom w:w="80" w:type="dxa"/>
              <w:end w:w="120" w:type="dxa"/>
            </w:tcMar>
            <w:vAlign w:val="center"/>
          </w:tcPr>
          <w:p>
            <w:pPr>
              <w:spacing w:after="0"/>
            </w:pPr>
            <w:r>
              <w:rPr>
                <w:rFonts w:ascii="Calibri" w:hAnsi="Calibri"/>
                <w:b/>
                <w:color w:val="163A5F"/>
                <w:sz w:val="19"/>
              </w:rPr>
              <w:t>Environment variable</w:t>
            </w:r>
          </w:p>
        </w:tc>
        <w:tc>
          <w:tcPr>
            <w:tcW w:type="dxa" w:w="3100"/>
            <w:shd w:fill="E8EEF5"/>
            <w:tcMar>
              <w:top w:w="80" w:type="dxa"/>
              <w:start w:w="120" w:type="dxa"/>
              <w:bottom w:w="80" w:type="dxa"/>
              <w:end w:w="120" w:type="dxa"/>
            </w:tcMar>
            <w:vAlign w:val="center"/>
          </w:tcPr>
          <w:p>
            <w:pPr>
              <w:spacing w:after="0"/>
            </w:pPr>
            <w:r>
              <w:rPr>
                <w:rFonts w:ascii="Calibri" w:hAnsi="Calibri"/>
                <w:b/>
                <w:color w:val="163A5F"/>
                <w:sz w:val="19"/>
              </w:rPr>
              <w:t>Product</w:t>
            </w:r>
          </w:p>
        </w:tc>
        <w:tc>
          <w:tcPr>
            <w:tcW w:type="dxa" w:w="1100"/>
            <w:shd w:fill="E8EEF5"/>
            <w:tcMar>
              <w:top w:w="80" w:type="dxa"/>
              <w:start w:w="120" w:type="dxa"/>
              <w:bottom w:w="80" w:type="dxa"/>
              <w:end w:w="120" w:type="dxa"/>
            </w:tcMar>
            <w:vAlign w:val="center"/>
          </w:tcPr>
          <w:p>
            <w:pPr>
              <w:spacing w:after="0"/>
            </w:pPr>
            <w:r>
              <w:rPr>
                <w:rFonts w:ascii="Calibri" w:hAnsi="Calibri"/>
                <w:b/>
                <w:color w:val="163A5F"/>
                <w:sz w:val="19"/>
              </w:rPr>
              <w:t>Currency</w:t>
            </w:r>
          </w:p>
        </w:tc>
        <w:tc>
          <w:tcPr>
            <w:tcW w:type="dxa" w:w="2560"/>
            <w:shd w:fill="E8EEF5"/>
            <w:tcMar>
              <w:top w:w="80" w:type="dxa"/>
              <w:start w:w="120" w:type="dxa"/>
              <w:bottom w:w="80" w:type="dxa"/>
              <w:end w:w="120" w:type="dxa"/>
            </w:tcMar>
            <w:vAlign w:val="center"/>
          </w:tcPr>
          <w:p>
            <w:pPr>
              <w:spacing w:after="0"/>
            </w:pPr>
            <w:r>
              <w:rPr>
                <w:rFonts w:ascii="Calibri" w:hAnsi="Calibri"/>
                <w:b/>
                <w:color w:val="163A5F"/>
                <w:sz w:val="19"/>
              </w:rPr>
              <w:t>Exact one-time amount</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STRIPE_PRICE_PRO</w:t>
            </w:r>
          </w:p>
        </w:tc>
        <w:tc>
          <w:tcPr>
            <w:tcW w:type="dxa" w:w="3100"/>
            <w:tcMar>
              <w:top w:w="80" w:type="dxa"/>
              <w:start w:w="120" w:type="dxa"/>
              <w:bottom w:w="80" w:type="dxa"/>
              <w:end w:w="120" w:type="dxa"/>
            </w:tcMar>
            <w:vAlign w:val="center"/>
          </w:tcPr>
          <w:p>
            <w:pPr>
              <w:spacing w:after="0"/>
            </w:pPr>
            <w:r>
              <w:rPr>
                <w:rFonts w:ascii="Calibri" w:hAnsi="Calibri"/>
                <w:color w:val="172033"/>
                <w:sz w:val="18"/>
              </w:rPr>
              <w:t>GODFIN Pro lifetime</w:t>
            </w:r>
          </w:p>
        </w:tc>
        <w:tc>
          <w:tcPr>
            <w:tcW w:type="dxa" w:w="1100"/>
            <w:tcMar>
              <w:top w:w="80" w:type="dxa"/>
              <w:start w:w="120" w:type="dxa"/>
              <w:bottom w:w="80" w:type="dxa"/>
              <w:end w:w="120" w:type="dxa"/>
            </w:tcMar>
            <w:vAlign w:val="center"/>
          </w:tcPr>
          <w:p>
            <w:pPr>
              <w:spacing w:after="0"/>
            </w:pPr>
            <w:r>
              <w:rPr>
                <w:rFonts w:ascii="Calibri" w:hAnsi="Calibri"/>
                <w:color w:val="172033"/>
                <w:sz w:val="18"/>
              </w:rPr>
              <w:t>INR</w:t>
            </w:r>
          </w:p>
        </w:tc>
        <w:tc>
          <w:tcPr>
            <w:tcW w:type="dxa" w:w="2560"/>
            <w:tcMar>
              <w:top w:w="80" w:type="dxa"/>
              <w:start w:w="120" w:type="dxa"/>
              <w:bottom w:w="80" w:type="dxa"/>
              <w:end w:w="120" w:type="dxa"/>
            </w:tcMar>
            <w:vAlign w:val="center"/>
          </w:tcPr>
          <w:p>
            <w:pPr>
              <w:spacing w:after="0"/>
            </w:pPr>
            <w:r>
              <w:rPr>
                <w:rFonts w:ascii="Calibri" w:hAnsi="Calibri"/>
                <w:color w:val="172033"/>
                <w:sz w:val="18"/>
              </w:rPr>
              <w:t>₹4,999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STRIPE_PRICE_MAX</w:t>
            </w:r>
          </w:p>
        </w:tc>
        <w:tc>
          <w:tcPr>
            <w:tcW w:type="dxa" w:w="3100"/>
            <w:tcMar>
              <w:top w:w="80" w:type="dxa"/>
              <w:start w:w="120" w:type="dxa"/>
              <w:bottom w:w="80" w:type="dxa"/>
              <w:end w:w="120" w:type="dxa"/>
            </w:tcMar>
            <w:vAlign w:val="center"/>
          </w:tcPr>
          <w:p>
            <w:pPr>
              <w:spacing w:after="0"/>
            </w:pPr>
            <w:r>
              <w:rPr>
                <w:rFonts w:ascii="Calibri" w:hAnsi="Calibri"/>
                <w:color w:val="172033"/>
                <w:sz w:val="18"/>
              </w:rPr>
              <w:t>GODFIN Max lifetime</w:t>
            </w:r>
          </w:p>
        </w:tc>
        <w:tc>
          <w:tcPr>
            <w:tcW w:type="dxa" w:w="1100"/>
            <w:tcMar>
              <w:top w:w="80" w:type="dxa"/>
              <w:start w:w="120" w:type="dxa"/>
              <w:bottom w:w="80" w:type="dxa"/>
              <w:end w:w="120" w:type="dxa"/>
            </w:tcMar>
            <w:vAlign w:val="center"/>
          </w:tcPr>
          <w:p>
            <w:pPr>
              <w:spacing w:after="0"/>
            </w:pPr>
            <w:r>
              <w:rPr>
                <w:rFonts w:ascii="Calibri" w:hAnsi="Calibri"/>
                <w:color w:val="172033"/>
                <w:sz w:val="18"/>
              </w:rPr>
              <w:t>INR</w:t>
            </w:r>
          </w:p>
        </w:tc>
        <w:tc>
          <w:tcPr>
            <w:tcW w:type="dxa" w:w="2560"/>
            <w:tcMar>
              <w:top w:w="80" w:type="dxa"/>
              <w:start w:w="120" w:type="dxa"/>
              <w:bottom w:w="80" w:type="dxa"/>
              <w:end w:w="120" w:type="dxa"/>
            </w:tcMar>
            <w:vAlign w:val="center"/>
          </w:tcPr>
          <w:p>
            <w:pPr>
              <w:spacing w:after="0"/>
            </w:pPr>
            <w:r>
              <w:rPr>
                <w:rFonts w:ascii="Calibri" w:hAnsi="Calibri"/>
                <w:color w:val="172033"/>
                <w:sz w:val="18"/>
              </w:rPr>
              <w:t>₹9,999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STRIPE_PRICE_PRO_US</w:t>
            </w:r>
          </w:p>
        </w:tc>
        <w:tc>
          <w:tcPr>
            <w:tcW w:type="dxa" w:w="3100"/>
            <w:tcMar>
              <w:top w:w="80" w:type="dxa"/>
              <w:start w:w="120" w:type="dxa"/>
              <w:bottom w:w="80" w:type="dxa"/>
              <w:end w:w="120" w:type="dxa"/>
            </w:tcMar>
            <w:vAlign w:val="center"/>
          </w:tcPr>
          <w:p>
            <w:pPr>
              <w:spacing w:after="0"/>
            </w:pPr>
            <w:r>
              <w:rPr>
                <w:rFonts w:ascii="Calibri" w:hAnsi="Calibri"/>
                <w:color w:val="172033"/>
                <w:sz w:val="18"/>
              </w:rPr>
              <w:t>GODFIN Pro lifetime</w:t>
            </w:r>
          </w:p>
        </w:tc>
        <w:tc>
          <w:tcPr>
            <w:tcW w:type="dxa" w:w="1100"/>
            <w:tcMar>
              <w:top w:w="80" w:type="dxa"/>
              <w:start w:w="120" w:type="dxa"/>
              <w:bottom w:w="80" w:type="dxa"/>
              <w:end w:w="120" w:type="dxa"/>
            </w:tcMar>
            <w:vAlign w:val="center"/>
          </w:tcPr>
          <w:p>
            <w:pPr>
              <w:spacing w:after="0"/>
            </w:pPr>
            <w:r>
              <w:rPr>
                <w:rFonts w:ascii="Calibri" w:hAnsi="Calibri"/>
                <w:color w:val="172033"/>
                <w:sz w:val="18"/>
              </w:rPr>
              <w:t>USD</w:t>
            </w:r>
          </w:p>
        </w:tc>
        <w:tc>
          <w:tcPr>
            <w:tcW w:type="dxa" w:w="2560"/>
            <w:tcMar>
              <w:top w:w="80" w:type="dxa"/>
              <w:start w:w="120" w:type="dxa"/>
              <w:bottom w:w="80" w:type="dxa"/>
              <w:end w:w="120" w:type="dxa"/>
            </w:tcMar>
            <w:vAlign w:val="center"/>
          </w:tcPr>
          <w:p>
            <w:pPr>
              <w:spacing w:after="0"/>
            </w:pPr>
            <w:r>
              <w:rPr>
                <w:rFonts w:ascii="Calibri" w:hAnsi="Calibri"/>
                <w:color w:val="172033"/>
                <w:sz w:val="18"/>
              </w:rPr>
              <w:t>$99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STRIPE_PRICE_MAX_US</w:t>
            </w:r>
          </w:p>
        </w:tc>
        <w:tc>
          <w:tcPr>
            <w:tcW w:type="dxa" w:w="3100"/>
            <w:tcMar>
              <w:top w:w="80" w:type="dxa"/>
              <w:start w:w="120" w:type="dxa"/>
              <w:bottom w:w="80" w:type="dxa"/>
              <w:end w:w="120" w:type="dxa"/>
            </w:tcMar>
            <w:vAlign w:val="center"/>
          </w:tcPr>
          <w:p>
            <w:pPr>
              <w:spacing w:after="0"/>
            </w:pPr>
            <w:r>
              <w:rPr>
                <w:rFonts w:ascii="Calibri" w:hAnsi="Calibri"/>
                <w:color w:val="172033"/>
                <w:sz w:val="18"/>
              </w:rPr>
              <w:t>GODFIN Max lifetime</w:t>
            </w:r>
          </w:p>
        </w:tc>
        <w:tc>
          <w:tcPr>
            <w:tcW w:type="dxa" w:w="1100"/>
            <w:tcMar>
              <w:top w:w="80" w:type="dxa"/>
              <w:start w:w="120" w:type="dxa"/>
              <w:bottom w:w="80" w:type="dxa"/>
              <w:end w:w="120" w:type="dxa"/>
            </w:tcMar>
            <w:vAlign w:val="center"/>
          </w:tcPr>
          <w:p>
            <w:pPr>
              <w:spacing w:after="0"/>
            </w:pPr>
            <w:r>
              <w:rPr>
                <w:rFonts w:ascii="Calibri" w:hAnsi="Calibri"/>
                <w:color w:val="172033"/>
                <w:sz w:val="18"/>
              </w:rPr>
              <w:t>USD</w:t>
            </w:r>
          </w:p>
        </w:tc>
        <w:tc>
          <w:tcPr>
            <w:tcW w:type="dxa" w:w="2560"/>
            <w:tcMar>
              <w:top w:w="80" w:type="dxa"/>
              <w:start w:w="120" w:type="dxa"/>
              <w:bottom w:w="80" w:type="dxa"/>
              <w:end w:w="120" w:type="dxa"/>
            </w:tcMar>
            <w:vAlign w:val="center"/>
          </w:tcPr>
          <w:p>
            <w:pPr>
              <w:spacing w:after="0"/>
            </w:pPr>
            <w:r>
              <w:rPr>
                <w:rFonts w:ascii="Calibri" w:hAnsi="Calibri"/>
                <w:color w:val="172033"/>
                <w:sz w:val="18"/>
              </w:rPr>
              <w:t>$199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STRIPE_PRICE_CREDITS_STARTER</w:t>
            </w:r>
          </w:p>
        </w:tc>
        <w:tc>
          <w:tcPr>
            <w:tcW w:type="dxa" w:w="3100"/>
            <w:tcMar>
              <w:top w:w="80" w:type="dxa"/>
              <w:start w:w="120" w:type="dxa"/>
              <w:bottom w:w="80" w:type="dxa"/>
              <w:end w:w="120" w:type="dxa"/>
            </w:tcMar>
            <w:vAlign w:val="center"/>
          </w:tcPr>
          <w:p>
            <w:pPr>
              <w:spacing w:after="0"/>
            </w:pPr>
            <w:r>
              <w:rPr>
                <w:rFonts w:ascii="Calibri" w:hAnsi="Calibri"/>
                <w:color w:val="172033"/>
                <w:sz w:val="18"/>
              </w:rPr>
              <w:t>500 hosted credits</w:t>
            </w:r>
          </w:p>
        </w:tc>
        <w:tc>
          <w:tcPr>
            <w:tcW w:type="dxa" w:w="1100"/>
            <w:tcMar>
              <w:top w:w="80" w:type="dxa"/>
              <w:start w:w="120" w:type="dxa"/>
              <w:bottom w:w="80" w:type="dxa"/>
              <w:end w:w="120" w:type="dxa"/>
            </w:tcMar>
            <w:vAlign w:val="center"/>
          </w:tcPr>
          <w:p>
            <w:pPr>
              <w:spacing w:after="0"/>
            </w:pPr>
            <w:r>
              <w:rPr>
                <w:rFonts w:ascii="Calibri" w:hAnsi="Calibri"/>
                <w:color w:val="172033"/>
                <w:sz w:val="18"/>
              </w:rPr>
              <w:t>INR</w:t>
            </w:r>
          </w:p>
        </w:tc>
        <w:tc>
          <w:tcPr>
            <w:tcW w:type="dxa" w:w="2560"/>
            <w:tcMar>
              <w:top w:w="80" w:type="dxa"/>
              <w:start w:w="120" w:type="dxa"/>
              <w:bottom w:w="80" w:type="dxa"/>
              <w:end w:w="120" w:type="dxa"/>
            </w:tcMar>
            <w:vAlign w:val="center"/>
          </w:tcPr>
          <w:p>
            <w:pPr>
              <w:spacing w:after="0"/>
            </w:pPr>
            <w:r>
              <w:rPr>
                <w:rFonts w:ascii="Calibri" w:hAnsi="Calibri"/>
                <w:color w:val="172033"/>
                <w:sz w:val="18"/>
              </w:rPr>
              <w:t>₹249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STRIPE_PRICE_CREDITS_REGULAR</w:t>
            </w:r>
          </w:p>
        </w:tc>
        <w:tc>
          <w:tcPr>
            <w:tcW w:type="dxa" w:w="3100"/>
            <w:tcMar>
              <w:top w:w="80" w:type="dxa"/>
              <w:start w:w="120" w:type="dxa"/>
              <w:bottom w:w="80" w:type="dxa"/>
              <w:end w:w="120" w:type="dxa"/>
            </w:tcMar>
            <w:vAlign w:val="center"/>
          </w:tcPr>
          <w:p>
            <w:pPr>
              <w:spacing w:after="0"/>
            </w:pPr>
            <w:r>
              <w:rPr>
                <w:rFonts w:ascii="Calibri" w:hAnsi="Calibri"/>
                <w:color w:val="172033"/>
                <w:sz w:val="18"/>
              </w:rPr>
              <w:t>1,200 hosted credits</w:t>
            </w:r>
          </w:p>
        </w:tc>
        <w:tc>
          <w:tcPr>
            <w:tcW w:type="dxa" w:w="1100"/>
            <w:tcMar>
              <w:top w:w="80" w:type="dxa"/>
              <w:start w:w="120" w:type="dxa"/>
              <w:bottom w:w="80" w:type="dxa"/>
              <w:end w:w="120" w:type="dxa"/>
            </w:tcMar>
            <w:vAlign w:val="center"/>
          </w:tcPr>
          <w:p>
            <w:pPr>
              <w:spacing w:after="0"/>
            </w:pPr>
            <w:r>
              <w:rPr>
                <w:rFonts w:ascii="Calibri" w:hAnsi="Calibri"/>
                <w:color w:val="172033"/>
                <w:sz w:val="18"/>
              </w:rPr>
              <w:t>INR</w:t>
            </w:r>
          </w:p>
        </w:tc>
        <w:tc>
          <w:tcPr>
            <w:tcW w:type="dxa" w:w="2560"/>
            <w:tcMar>
              <w:top w:w="80" w:type="dxa"/>
              <w:start w:w="120" w:type="dxa"/>
              <w:bottom w:w="80" w:type="dxa"/>
              <w:end w:w="120" w:type="dxa"/>
            </w:tcMar>
            <w:vAlign w:val="center"/>
          </w:tcPr>
          <w:p>
            <w:pPr>
              <w:spacing w:after="0"/>
            </w:pPr>
            <w:r>
              <w:rPr>
                <w:rFonts w:ascii="Calibri" w:hAnsi="Calibri"/>
                <w:color w:val="172033"/>
                <w:sz w:val="18"/>
              </w:rPr>
              <w:t>₹499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STRIPE_PRICE_CREDITS_POWER</w:t>
            </w:r>
          </w:p>
        </w:tc>
        <w:tc>
          <w:tcPr>
            <w:tcW w:type="dxa" w:w="3100"/>
            <w:tcMar>
              <w:top w:w="80" w:type="dxa"/>
              <w:start w:w="120" w:type="dxa"/>
              <w:bottom w:w="80" w:type="dxa"/>
              <w:end w:w="120" w:type="dxa"/>
            </w:tcMar>
            <w:vAlign w:val="center"/>
          </w:tcPr>
          <w:p>
            <w:pPr>
              <w:spacing w:after="0"/>
            </w:pPr>
            <w:r>
              <w:rPr>
                <w:rFonts w:ascii="Calibri" w:hAnsi="Calibri"/>
                <w:color w:val="172033"/>
                <w:sz w:val="18"/>
              </w:rPr>
              <w:t>3,000 hosted credits</w:t>
            </w:r>
          </w:p>
        </w:tc>
        <w:tc>
          <w:tcPr>
            <w:tcW w:type="dxa" w:w="1100"/>
            <w:tcMar>
              <w:top w:w="80" w:type="dxa"/>
              <w:start w:w="120" w:type="dxa"/>
              <w:bottom w:w="80" w:type="dxa"/>
              <w:end w:w="120" w:type="dxa"/>
            </w:tcMar>
            <w:vAlign w:val="center"/>
          </w:tcPr>
          <w:p>
            <w:pPr>
              <w:spacing w:after="0"/>
            </w:pPr>
            <w:r>
              <w:rPr>
                <w:rFonts w:ascii="Calibri" w:hAnsi="Calibri"/>
                <w:color w:val="172033"/>
                <w:sz w:val="18"/>
              </w:rPr>
              <w:t>INR</w:t>
            </w:r>
          </w:p>
        </w:tc>
        <w:tc>
          <w:tcPr>
            <w:tcW w:type="dxa" w:w="2560"/>
            <w:tcMar>
              <w:top w:w="80" w:type="dxa"/>
              <w:start w:w="120" w:type="dxa"/>
              <w:bottom w:w="80" w:type="dxa"/>
              <w:end w:w="120" w:type="dxa"/>
            </w:tcMar>
            <w:vAlign w:val="center"/>
          </w:tcPr>
          <w:p>
            <w:pPr>
              <w:spacing w:after="0"/>
            </w:pPr>
            <w:r>
              <w:rPr>
                <w:rFonts w:ascii="Calibri" w:hAnsi="Calibri"/>
                <w:color w:val="172033"/>
                <w:sz w:val="18"/>
              </w:rPr>
              <w:t>₹999</w:t>
            </w:r>
          </w:p>
        </w:tc>
      </w:tr>
    </w:tbl>
    <w:p>
      <w:pPr>
        <w:spacing w:after="20"/>
      </w:pPr>
    </w:p>
    <w:p>
      <w:pPr>
        <w:keepLines/>
        <w:numPr>
          <w:ilvl w:val="0"/>
          <w:numId w:val="10"/>
        </w:numPr>
      </w:pPr>
      <w:r>
        <w:t>Create every Price as one-time. Keep Test and Live Price IDs separate.</w:t>
      </w:r>
    </w:p>
    <w:p>
      <w:pPr>
        <w:keepLines/>
        <w:numPr>
          <w:ilvl w:val="0"/>
          <w:numId w:val="10"/>
        </w:numPr>
      </w:pPr>
      <w:r>
        <w:t>Add test Price IDs to Vercel Preview first. Add live Price IDs to Production only after all test-mode acceptance checks pass.</w:t>
      </w:r>
    </w:p>
    <w:p>
      <w:pPr>
        <w:keepLines/>
        <w:numPr>
          <w:ilvl w:val="0"/>
          <w:numId w:val="10"/>
        </w:numPr>
      </w:pPr>
      <w:r>
        <w:t>Leave PPP_CHECKOUT_ENABLED=false until US test checkout and country selection are verified. India remains the safe default.</w:t>
      </w:r>
    </w:p>
    <w:p>
      <w:pPr>
        <w:keepLines/>
        <w:numPr>
          <w:ilvl w:val="0"/>
          <w:numId w:val="10"/>
        </w:numPr>
      </w:pPr>
      <w:r>
        <w:t>For each new country, use a manual Stripe Price table based on the approved World Bank ICP price-level adjustment, clamped to 0.55–1.25 of the US anchor. Record the source year and approval; recalculate annually.</w:t>
      </w:r>
    </w:p>
    <w:p>
      <w:pPr>
        <w:keepLines/>
        <w:numPr>
          <w:ilvl w:val="0"/>
          <w:numId w:val="10"/>
        </w:numPr>
      </w:pPr>
      <w:r>
        <w:t>Do not let browser-supplied amounts reach Stripe. GODFIN already selects product, country, price ID, and expected amount server-side.</w:t>
      </w:r>
    </w:p>
    <w:p>
      <w:pPr>
        <w:pStyle w:val="Heading2"/>
      </w:pPr>
      <w:r>
        <w:t>2.3 Configure the webhook</w:t>
      </w:r>
    </w:p>
    <w:p>
      <w:pPr>
        <w:keepLines/>
        <w:numPr>
          <w:ilvl w:val="0"/>
          <w:numId w:val="10"/>
        </w:numPr>
      </w:pPr>
      <w:r>
        <w:t>Create a Test webhook endpoint at https://godfin.vercel.app/api/webhook.</w:t>
      </w:r>
    </w:p>
    <w:p>
      <w:pPr>
        <w:keepLines/>
        <w:numPr>
          <w:ilvl w:val="0"/>
          <w:numId w:val="10"/>
        </w:numPr>
      </w:pPr>
      <w:r>
        <w:t>Subscribe only to checkout.session.completed and checkout.session.async_payment_succeeded.</w:t>
      </w:r>
    </w:p>
    <w:p>
      <w:pPr>
        <w:keepLines/>
        <w:numPr>
          <w:ilvl w:val="0"/>
          <w:numId w:val="10"/>
        </w:numPr>
      </w:pPr>
      <w:r>
        <w:t>Copy the webhook signing secret directly into STRIPE_WEBHOOK_SECRET in Vercel Preview. Repeat with the live endpoint and Production secret after the custom domain is final.</w:t>
      </w:r>
    </w:p>
    <w:p>
      <w:pPr>
        <w:keepLines/>
        <w:numPr>
          <w:ilvl w:val="0"/>
          <w:numId w:val="10"/>
        </w:numPr>
      </w:pPr>
      <w:r>
        <w:t>Set STRIPE_SECRET_KEY and all matching Price variables in the same Vercel environment. Redeploy after changes.</w:t>
      </w:r>
    </w:p>
    <w:p>
      <w:pPr>
        <w:keepLines/>
        <w:numPr>
          <w:ilvl w:val="0"/>
          <w:numId w:val="10"/>
        </w:numPr>
      </w:pPr>
      <w:r>
        <w:t>Use Stripe CLI or Dashboard replay to send the same paid event twice. Verify one purchase, one license, one credit grant if applicable, and one license email.</w:t>
      </w:r>
    </w:p>
    <w:p>
      <w:pPr>
        <w:pStyle w:val="Heading2"/>
      </w:pPr>
      <w:r>
        <w:t>2.4 Payment acceptance evidence</w:t>
      </w:r>
    </w:p>
    <w:p>
      <w:pPr>
        <w:keepLines/>
        <w:numPr>
          <w:ilvl w:val="0"/>
          <w:numId w:val="12"/>
        </w:numPr>
      </w:pPr>
      <w:r>
        <w:t>Unauthenticated checkout returns a sign-in requirement.</w:t>
      </w:r>
    </w:p>
    <w:p>
      <w:pPr>
        <w:keepLines/>
        <w:numPr>
          <w:ilvl w:val="0"/>
          <w:numId w:val="12"/>
        </w:numPr>
      </w:pPr>
      <w:r>
        <w:t>Successful Pro and Max test payments provision exactly one lifetime license each.</w:t>
      </w:r>
    </w:p>
    <w:p>
      <w:pPr>
        <w:keepLines/>
        <w:numPr>
          <w:ilvl w:val="0"/>
          <w:numId w:val="12"/>
        </w:numPr>
      </w:pPr>
      <w:r>
        <w:t>Invalid webhook signatures return HTTP 400 and create nothing.</w:t>
      </w:r>
    </w:p>
    <w:p>
      <w:pPr>
        <w:keepLines/>
        <w:numPr>
          <w:ilvl w:val="0"/>
          <w:numId w:val="12"/>
        </w:numPr>
      </w:pPr>
      <w:r>
        <w:t>Cancelled or unpaid sessions create nothing.</w:t>
      </w:r>
    </w:p>
    <w:p>
      <w:pPr>
        <w:keepLines/>
        <w:numPr>
          <w:ilvl w:val="0"/>
          <w:numId w:val="12"/>
        </w:numPr>
      </w:pPr>
      <w:r>
        <w:t>Async payment success provisions exactly once.</w:t>
      </w:r>
    </w:p>
    <w:p>
      <w:pPr>
        <w:keepLines/>
        <w:numPr>
          <w:ilvl w:val="0"/>
          <w:numId w:val="12"/>
        </w:numPr>
      </w:pPr>
      <w:r>
        <w:t>Credit-pack replay does not duplicate the balance.</w:t>
      </w:r>
    </w:p>
    <w:p>
      <w:pPr>
        <w:keepLines/>
        <w:numPr>
          <w:ilvl w:val="0"/>
          <w:numId w:val="12"/>
        </w:numPr>
      </w:pPr>
      <w:r>
        <w:t>The desktop fourth activation is rejected; deactivating one device allows another.</w:t>
      </w:r>
    </w:p>
    <w:p>
      <w:pPr>
        <w:keepLines/>
        <w:numPr>
          <w:ilvl w:val="0"/>
          <w:numId w:val="12"/>
        </w:numPr>
      </w:pPr>
      <w:r>
        <w:t>A controlled live purchase is completed only after legal, tax, email, and refund procedures are ready.</w:t>
      </w:r>
    </w:p>
    <w:p>
      <w:pPr>
        <w:pStyle w:val="RunbookCaption"/>
      </w:pPr>
      <w:r>
        <w:t xml:space="preserve">Official reference: </w:t>
      </w:r>
      <w:hyperlink r:id="rId12">
        <w:r>
          <w:rPr>
            <w:color w:val="2E74B5"/>
            <w:u w:val="single"/>
          </w:rPr>
          <w:t>Stripe India documentation</w:t>
        </w:r>
      </w:hyperlink>
    </w:p>
    <w:p>
      <w:pPr>
        <w:pStyle w:val="RunbookCaption"/>
      </w:pPr>
      <w:r>
        <w:t xml:space="preserve">Official reference: </w:t>
      </w:r>
      <w:hyperlink r:id="rId13">
        <w:r>
          <w:rPr>
            <w:color w:val="2E74B5"/>
            <w:u w:val="single"/>
          </w:rPr>
          <w:t>Stripe webhook signatures</w:t>
        </w:r>
      </w:hyperlink>
    </w:p>
    <w:p>
      <w:pPr>
        <w:spacing w:after="80"/>
      </w:pPr>
      <w:r>
        <w:rPr>
          <w:b/>
        </w:rPr>
        <w:t xml:space="preserve">Stripe account ID: </w:t>
      </w:r>
      <w:r>
        <w:t>__________________________________________________________________________</w:t>
      </w:r>
    </w:p>
    <w:p>
      <w:pPr>
        <w:spacing w:after="80"/>
      </w:pPr>
      <w:r>
        <w:rPr>
          <w:b/>
        </w:rPr>
        <w:t xml:space="preserve">Test webhook endpoint ID: </w:t>
      </w:r>
      <w:r>
        <w:t>__________________________________________________________________________</w:t>
      </w:r>
    </w:p>
    <w:p>
      <w:pPr>
        <w:spacing w:after="80"/>
      </w:pPr>
      <w:r>
        <w:rPr>
          <w:b/>
        </w:rPr>
        <w:t xml:space="preserve">Live webhook endpoint ID: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3. Resend, operational email, and DNS</w:t>
      </w:r>
    </w:p>
    <w:p>
      <w:pPr>
        <w:keepLines/>
        <w:numPr>
          <w:ilvl w:val="0"/>
          <w:numId w:val="10"/>
        </w:numPr>
      </w:pPr>
      <w:r>
        <w:t>Create the Resend account under the business owner, enable two-factor authentication, and add godfin.dev as the sending domain.</w:t>
      </w:r>
    </w:p>
    <w:p>
      <w:pPr>
        <w:keepLines/>
        <w:numPr>
          <w:ilvl w:val="0"/>
          <w:numId w:val="10"/>
        </w:numPr>
      </w:pPr>
      <w:r>
        <w:t>In the authoritative DNS provider, add exactly the SPF and DKIM records supplied by Resend. Do not invent or duplicate SPF records.</w:t>
      </w:r>
    </w:p>
    <w:p>
      <w:pPr>
        <w:keepLines/>
        <w:numPr>
          <w:ilvl w:val="0"/>
          <w:numId w:val="10"/>
        </w:numPr>
      </w:pPr>
      <w:r>
        <w:t>Add a DMARC record. Start with monitoring if necessary, review reports, then tighten with counsel/operations guidance.</w:t>
      </w:r>
    </w:p>
    <w:p>
      <w:pPr>
        <w:keepLines/>
        <w:numPr>
          <w:ilvl w:val="0"/>
          <w:numId w:val="10"/>
        </w:numPr>
      </w:pPr>
      <w:r>
        <w:t>Create monitored addresses or aliases: licenses@godfin.dev, support@godfin.dev, privacy@godfin.dev, legal@godfin.dev, and security@godfin.dev.</w:t>
      </w:r>
    </w:p>
    <w:p>
      <w:pPr>
        <w:keepLines/>
        <w:numPr>
          <w:ilvl w:val="0"/>
          <w:numId w:val="10"/>
        </w:numPr>
      </w:pPr>
      <w:r>
        <w:t>Create a least-privilege production Resend API key. Store it directly as RESEND_API_KEY in Vercel Production and Preview; set RESEND_FROM_EMAIL to GODFIN &lt;licenses@godfin.dev&gt;.</w:t>
      </w:r>
    </w:p>
    <w:p>
      <w:pPr>
        <w:keepLines/>
        <w:numPr>
          <w:ilvl w:val="0"/>
          <w:numId w:val="10"/>
        </w:numPr>
      </w:pPr>
      <w:r>
        <w:t>Redeploy. Submit the waitlist form, receive the confirmation email, confirm once, and verify a repeated confirmation does not duplicate the record.</w:t>
      </w:r>
    </w:p>
    <w:p>
      <w:pPr>
        <w:keepLines/>
        <w:numPr>
          <w:ilvl w:val="0"/>
          <w:numId w:val="10"/>
        </w:numPr>
      </w:pPr>
      <w:r>
        <w:t>Complete a synthetic license email test to Gmail and another provider. Check SPF, DKIM, DMARC alignment, inbox placement, links, mobile layout, plain-text fallback, reply path, and resend behavior.</w:t>
      </w:r>
    </w:p>
    <w:p>
      <w:pPr>
        <w:keepLines/>
        <w:numPr>
          <w:ilvl w:val="0"/>
          <w:numId w:val="12"/>
        </w:numPr>
      </w:pPr>
      <w:r>
        <w:t>Resend domain shows Verified.</w:t>
      </w:r>
    </w:p>
    <w:p>
      <w:pPr>
        <w:keepLines/>
        <w:numPr>
          <w:ilvl w:val="0"/>
          <w:numId w:val="12"/>
        </w:numPr>
      </w:pPr>
      <w:r>
        <w:t>SPF, DKIM, and DMARC checks pass.</w:t>
      </w:r>
    </w:p>
    <w:p>
      <w:pPr>
        <w:keepLines/>
        <w:numPr>
          <w:ilvl w:val="0"/>
          <w:numId w:val="12"/>
        </w:numPr>
      </w:pPr>
      <w:r>
        <w:t>Double-opt-in waitlist works and stores no desktop financial data.</w:t>
      </w:r>
    </w:p>
    <w:p>
      <w:pPr>
        <w:keepLines/>
        <w:numPr>
          <w:ilvl w:val="0"/>
          <w:numId w:val="12"/>
        </w:numPr>
      </w:pPr>
      <w:r>
        <w:t>License delivery works in two mailbox providers.</w:t>
      </w:r>
    </w:p>
    <w:p>
      <w:pPr>
        <w:keepLines/>
        <w:numPr>
          <w:ilvl w:val="0"/>
          <w:numId w:val="12"/>
        </w:numPr>
      </w:pPr>
      <w:r>
        <w:t>Support, privacy, legal, licenses, and security mailboxes are monitored.</w:t>
      </w:r>
    </w:p>
    <w:p>
      <w:pPr>
        <w:pStyle w:val="RunbookCaption"/>
      </w:pPr>
      <w:r>
        <w:t xml:space="preserve">Official reference: </w:t>
      </w:r>
      <w:hyperlink r:id="rId14">
        <w:r>
          <w:rPr>
            <w:color w:val="2E74B5"/>
            <w:u w:val="single"/>
          </w:rPr>
          <w:t>Resend domain verification</w:t>
        </w:r>
      </w:hyperlink>
    </w:p>
    <w:p>
      <w:pPr>
        <w:spacing w:after="80"/>
      </w:pPr>
      <w:r>
        <w:rPr>
          <w:b/>
        </w:rPr>
        <w:t xml:space="preserve">DNS provider: </w:t>
      </w:r>
      <w:r>
        <w:t>__________________________________________________________________________</w:t>
      </w:r>
    </w:p>
    <w:p>
      <w:pPr>
        <w:spacing w:after="80"/>
      </w:pPr>
      <w:r>
        <w:rPr>
          <w:b/>
        </w:rPr>
        <w:t xml:space="preserve">Second test mailbox provider: </w:t>
      </w:r>
      <w:r>
        <w:t>__________________________________________________________________________</w:t>
      </w:r>
    </w:p>
    <w:p>
      <w:pPr>
        <w:spacing w:after="80"/>
      </w:pPr>
      <w:r>
        <w:rPr>
          <w:b/>
        </w:rPr>
        <w:t xml:space="preserve">Support owner: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4. Domain and Vercel production</w:t>
      </w:r>
    </w:p>
    <w:p>
      <w:pPr>
        <w:keepLines/>
        <w:numPr>
          <w:ilvl w:val="0"/>
          <w:numId w:val="10"/>
        </w:numPr>
      </w:pPr>
      <w:r>
        <w:t>Register or confirm control of godfin.dev in a business-owned registrar account. Enable registrar lock, two-factor authentication, auto-renewal, and a recovery contact.</w:t>
      </w:r>
    </w:p>
    <w:p>
      <w:pPr>
        <w:keepLines/>
        <w:numPr>
          <w:ilvl w:val="0"/>
          <w:numId w:val="10"/>
        </w:numPr>
      </w:pPr>
      <w:r>
        <w:t>In Vercel project godfin, add godfin.dev and www.godfin.dev. Copy only the DNS records Vercel displays into the authoritative DNS provider.</w:t>
      </w:r>
    </w:p>
    <w:p>
      <w:pPr>
        <w:keepLines/>
        <w:numPr>
          <w:ilvl w:val="0"/>
          <w:numId w:val="10"/>
        </w:numPr>
      </w:pPr>
      <w:r>
        <w:t>Choose one canonical host. Redirect the other host permanently.</w:t>
      </w:r>
    </w:p>
    <w:p>
      <w:pPr>
        <w:keepLines/>
        <w:numPr>
          <w:ilvl w:val="0"/>
          <w:numId w:val="10"/>
        </w:numPr>
      </w:pPr>
      <w:r>
        <w:t>Set NEXT_PUBLIC_SITE_URL=https://godfin.dev for Production after DNS and HTTPS are ready. Update Google/Supabase redirect allow-lists and Stripe webhook/success/cancel URLs before switching traffic.</w:t>
      </w:r>
    </w:p>
    <w:p>
      <w:pPr>
        <w:keepLines/>
        <w:numPr>
          <w:ilvl w:val="0"/>
          <w:numId w:val="10"/>
        </w:numPr>
      </w:pPr>
      <w:r>
        <w:t>Verify HTTPS, HSTS, CSP, X-Frame-Options, nosniff, Referrer-Policy, Permissions-Policy, sitemap.xml, robots.txt, and a deliberate 404.</w:t>
      </w:r>
    </w:p>
    <w:p>
      <w:pPr>
        <w:keepLines/>
        <w:numPr>
          <w:ilvl w:val="0"/>
          <w:numId w:val="10"/>
        </w:numPr>
      </w:pPr>
      <w:r>
        <w:t>Set immutable signed download URLs only after Section 12 clean-system validation. Do not point download buttons at unsigned local builds.</w:t>
      </w:r>
    </w:p>
    <w:p>
      <w:pPr>
        <w:keepLines/>
        <w:numPr>
          <w:ilvl w:val="0"/>
          <w:numId w:val="12"/>
        </w:numPr>
      </w:pPr>
      <w:r>
        <w:t>Apex and www resolve as designed over HTTPS.</w:t>
      </w:r>
    </w:p>
    <w:p>
      <w:pPr>
        <w:keepLines/>
        <w:numPr>
          <w:ilvl w:val="0"/>
          <w:numId w:val="12"/>
        </w:numPr>
      </w:pPr>
      <w:r>
        <w:t>Account, pricing, download, privacy, terms, docs, waitlist, and callback paths pass.</w:t>
      </w:r>
    </w:p>
    <w:p>
      <w:pPr>
        <w:keepLines/>
        <w:numPr>
          <w:ilvl w:val="0"/>
          <w:numId w:val="12"/>
        </w:numPr>
      </w:pPr>
      <w:r>
        <w:t>Google, Stripe, and Resend use the canonical production host.</w:t>
      </w:r>
    </w:p>
    <w:p>
      <w:pPr>
        <w:keepLines/>
        <w:numPr>
          <w:ilvl w:val="0"/>
          <w:numId w:val="12"/>
        </w:numPr>
      </w:pPr>
      <w:r>
        <w:t>No secret appears in build logs or browser JavaScript.</w:t>
      </w:r>
    </w:p>
    <w:p>
      <w:pPr>
        <w:spacing w:after="80"/>
      </w:pPr>
      <w:r>
        <w:rPr>
          <w:b/>
        </w:rPr>
        <w:t xml:space="preserve">Registrar: </w:t>
      </w:r>
      <w:r>
        <w:t>__________________________________________________________________________</w:t>
      </w:r>
    </w:p>
    <w:p>
      <w:pPr>
        <w:spacing w:after="80"/>
      </w:pPr>
      <w:r>
        <w:rPr>
          <w:b/>
        </w:rPr>
        <w:t xml:space="preserve">Renewal date: </w:t>
      </w:r>
      <w:r>
        <w:t>__________________________________________________________________________</w:t>
      </w:r>
    </w:p>
    <w:p>
      <w:pPr>
        <w:spacing w:after="80"/>
      </w:pPr>
      <w:r>
        <w:rPr>
          <w:b/>
        </w:rPr>
        <w:t xml:space="preserve">Canonical host: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5. License custody and three-device operations</w:t>
      </w:r>
    </w:p>
    <w:p>
      <w:pPr>
        <w:spacing w:before="100" w:after="160" w:line="288" w:lineRule="auto"/>
        <w:ind w:left="115" w:right="115"/>
        <w:shd w:fill="FFF4D8"/>
        <w:pBdr>
          <w:left w:val="single" w:sz="18" w:space="8" w:color="7A5A00"/>
        </w:pBdr>
      </w:pPr>
      <w:r>
        <w:rPr>
          <w:rFonts w:ascii="Calibri" w:hAnsi="Calibri"/>
          <w:b/>
          <w:color w:val="7A5A00"/>
          <w:sz w:val="21"/>
        </w:rPr>
        <w:t xml:space="preserve">CURRENT STATE  </w:t>
      </w:r>
      <w:r>
        <w:rPr>
          <w:rFonts w:ascii="Calibri" w:hAnsi="Calibri"/>
          <w:color w:val="172033"/>
          <w:sz w:val="21"/>
        </w:rPr>
        <w:t>LICENSE_SIGNING_SECRET is already present as an encrypted Vercel variable. Do not replace it casually: issued keys are derived from it. The database stores license hashes, not full license keys.</w:t>
      </w:r>
    </w:p>
    <w:p>
      <w:pPr>
        <w:keepLines/>
        <w:numPr>
          <w:ilvl w:val="0"/>
          <w:numId w:val="10"/>
        </w:numPr>
      </w:pPr>
      <w:r>
        <w:t>Confirm the exact current LICENSE_SIGNING_SECRET is stored in the business password vault with restricted access and a tested offline recovery copy. Never reveal the value.</w:t>
      </w:r>
    </w:p>
    <w:p>
      <w:pPr>
        <w:keepLines/>
        <w:numPr>
          <w:ilvl w:val="0"/>
          <w:numId w:val="10"/>
        </w:numPr>
      </w:pPr>
      <w:r>
        <w:t>Record authorized custodians and an emergency access procedure.</w:t>
      </w:r>
    </w:p>
    <w:p>
      <w:pPr>
        <w:keepLines/>
        <w:numPr>
          <w:ilvl w:val="0"/>
          <w:numId w:val="10"/>
        </w:numPr>
      </w:pPr>
      <w:r>
        <w:t>Use random installation IDs stored in OS secure storage. Do not add hardware serials, payment details, or persistent IP fingerprints.</w:t>
      </w:r>
    </w:p>
    <w:p>
      <w:pPr>
        <w:keepLines/>
        <w:numPr>
          <w:ilvl w:val="0"/>
          <w:numId w:val="10"/>
        </w:numPr>
      </w:pPr>
      <w:r>
        <w:t>From a paid test account, activate three synthetic installations. Confirm a fourth returns ACTIVATION_LIMIT.</w:t>
      </w:r>
    </w:p>
    <w:p>
      <w:pPr>
        <w:keepLines/>
        <w:numPr>
          <w:ilvl w:val="0"/>
          <w:numId w:val="10"/>
        </w:numPr>
      </w:pPr>
      <w:r>
        <w:t>Open /account, list the devices, deactivate one, and verify a new installation can activate.</w:t>
      </w:r>
    </w:p>
    <w:p>
      <w:pPr>
        <w:keepLines/>
        <w:numPr>
          <w:ilvl w:val="0"/>
          <w:numId w:val="10"/>
        </w:numPr>
      </w:pPr>
      <w:r>
        <w:t>Verify offline grace, re-verification, invalid key, inactive license, lost-key resend, and local license removal. Confirm local financial data remains untouched.</w:t>
      </w:r>
    </w:p>
    <w:p>
      <w:pPr>
        <w:keepLines/>
        <w:numPr>
          <w:ilvl w:val="0"/>
          <w:numId w:val="10"/>
        </w:numPr>
      </w:pPr>
      <w:r>
        <w:t>Before any future secret rotation, design versioned key IDs, legacy verification, reissue, rollback, and customer communication.</w:t>
      </w:r>
    </w:p>
    <w:p>
      <w:pPr>
        <w:keepLines/>
        <w:numPr>
          <w:ilvl w:val="0"/>
          <w:numId w:val="12"/>
        </w:numPr>
      </w:pPr>
      <w:r>
        <w:t>Vault and offline recovery copies are verified.</w:t>
      </w:r>
    </w:p>
    <w:p>
      <w:pPr>
        <w:keepLines/>
        <w:numPr>
          <w:ilvl w:val="0"/>
          <w:numId w:val="12"/>
        </w:numPr>
      </w:pPr>
      <w:r>
        <w:t>Three active installations succeed; the fourth is blocked.</w:t>
      </w:r>
    </w:p>
    <w:p>
      <w:pPr>
        <w:keepLines/>
        <w:numPr>
          <w:ilvl w:val="0"/>
          <w:numId w:val="12"/>
        </w:numPr>
      </w:pPr>
      <w:r>
        <w:t>Account-based deactivation and replacement succeed.</w:t>
      </w:r>
    </w:p>
    <w:p>
      <w:pPr>
        <w:keepLines/>
        <w:numPr>
          <w:ilvl w:val="0"/>
          <w:numId w:val="12"/>
        </w:numPr>
      </w:pPr>
      <w:r>
        <w:t>No serial, IP fingerprint, payment method, or financial ledger is stored by licensing.</w:t>
      </w:r>
    </w:p>
    <w:p>
      <w:pPr>
        <w:spacing w:after="80"/>
      </w:pPr>
      <w:r>
        <w:rPr>
          <w:b/>
        </w:rPr>
        <w:t xml:space="preserve">Vault record name (not the value): </w:t>
      </w:r>
      <w:r>
        <w:t>__________________________________________________________________________</w:t>
      </w:r>
    </w:p>
    <w:p>
      <w:pPr>
        <w:spacing w:after="80"/>
      </w:pPr>
      <w:r>
        <w:rPr>
          <w:b/>
        </w:rPr>
        <w:t xml:space="preserve">Authorized custodians: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6. macOS signing and notarization</w:t>
      </w:r>
    </w:p>
    <w:p>
      <w:pPr>
        <w:keepLines/>
        <w:numPr>
          <w:ilvl w:val="0"/>
          <w:numId w:val="10"/>
        </w:numPr>
      </w:pPr>
      <w:r>
        <w:t>Enroll the legal seller in the Apple Developer Program and complete identity verification.</w:t>
      </w:r>
    </w:p>
    <w:p>
      <w:pPr>
        <w:keepLines/>
        <w:numPr>
          <w:ilvl w:val="0"/>
          <w:numId w:val="10"/>
        </w:numPr>
      </w:pPr>
      <w:r>
        <w:t>Create a Developer ID Application certificate for distribution outside the Mac App Store.</w:t>
      </w:r>
    </w:p>
    <w:p>
      <w:pPr>
        <w:keepLines/>
        <w:numPr>
          <w:ilvl w:val="0"/>
          <w:numId w:val="10"/>
        </w:numPr>
      </w:pPr>
      <w:r>
        <w:t>Install the certificate and private key on a secured Mac, export a password-protected .p12, and store it only in the business vault.</w:t>
      </w:r>
    </w:p>
    <w:p>
      <w:pPr>
        <w:keepLines/>
        <w:numPr>
          <w:ilvl w:val="0"/>
          <w:numId w:val="10"/>
        </w:numPr>
      </w:pPr>
      <w:r>
        <w:t>Create an Apple app-specific password for notarization and record the Team ID.</w:t>
      </w:r>
    </w:p>
    <w:p>
      <w:pPr>
        <w:keepLines/>
        <w:numPr>
          <w:ilvl w:val="0"/>
          <w:numId w:val="10"/>
        </w:numPr>
      </w:pPr>
      <w:r>
        <w:t>Add GitHub Actions secrets MAC_CSC_LINK, MAC_CSC_KEY_PASSWORD, APPLE_ID, APPLE_APP_SPECIFIC_PASSWORD, and APPLE_TEAM_ID. Values must never appear in logs.</w:t>
      </w:r>
    </w:p>
    <w:p>
      <w:pPr>
        <w:keepLines/>
        <w:numPr>
          <w:ilvl w:val="0"/>
          <w:numId w:val="10"/>
        </w:numPr>
      </w:pPr>
      <w:r>
        <w:t>Run the private release workflow. Verify code signature, hardened runtime, entitlements, Electron fuses, notarization, stapling, DMG, and ZIP update artifact.</w:t>
      </w:r>
    </w:p>
    <w:p>
      <w:pPr>
        <w:keepLines/>
        <w:numPr>
          <w:ilvl w:val="0"/>
          <w:numId w:val="10"/>
        </w:numPr>
      </w:pPr>
      <w:r>
        <w:t>Install on clean macOS 13+ Apple silicon and Intel systems with Gatekeeper enabled. Do not instruct users to bypass Gatekeeper.</w:t>
      </w:r>
    </w:p>
    <w:p>
      <w:pPr>
        <w:keepLines/>
        <w:numPr>
          <w:ilvl w:val="0"/>
          <w:numId w:val="12"/>
        </w:numPr>
      </w:pPr>
      <w:r>
        <w:t>codesign --verify succeeds.</w:t>
      </w:r>
    </w:p>
    <w:p>
      <w:pPr>
        <w:keepLines/>
        <w:numPr>
          <w:ilvl w:val="0"/>
          <w:numId w:val="12"/>
        </w:numPr>
      </w:pPr>
      <w:r>
        <w:t>spctl assessment succeeds.</w:t>
      </w:r>
    </w:p>
    <w:p>
      <w:pPr>
        <w:keepLines/>
        <w:numPr>
          <w:ilvl w:val="0"/>
          <w:numId w:val="12"/>
        </w:numPr>
      </w:pPr>
      <w:r>
        <w:t>stapler validate succeeds.</w:t>
      </w:r>
    </w:p>
    <w:p>
      <w:pPr>
        <w:keepLines/>
        <w:numPr>
          <w:ilvl w:val="0"/>
          <w:numId w:val="12"/>
        </w:numPr>
      </w:pPr>
      <w:r>
        <w:t>Clean Apple silicon and Intel installs launch without override.</w:t>
      </w:r>
    </w:p>
    <w:p>
      <w:pPr>
        <w:spacing w:after="80"/>
      </w:pPr>
      <w:r>
        <w:rPr>
          <w:b/>
        </w:rPr>
        <w:t xml:space="preserve">Apple Team ID: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7. Windows signing</w:t>
      </w:r>
    </w:p>
    <w:p>
      <w:pPr>
        <w:keepLines/>
        <w:numPr>
          <w:ilvl w:val="0"/>
          <w:numId w:val="10"/>
        </w:numPr>
      </w:pPr>
      <w:r>
        <w:t>Purchase an Authenticode certificate in the legal seller’s name from a trusted provider. Prefer the provider’s supported hardware- or cloud-protected signing workflow.</w:t>
      </w:r>
    </w:p>
    <w:p>
      <w:pPr>
        <w:keepLines/>
        <w:numPr>
          <w:ilvl w:val="0"/>
          <w:numId w:val="10"/>
        </w:numPr>
      </w:pPr>
      <w:r>
        <w:t>Complete identity verification and document who controls signing access.</w:t>
      </w:r>
    </w:p>
    <w:p>
      <w:pPr>
        <w:keepLines/>
        <w:numPr>
          <w:ilvl w:val="0"/>
          <w:numId w:val="10"/>
        </w:numPr>
      </w:pPr>
      <w:r>
        <w:t>If the CI path supports an exportable PFX, store the protected file in the vault and add WIN_CSC_LINK and WIN_CSC_KEY_PASSWORD to GitHub Actions secrets.</w:t>
      </w:r>
    </w:p>
    <w:p>
      <w:pPr>
        <w:keepLines/>
        <w:numPr>
          <w:ilvl w:val="0"/>
          <w:numId w:val="10"/>
        </w:numPr>
      </w:pPr>
      <w:r>
        <w:t>Require a trusted timestamp so signatures remain valid after certificate expiry.</w:t>
      </w:r>
    </w:p>
    <w:p>
      <w:pPr>
        <w:keepLines/>
        <w:numPr>
          <w:ilvl w:val="0"/>
          <w:numId w:val="10"/>
        </w:numPr>
      </w:pPr>
      <w:r>
        <w:t>Build the private draft Windows installer. Verify publisher, chain, timestamp, NSIS behavior, and retained app data.</w:t>
      </w:r>
    </w:p>
    <w:p>
      <w:pPr>
        <w:keepLines/>
        <w:numPr>
          <w:ilvl w:val="0"/>
          <w:numId w:val="10"/>
        </w:numPr>
      </w:pPr>
      <w:r>
        <w:t>Install on clean Windows 10 22H2 and Windows 11 x64 systems with SmartScreen enabled. Record reputation warnings separately from signature validity.</w:t>
      </w:r>
    </w:p>
    <w:p>
      <w:pPr>
        <w:keepLines/>
        <w:numPr>
          <w:ilvl w:val="0"/>
          <w:numId w:val="12"/>
        </w:numPr>
      </w:pPr>
      <w:r>
        <w:t>Signature and timestamp verify.</w:t>
      </w:r>
    </w:p>
    <w:p>
      <w:pPr>
        <w:keepLines/>
        <w:numPr>
          <w:ilvl w:val="0"/>
          <w:numId w:val="12"/>
        </w:numPr>
      </w:pPr>
      <w:r>
        <w:t>Publisher matches the legal seller.</w:t>
      </w:r>
    </w:p>
    <w:p>
      <w:pPr>
        <w:keepLines/>
        <w:numPr>
          <w:ilvl w:val="0"/>
          <w:numId w:val="12"/>
        </w:numPr>
      </w:pPr>
      <w:r>
        <w:t>Windows 10 and 11 clean installs pass.</w:t>
      </w:r>
    </w:p>
    <w:p>
      <w:pPr>
        <w:keepLines/>
        <w:numPr>
          <w:ilvl w:val="0"/>
          <w:numId w:val="12"/>
        </w:numPr>
      </w:pPr>
      <w:r>
        <w:t>Upgrade and uninstall preserve SQLite data unless the user explicitly deletes it.</w:t>
      </w:r>
    </w:p>
    <w:p>
      <w:pPr>
        <w:spacing w:after="80"/>
      </w:pPr>
      <w:r>
        <w:rPr>
          <w:b/>
        </w:rPr>
        <w:t xml:space="preserve">Certificate provider: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8. Cloudflare R2 and signed updates</w:t>
      </w:r>
    </w:p>
    <w:p>
      <w:pPr>
        <w:keepLines/>
        <w:numPr>
          <w:ilvl w:val="0"/>
          <w:numId w:val="10"/>
        </w:numPr>
      </w:pPr>
      <w:r>
        <w:t>Create a business-owned Cloudflare account, enable two-factor authentication, and create an R2 bucket dedicated to release artifacts only.</w:t>
      </w:r>
    </w:p>
    <w:p>
      <w:pPr>
        <w:keepLines/>
        <w:numPr>
          <w:ilvl w:val="0"/>
          <w:numId w:val="10"/>
        </w:numPr>
      </w:pPr>
      <w:r>
        <w:t>Connect releases.godfin.dev to the bucket and verify HTTPS. Do not place customer data or desktop backups in this bucket.</w:t>
      </w:r>
    </w:p>
    <w:p>
      <w:pPr>
        <w:keepLines/>
        <w:numPr>
          <w:ilvl w:val="0"/>
          <w:numId w:val="10"/>
        </w:numPr>
      </w:pPr>
      <w:r>
        <w:t>Create a least-privilege R2 API token for release automation. Add GitHub secrets R2_ACCESS_KEY_ID, R2_SECRET_ACCESS_KEY, R2_ACCOUNT_ID, and R2_RELEASE_BUCKET.</w:t>
      </w:r>
    </w:p>
    <w:p>
      <w:pPr>
        <w:keepLines/>
        <w:numPr>
          <w:ilvl w:val="0"/>
          <w:numId w:val="10"/>
        </w:numPr>
      </w:pPr>
      <w:r>
        <w:t>Keep release binaries under immutable versioned paths such as /v0.1.0/&lt;artifact&gt;. Never overwrite a released binary.</w:t>
      </w:r>
    </w:p>
    <w:p>
      <w:pPr>
        <w:keepLines/>
        <w:numPr>
          <w:ilvl w:val="0"/>
          <w:numId w:val="10"/>
        </w:numPr>
      </w:pPr>
      <w:r>
        <w:t>Verify Content-Type, Content-Disposition, range requests, checksums, blockmaps, and architecture-specific latest metadata.</w:t>
      </w:r>
    </w:p>
    <w:p>
      <w:pPr>
        <w:keepLines/>
        <w:numPr>
          <w:ilvl w:val="0"/>
          <w:numId w:val="10"/>
        </w:numPr>
      </w:pPr>
      <w:r>
        <w:t>The promote-updates workflow requires the exact typed confirmation PUBLISH_SIGNED_RELEASE and the release-production environment. Do not run it before explicit public-launch authorization.</w:t>
      </w:r>
    </w:p>
    <w:p>
      <w:pPr>
        <w:keepLines/>
        <w:numPr>
          <w:ilvl w:val="0"/>
          <w:numId w:val="10"/>
        </w:numPr>
      </w:pPr>
      <w:r>
        <w:t>Test rollback with a previously reviewed signed release using the separate rollback workflow and its exact confirmation.</w:t>
      </w:r>
    </w:p>
    <w:p>
      <w:pPr>
        <w:keepLines/>
        <w:numPr>
          <w:ilvl w:val="0"/>
          <w:numId w:val="12"/>
        </w:numPr>
      </w:pPr>
      <w:r>
        <w:t>Anonymous read works; list/write does not.</w:t>
      </w:r>
    </w:p>
    <w:p>
      <w:pPr>
        <w:keepLines/>
        <w:numPr>
          <w:ilvl w:val="0"/>
          <w:numId w:val="12"/>
        </w:numPr>
      </w:pPr>
      <w:r>
        <w:t>Versioned assets are immutable.</w:t>
      </w:r>
    </w:p>
    <w:p>
      <w:pPr>
        <w:keepLines/>
        <w:numPr>
          <w:ilvl w:val="0"/>
          <w:numId w:val="12"/>
        </w:numPr>
      </w:pPr>
      <w:r>
        <w:t>SHA-256 checksums match a fresh download.</w:t>
      </w:r>
    </w:p>
    <w:p>
      <w:pPr>
        <w:keepLines/>
        <w:numPr>
          <w:ilvl w:val="0"/>
          <w:numId w:val="12"/>
        </w:numPr>
      </w:pPr>
      <w:r>
        <w:t>Updater detects the correct OS/architecture artifact.</w:t>
      </w:r>
    </w:p>
    <w:p>
      <w:pPr>
        <w:keepLines/>
        <w:numPr>
          <w:ilvl w:val="0"/>
          <w:numId w:val="12"/>
        </w:numPr>
      </w:pPr>
      <w:r>
        <w:t>Rollback metadata restores the reviewed previous version.</w:t>
      </w:r>
    </w:p>
    <w:p>
      <w:pPr>
        <w:spacing w:after="80"/>
      </w:pPr>
      <w:r>
        <w:rPr>
          <w:b/>
        </w:rPr>
        <w:t xml:space="preserve">R2 account ID (not secret): </w:t>
      </w:r>
      <w:r>
        <w:t>__________________________________________________________________________</w:t>
      </w:r>
    </w:p>
    <w:p>
      <w:pPr>
        <w:spacing w:after="80"/>
      </w:pPr>
      <w:r>
        <w:rPr>
          <w:b/>
        </w:rPr>
        <w:t xml:space="preserve">Bucket: </w:t>
      </w:r>
      <w:r>
        <w:t>__________________________________________________________________________</w:t>
      </w:r>
    </w:p>
    <w:p>
      <w:pPr>
        <w:spacing w:after="80"/>
      </w:pPr>
      <w:r>
        <w:rPr>
          <w:b/>
        </w:rPr>
        <w:t xml:space="preserve">Update domain: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9. Market-data access for Max net worth</w:t>
      </w:r>
    </w:p>
    <w:p>
      <w:pPr>
        <w:spacing w:before="100" w:after="160" w:line="288" w:lineRule="auto"/>
        <w:ind w:left="115" w:right="115"/>
        <w:shd w:fill="EAF7EF"/>
        <w:pBdr>
          <w:left w:val="single" w:sz="18" w:space="8" w:color="17663A"/>
        </w:pBdr>
      </w:pPr>
      <w:r>
        <w:rPr>
          <w:rFonts w:ascii="Calibri" w:hAnsi="Calibri"/>
          <w:b/>
          <w:color w:val="17663A"/>
          <w:sz w:val="21"/>
        </w:rPr>
        <w:t xml:space="preserve">KEY CUSTODY  </w:t>
      </w:r>
      <w:r>
        <w:rPr>
          <w:rFonts w:ascii="Calibri" w:hAnsi="Calibri"/>
          <w:color w:val="172033"/>
          <w:sz w:val="21"/>
        </w:rPr>
        <w:t>GODFIN does not need a shared Twelve Data key. Each user supplies a key that is encrypted locally and sent only to Twelve Data when that user requests a quote.</w:t>
      </w:r>
    </w:p>
    <w:p>
      <w:pPr>
        <w:keepLines/>
        <w:numPr>
          <w:ilvl w:val="0"/>
          <w:numId w:val="10"/>
        </w:numPr>
      </w:pPr>
      <w:r>
        <w:t>Review Twelve Data’s current plans, market coverage, attribution, caching, redistribution, and rate-limit terms with counsel or a responsible product owner.</w:t>
      </w:r>
    </w:p>
    <w:p>
      <w:pPr>
        <w:keepLines/>
        <w:numPr>
          <w:ilvl w:val="0"/>
          <w:numId w:val="10"/>
        </w:numPr>
      </w:pPr>
      <w:r>
        <w:t>Define the supported liquid instruments and symbol format in support documentation. Do not promise universal coverage or uninterrupted quotes.</w:t>
      </w:r>
    </w:p>
    <w:p>
      <w:pPr>
        <w:keepLines/>
        <w:numPr>
          <w:ilvl w:val="0"/>
          <w:numId w:val="10"/>
        </w:numPr>
      </w:pPr>
      <w:r>
        <w:t>Test stock, ETF, mutual-fund, crypto, bond, metal, and currency-conversion requests with a personal test key. Never place that key in Vercel, GitHub, screenshots, or fixtures.</w:t>
      </w:r>
    </w:p>
    <w:p>
      <w:pPr>
        <w:keepLines/>
        <w:numPr>
          <w:ilvl w:val="0"/>
          <w:numId w:val="10"/>
        </w:numPr>
      </w:pPr>
      <w:r>
        <w:t>Verify missing, expired, rate-limited, invalid, and unavailable quotes show a recoverable error and never break manual assets or authoritative totals.</w:t>
      </w:r>
    </w:p>
    <w:p>
      <w:pPr>
        <w:keepLines/>
        <w:numPr>
          <w:ilvl w:val="0"/>
          <w:numId w:val="10"/>
        </w:numPr>
      </w:pPr>
      <w:r>
        <w:t>Confirm land, property, gems, private assets, and unsupported instruments always require user-entered source, valuation date, and review/expiry date.</w:t>
      </w:r>
    </w:p>
    <w:p>
      <w:pPr>
        <w:keepLines/>
        <w:numPr>
          <w:ilvl w:val="0"/>
          <w:numId w:val="12"/>
        </w:numPr>
      </w:pPr>
      <w:r>
        <w:t>Terms and support scope reviewed.</w:t>
      </w:r>
    </w:p>
    <w:p>
      <w:pPr>
        <w:keepLines/>
        <w:numPr>
          <w:ilvl w:val="0"/>
          <w:numId w:val="12"/>
        </w:numPr>
      </w:pPr>
      <w:r>
        <w:t>A test key works and remains encrypted locally.</w:t>
      </w:r>
    </w:p>
    <w:p>
      <w:pPr>
        <w:keepLines/>
        <w:numPr>
          <w:ilvl w:val="0"/>
          <w:numId w:val="12"/>
        </w:numPr>
      </w:pPr>
      <w:r>
        <w:t>Quote failure leaves manual calculations usable.</w:t>
      </w:r>
    </w:p>
    <w:p>
      <w:pPr>
        <w:keepLines/>
        <w:numPr>
          <w:ilvl w:val="0"/>
          <w:numId w:val="12"/>
        </w:numPr>
      </w:pPr>
      <w:r>
        <w:t>Freshness, provenance, currency, and expiry are visible.</w:t>
      </w:r>
    </w:p>
    <w:p>
      <w:pPr>
        <w:pStyle w:val="RunbookCaption"/>
      </w:pPr>
      <w:r>
        <w:t xml:space="preserve">Official reference: </w:t>
      </w:r>
      <w:hyperlink r:id="rId15">
        <w:r>
          <w:rPr>
            <w:color w:val="2E74B5"/>
            <w:u w:val="single"/>
          </w:rPr>
          <w:t>Twelve Data API documentation</w:t>
        </w:r>
      </w:hyperlink>
    </w:p>
    <w:p>
      <w:pPr>
        <w:spacing w:after="80"/>
      </w:pPr>
      <w:r>
        <w:rPr>
          <w:b/>
        </w:rPr>
        <w:t xml:space="preserve">Reviewer: </w:t>
      </w:r>
      <w:r>
        <w:t>__________________________________________________________________________</w:t>
      </w:r>
    </w:p>
    <w:p>
      <w:pPr>
        <w:spacing w:after="80"/>
      </w:pPr>
      <w:r>
        <w:rPr>
          <w:b/>
        </w:rPr>
        <w:t xml:space="preserve">Supported-market decision date: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10. Reward-pilot privacy, payouts, and controls</w:t>
      </w:r>
    </w:p>
    <w:p>
      <w:pPr>
        <w:spacing w:before="100" w:after="160" w:line="288" w:lineRule="auto"/>
        <w:ind w:left="115" w:right="115"/>
        <w:shd w:fill="FFF4D8"/>
        <w:pBdr>
          <w:left w:val="single" w:sz="18" w:space="8" w:color="7A5A00"/>
        </w:pBdr>
      </w:pPr>
      <w:r>
        <w:rPr>
          <w:rFonts w:ascii="Calibri" w:hAnsi="Calibri"/>
          <w:b/>
          <w:color w:val="7A5A00"/>
          <w:sz w:val="21"/>
        </w:rPr>
        <w:t xml:space="preserve">SAFE DEFAULT  </w:t>
      </w:r>
      <w:r>
        <w:rPr>
          <w:rFonts w:ascii="Calibri" w:hAnsi="Calibri"/>
          <w:color w:val="172033"/>
          <w:sz w:val="21"/>
        </w:rPr>
        <w:t>Keep reward_pilot disabled for launch unless every step below is complete. The ₹50,000 pilot is separate consent, off by default, and is not required for GODFIN’s core product.</w:t>
      </w:r>
    </w:p>
    <w:p>
      <w:pPr>
        <w:keepLines/>
        <w:numPr>
          <w:ilvl w:val="0"/>
          <w:numId w:val="10"/>
        </w:numPr>
      </w:pPr>
      <w:r>
        <w:t>Obtain written privacy and legal review of consent, participant eligibility, withdrawal, retention, cross-border processing if any, payout tax treatment, and incident response.</w:t>
      </w:r>
    </w:p>
    <w:p>
      <w:pPr>
        <w:keepLines/>
        <w:numPr>
          <w:ilvl w:val="0"/>
          <w:numId w:val="10"/>
        </w:numPr>
      </w:pPr>
      <w:r>
        <w:t>Approve the fixed economics: ₹100 for the first accepted 90-day aggregate bundle; ₹25 per net-new verified template family up to six; ₹10 per material variant up to five; maximum ₹300 per participant and ₹50,000 overall.</w:t>
      </w:r>
    </w:p>
    <w:p>
      <w:pPr>
        <w:keepLines/>
        <w:numPr>
          <w:ilvl w:val="0"/>
          <w:numId w:val="10"/>
        </w:numPr>
      </w:pPr>
      <w:r>
        <w:t>Fund a dedicated pilot payout budget and define who approves submissions, disputes, duplicate detection, and payouts.</w:t>
      </w:r>
    </w:p>
    <w:p>
      <w:pPr>
        <w:keepLines/>
        <w:numPr>
          <w:ilvl w:val="0"/>
          <w:numId w:val="10"/>
        </w:numPr>
      </w:pPr>
      <w:r>
        <w:t>Deploy a dedicated HTTPS ingestion endpoint. Configure GODFIN_REWARD_PILOT_URL only in a controlled candidate build. Never accept HTTP.</w:t>
      </w:r>
    </w:p>
    <w:p>
      <w:pPr>
        <w:keepLines/>
        <w:numPr>
          <w:ilvl w:val="0"/>
          <w:numId w:val="10"/>
        </w:numPr>
      </w:pPr>
      <w:r>
        <w:t>Keep payout identity in a separate access-controlled system from pseudonymized contributions. Define the linking token, access log, retention, and deletion process.</w:t>
      </w:r>
    </w:p>
    <w:p>
      <w:pPr>
        <w:keepLines/>
        <w:numPr>
          <w:ilvl w:val="0"/>
          <w:numId w:val="10"/>
        </w:numPr>
      </w:pPr>
      <w:r>
        <w:t>Use the local preview/redaction screen before submission. Reject names, account/card numbers, UPI/VPA, emails, phones, addresses, exact dates, exact amounts, balances, transaction descriptions, and raw statements.</w:t>
      </w:r>
    </w:p>
    <w:p>
      <w:pPr>
        <w:keepLines/>
        <w:numPr>
          <w:ilvl w:val="0"/>
          <w:numId w:val="10"/>
        </w:numPr>
      </w:pPr>
      <w:r>
        <w:t>Red-team the endpoint with synthetic identifiers and malformed payloads. Confirm the server rejects forbidden fields and the pilot cap cannot be exceeded under concurrency/retry.</w:t>
      </w:r>
    </w:p>
    <w:p>
      <w:pPr>
        <w:keepLines/>
        <w:numPr>
          <w:ilvl w:val="0"/>
          <w:numId w:val="10"/>
        </w:numPr>
      </w:pPr>
      <w:r>
        <w:t>Run a small internal dry run, reconcile accepted bundles to payouts, delete test identities, and obtain written approval before enabling the feature flag.</w:t>
      </w:r>
    </w:p>
    <w:p>
      <w:pPr>
        <w:keepLines/>
        <w:numPr>
          <w:ilvl w:val="0"/>
          <w:numId w:val="12"/>
        </w:numPr>
      </w:pPr>
      <w:r>
        <w:t>Legal/privacy review signed.</w:t>
      </w:r>
    </w:p>
    <w:p>
      <w:pPr>
        <w:keepLines/>
        <w:numPr>
          <w:ilvl w:val="0"/>
          <w:numId w:val="12"/>
        </w:numPr>
      </w:pPr>
      <w:r>
        <w:t>₹50,000 cap and ₹300 participant cap are enforced server-side.</w:t>
      </w:r>
    </w:p>
    <w:p>
      <w:pPr>
        <w:keepLines/>
        <w:numPr>
          <w:ilvl w:val="0"/>
          <w:numId w:val="12"/>
        </w:numPr>
      </w:pPr>
      <w:r>
        <w:t>Payout identity is separate from contribution data.</w:t>
      </w:r>
    </w:p>
    <w:p>
      <w:pPr>
        <w:keepLines/>
        <w:numPr>
          <w:ilvl w:val="0"/>
          <w:numId w:val="12"/>
        </w:numPr>
      </w:pPr>
      <w:r>
        <w:t>Redaction rejection tests pass.</w:t>
      </w:r>
    </w:p>
    <w:p>
      <w:pPr>
        <w:keepLines/>
        <w:numPr>
          <w:ilvl w:val="0"/>
          <w:numId w:val="12"/>
        </w:numPr>
      </w:pPr>
      <w:r>
        <w:t>Consent version, preview, withdrawal, retention, and audit evidence pass.</w:t>
      </w:r>
    </w:p>
    <w:p>
      <w:pPr>
        <w:keepLines/>
        <w:numPr>
          <w:ilvl w:val="0"/>
          <w:numId w:val="12"/>
        </w:numPr>
      </w:pPr>
      <w:r>
        <w:t>Feature remains off until written enablement approval.</w:t>
      </w:r>
    </w:p>
    <w:p>
      <w:pPr>
        <w:spacing w:after="80"/>
      </w:pPr>
      <w:r>
        <w:rPr>
          <w:b/>
        </w:rPr>
        <w:t xml:space="preserve">Pilot legal reviewer: </w:t>
      </w:r>
      <w:r>
        <w:t>__________________________________________________________________________</w:t>
      </w:r>
    </w:p>
    <w:p>
      <w:pPr>
        <w:spacing w:after="80"/>
      </w:pPr>
      <w:r>
        <w:rPr>
          <w:b/>
        </w:rPr>
        <w:t xml:space="preserve">Payout owner: </w:t>
      </w:r>
      <w:r>
        <w:t>__________________________________________________________________________</w:t>
      </w:r>
    </w:p>
    <w:p>
      <w:pPr>
        <w:spacing w:after="80"/>
      </w:pPr>
      <w:r>
        <w:rPr>
          <w:b/>
        </w:rPr>
        <w:t xml:space="preserve">Endpoint public hostname: </w:t>
      </w:r>
      <w:r>
        <w:t>__________________________________________________________________________</w:t>
      </w:r>
    </w:p>
    <w:p>
      <w:pPr>
        <w:spacing w:after="80"/>
      </w:pPr>
      <w:r>
        <w:rPr>
          <w:b/>
        </w:rPr>
        <w:t xml:space="preserve">Approval date: </w:t>
      </w:r>
      <w:r>
        <w:t>__________________________________________________________________________</w:t>
      </w:r>
    </w:p>
    <w:p>
      <w:pPr>
        <w:pStyle w:val="Heading1"/>
      </w:pPr>
      <w:r>
        <w:t>11. OpenDataLoader benchmark decision</w:t>
      </w:r>
    </w:p>
    <w:p>
      <w:pPr>
        <w:keepLines/>
        <w:numPr>
          <w:ilvl w:val="0"/>
          <w:numId w:val="10"/>
        </w:numPr>
      </w:pPr>
      <w:r>
        <w:t>Leave opendataloader_benchmark disabled in customer builds.</w:t>
      </w:r>
    </w:p>
    <w:p>
      <w:pPr>
        <w:keepLines/>
        <w:numPr>
          <w:ilvl w:val="0"/>
          <w:numId w:val="10"/>
        </w:numPr>
      </w:pPr>
      <w:r>
        <w:t>Lawfully assemble 200–500 privacy-safe, redacted statement fixtures covering supported formats and known failure modes. Do not use customer files without specific permission.</w:t>
      </w:r>
    </w:p>
    <w:p>
      <w:pPr>
        <w:keepLines/>
        <w:numPr>
          <w:ilvl w:val="0"/>
          <w:numId w:val="10"/>
        </w:numPr>
      </w:pPr>
      <w:r>
        <w:t>Manually label required fields and reconciliation totals. Record source format, parser outcome, manual corrections, runtime, and memory without storing financial identifiers.</w:t>
      </w:r>
    </w:p>
    <w:p>
      <w:pPr>
        <w:keepLines/>
        <w:numPr>
          <w:ilvl w:val="0"/>
          <w:numId w:val="10"/>
        </w:numPr>
      </w:pPr>
      <w:r>
        <w:t>Provide Java 11+ only in the isolated benchmark environment; do not silently add a Java dependency to customer packaging.</w:t>
      </w:r>
    </w:p>
    <w:p>
      <w:pPr>
        <w:keepLines/>
        <w:numPr>
          <w:ilvl w:val="0"/>
          <w:numId w:val="10"/>
        </w:numPr>
      </w:pPr>
      <w:r>
        <w:t>Run the current extractor and OpenDataLoader adapter on the same corpus. The decisive metric is complete reconciliation without manual correction, followed by field accuracy, runtime, memory, packaging size, and failure clarity.</w:t>
      </w:r>
    </w:p>
    <w:p>
      <w:pPr>
        <w:keepLines/>
        <w:numPr>
          <w:ilvl w:val="0"/>
          <w:numId w:val="10"/>
        </w:numPr>
      </w:pPr>
      <w:r>
        <w:t>Ship only if the measured accuracy gain justifies Java packaging and all supported OS installers pass. Otherwise document the decision and retain the current extractor.</w:t>
      </w:r>
    </w:p>
    <w:p>
      <w:pPr>
        <w:keepLines/>
        <w:numPr>
          <w:ilvl w:val="0"/>
          <w:numId w:val="12"/>
        </w:numPr>
      </w:pPr>
      <w:r>
        <w:t>Corpus is lawfully sourced and fully redacted.</w:t>
      </w:r>
    </w:p>
    <w:p>
      <w:pPr>
        <w:keepLines/>
        <w:numPr>
          <w:ilvl w:val="0"/>
          <w:numId w:val="12"/>
        </w:numPr>
      </w:pPr>
      <w:r>
        <w:t>Labels and reconciliation totals are independently reviewed.</w:t>
      </w:r>
    </w:p>
    <w:p>
      <w:pPr>
        <w:keepLines/>
        <w:numPr>
          <w:ilvl w:val="0"/>
          <w:numId w:val="12"/>
        </w:numPr>
      </w:pPr>
      <w:r>
        <w:t>Both extractors run on identical fixtures.</w:t>
      </w:r>
    </w:p>
    <w:p>
      <w:pPr>
        <w:keepLines/>
        <w:numPr>
          <w:ilvl w:val="0"/>
          <w:numId w:val="12"/>
        </w:numPr>
      </w:pPr>
      <w:r>
        <w:t>Ship/no-ship decision and evidence are archived.</w:t>
      </w:r>
    </w:p>
    <w:p>
      <w:pPr>
        <w:spacing w:after="80"/>
      </w:pPr>
      <w:r>
        <w:rPr>
          <w:b/>
        </w:rPr>
        <w:t xml:space="preserve">Corpus owner: </w:t>
      </w:r>
      <w:r>
        <w:t>__________________________________________________________________________</w:t>
      </w:r>
    </w:p>
    <w:p>
      <w:pPr>
        <w:spacing w:after="80"/>
      </w:pPr>
      <w:r>
        <w:rPr>
          <w:b/>
        </w:rPr>
        <w:t xml:space="preserve">Fixture count: </w:t>
      </w:r>
      <w:r>
        <w:t>__________________________________________________________________________</w:t>
      </w:r>
    </w:p>
    <w:p>
      <w:pPr>
        <w:spacing w:after="80"/>
      </w:pPr>
      <w:r>
        <w:rPr>
          <w:b/>
        </w:rPr>
        <w:t xml:space="preserve">Decision: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12. Clean-system packaging and recovery matrix</w:t>
      </w:r>
    </w:p>
    <w:tbl>
      <w:tblPr>
        <w:tblStyle w:val="TableGrid"/>
        <w:tblW w:type="dxa" w:w="9360"/>
        <w:tblLayout w:type="fixed"/>
        <w:tblLook w:firstColumn="1" w:firstRow="1" w:lastColumn="0" w:lastRow="0" w:noHBand="0" w:noVBand="1" w:val="04A0"/>
        <w:tblInd w:w="120" w:type="dxa"/>
      </w:tblPr>
      <w:tblGrid>
        <w:gridCol w:w="1800"/>
        <w:gridCol w:w="750"/>
        <w:gridCol w:w="750"/>
        <w:gridCol w:w="750"/>
        <w:gridCol w:w="1300"/>
        <w:gridCol w:w="850"/>
        <w:gridCol w:w="3160"/>
      </w:tblGrid>
      <w:tr>
        <w:trPr>
          <w:tblHeader w:val="true"/>
        </w:trPr>
        <w:tc>
          <w:tcPr>
            <w:tcW w:type="dxa" w:w="1800"/>
            <w:shd w:fill="E8EEF5"/>
            <w:tcMar>
              <w:top w:w="80" w:type="dxa"/>
              <w:start w:w="120" w:type="dxa"/>
              <w:bottom w:w="80" w:type="dxa"/>
              <w:end w:w="120" w:type="dxa"/>
            </w:tcMar>
            <w:vAlign w:val="center"/>
          </w:tcPr>
          <w:p>
            <w:pPr>
              <w:spacing w:after="0"/>
            </w:pPr>
            <w:r>
              <w:rPr>
                <w:rFonts w:ascii="Calibri" w:hAnsi="Calibri"/>
                <w:b/>
                <w:color w:val="163A5F"/>
                <w:sz w:val="19"/>
              </w:rPr>
              <w:t>Platform</w:t>
            </w:r>
          </w:p>
        </w:tc>
        <w:tc>
          <w:tcPr>
            <w:tcW w:type="dxa" w:w="750"/>
            <w:shd w:fill="E8EEF5"/>
            <w:tcMar>
              <w:top w:w="80" w:type="dxa"/>
              <w:start w:w="120" w:type="dxa"/>
              <w:bottom w:w="80" w:type="dxa"/>
              <w:end w:w="120" w:type="dxa"/>
            </w:tcMar>
            <w:vAlign w:val="center"/>
          </w:tcPr>
          <w:p>
            <w:pPr>
              <w:spacing w:after="0"/>
            </w:pPr>
            <w:r>
              <w:rPr>
                <w:rFonts w:ascii="Calibri" w:hAnsi="Calibri"/>
                <w:b/>
                <w:color w:val="163A5F"/>
                <w:sz w:val="19"/>
              </w:rPr>
              <w:t>Install</w:t>
            </w:r>
          </w:p>
        </w:tc>
        <w:tc>
          <w:tcPr>
            <w:tcW w:type="dxa" w:w="750"/>
            <w:shd w:fill="E8EEF5"/>
            <w:tcMar>
              <w:top w:w="80" w:type="dxa"/>
              <w:start w:w="120" w:type="dxa"/>
              <w:bottom w:w="80" w:type="dxa"/>
              <w:end w:w="120" w:type="dxa"/>
            </w:tcMar>
            <w:vAlign w:val="center"/>
          </w:tcPr>
          <w:p>
            <w:pPr>
              <w:spacing w:after="0"/>
            </w:pPr>
            <w:r>
              <w:rPr>
                <w:rFonts w:ascii="Calibri" w:hAnsi="Calibri"/>
                <w:b/>
                <w:color w:val="163A5F"/>
                <w:sz w:val="19"/>
              </w:rPr>
              <w:t>Upgrade</w:t>
            </w:r>
          </w:p>
        </w:tc>
        <w:tc>
          <w:tcPr>
            <w:tcW w:type="dxa" w:w="750"/>
            <w:shd w:fill="E8EEF5"/>
            <w:tcMar>
              <w:top w:w="80" w:type="dxa"/>
              <w:start w:w="120" w:type="dxa"/>
              <w:bottom w:w="80" w:type="dxa"/>
              <w:end w:w="120" w:type="dxa"/>
            </w:tcMar>
            <w:vAlign w:val="center"/>
          </w:tcPr>
          <w:p>
            <w:pPr>
              <w:spacing w:after="0"/>
            </w:pPr>
            <w:r>
              <w:rPr>
                <w:rFonts w:ascii="Calibri" w:hAnsi="Calibri"/>
                <w:b/>
                <w:color w:val="163A5F"/>
                <w:sz w:val="19"/>
              </w:rPr>
              <w:t>Offline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Data/key preserved</w:t>
            </w:r>
          </w:p>
        </w:tc>
        <w:tc>
          <w:tcPr>
            <w:tcW w:type="dxa" w:w="850"/>
            <w:shd w:fill="E8EEF5"/>
            <w:tcMar>
              <w:top w:w="80" w:type="dxa"/>
              <w:start w:w="120" w:type="dxa"/>
              <w:bottom w:w="80" w:type="dxa"/>
              <w:end w:w="120" w:type="dxa"/>
            </w:tcMar>
            <w:vAlign w:val="center"/>
          </w:tcPr>
          <w:p>
            <w:pPr>
              <w:spacing w:after="0"/>
            </w:pPr>
            <w:r>
              <w:rPr>
                <w:rFonts w:ascii="Calibri" w:hAnsi="Calibri"/>
                <w:b/>
                <w:color w:val="163A5F"/>
                <w:sz w:val="19"/>
              </w:rPr>
              <w:t>Uninstall</w:t>
            </w:r>
          </w:p>
        </w:tc>
        <w:tc>
          <w:tcPr>
            <w:tcW w:type="dxa" w:w="3160"/>
            <w:shd w:fill="E8EEF5"/>
            <w:tcMar>
              <w:top w:w="80" w:type="dxa"/>
              <w:start w:w="120" w:type="dxa"/>
              <w:bottom w:w="80" w:type="dxa"/>
              <w:end w:w="120" w:type="dxa"/>
            </w:tcMar>
            <w:vAlign w:val="center"/>
          </w:tcPr>
          <w:p>
            <w:pPr>
              <w:spacing w:after="0"/>
            </w:pPr>
            <w:r>
              <w:rPr>
                <w:rFonts w:ascii="Calibri" w:hAnsi="Calibri"/>
                <w:b/>
                <w:color w:val="163A5F"/>
                <w:sz w:val="19"/>
              </w:rPr>
              <w:t>Evidence</w:t>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macOS 13+ arm64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316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macOS 13+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316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Windows 10 22H2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316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Windows 11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316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Ubuntu 22.04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316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keepLines/>
        <w:numPr>
          <w:ilvl w:val="0"/>
          <w:numId w:val="10"/>
        </w:numPr>
      </w:pPr>
      <w:r>
        <w:t>Snapshot the clean system, install the signed candidate, set a synthetic PIN, import a redacted fixture, classify one item, create a backup, and record database path and app version.</w:t>
      </w:r>
    </w:p>
    <w:p>
      <w:pPr>
        <w:keepLines/>
        <w:numPr>
          <w:ilvl w:val="0"/>
          <w:numId w:val="10"/>
        </w:numPr>
      </w:pPr>
      <w:r>
        <w:t>Restart online and offline. Confirm localhost binding, no cloud ledger, correct session behavior, encrypted secrets, and deterministic operation without AI.</w:t>
      </w:r>
    </w:p>
    <w:p>
      <w:pPr>
        <w:keepLines/>
        <w:numPr>
          <w:ilvl w:val="0"/>
          <w:numId w:val="10"/>
        </w:numPr>
      </w:pPr>
      <w:r>
        <w:t>If Ollama is absent, confirm GODFIN opens the official installer and never silently installs. Test no-AI mode. On capable hardware, test the recommended signed-registry model path.</w:t>
      </w:r>
    </w:p>
    <w:p>
      <w:pPr>
        <w:keepLines/>
        <w:numPr>
          <w:ilvl w:val="0"/>
          <w:numId w:val="10"/>
        </w:numPr>
      </w:pPr>
      <w:r>
        <w:t>Upgrade from the previous candidate. Confirm SQLite, encryption key, installation ID, license, settings, merchant memory, backup history, and reports remain valid.</w:t>
      </w:r>
    </w:p>
    <w:p>
      <w:pPr>
        <w:keepLines/>
        <w:numPr>
          <w:ilvl w:val="0"/>
          <w:numId w:val="10"/>
        </w:numPr>
      </w:pPr>
      <w:r>
        <w:t>Exercise rollback and restore on a copy. Confirm pre-migration backup and restart-safe additive migrations.</w:t>
      </w:r>
    </w:p>
    <w:p>
      <w:pPr>
        <w:keepLines/>
        <w:numPr>
          <w:ilvl w:val="0"/>
          <w:numId w:val="10"/>
        </w:numPr>
      </w:pPr>
      <w:r>
        <w:t>Uninstall using the platform default. Confirm application data is retained unless the user explicitly chooses deletion; document the manual removal path.</w:t>
      </w:r>
    </w:p>
    <w:p>
      <w:pPr>
        <w:keepLines/>
        <w:numPr>
          <w:ilvl w:val="0"/>
          <w:numId w:val="10"/>
        </w:numPr>
      </w:pPr>
      <w:r>
        <w:t>Record cold start, common navigation p95, 10,000-row filter, 1,000-row import, and idle memory against the committed performance budgets. Reject accepted-baseline regression above 15%.</w:t>
      </w:r>
    </w:p>
    <w:p>
      <w:pPr>
        <w:spacing w:after="80"/>
      </w:pPr>
      <w:r>
        <w:rPr>
          <w:b/>
        </w:rPr>
        <w:t xml:space="preserve">Test coordinator: </w:t>
      </w:r>
      <w:r>
        <w:t>__________________________________________________________________________</w:t>
      </w:r>
    </w:p>
    <w:p>
      <w:pPr>
        <w:spacing w:after="80"/>
      </w:pPr>
      <w:r>
        <w:rPr>
          <w:b/>
        </w:rPr>
        <w:t xml:space="preserve">Candidate version: </w:t>
      </w:r>
      <w:r>
        <w:t>__________________________________________________________________________</w:t>
      </w:r>
    </w:p>
    <w:p>
      <w:pPr>
        <w:spacing w:after="80"/>
      </w:pPr>
      <w:r>
        <w:rPr>
          <w:b/>
        </w:rPr>
        <w:t xml:space="preserve">Evidence folder: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13. Security, privacy, payment, and recovery evidence</w:t>
      </w:r>
    </w:p>
    <w:p>
      <w:pPr>
        <w:keepLines/>
        <w:numPr>
          <w:ilvl w:val="0"/>
          <w:numId w:val="12"/>
        </w:numPr>
      </w:pPr>
      <w:r>
        <w:t>Backend: at least 306 tests pass, including auth/PIN, encryption, migrations, backups, merchant upsert, licenses, classification memory, performance, net worth, behavior insights, and reward-pilot redaction.</w:t>
      </w:r>
    </w:p>
    <w:p>
      <w:pPr>
        <w:keepLines/>
        <w:numPr>
          <w:ilvl w:val="0"/>
          <w:numId w:val="12"/>
        </w:numPr>
      </w:pPr>
      <w:r>
        <w:t>Frontend: lint and production build pass. Production Playwright import/classify/report, navigation budget, mobile PIN touch target, menu names, and tutorial keyboard flows pass.</w:t>
      </w:r>
    </w:p>
    <w:p>
      <w:pPr>
        <w:keepLines/>
        <w:numPr>
          <w:ilvl w:val="0"/>
          <w:numId w:val="12"/>
        </w:numPr>
      </w:pPr>
      <w:r>
        <w:t>Website: entitlement/payment contract verification, production build, security headers, checkout safe-disable behavior, and dependency audit pass.</w:t>
      </w:r>
    </w:p>
    <w:p>
      <w:pPr>
        <w:keepLines/>
        <w:numPr>
          <w:ilvl w:val="0"/>
          <w:numId w:val="12"/>
        </w:numPr>
      </w:pPr>
      <w:r>
        <w:t>Dependencies: Python lock, frontend, website, and desktop shipped dependencies report no known vulnerabilities.</w:t>
      </w:r>
    </w:p>
    <w:p>
      <w:pPr>
        <w:keepLines/>
        <w:numPr>
          <w:ilvl w:val="0"/>
          <w:numId w:val="12"/>
        </w:numPr>
      </w:pPr>
      <w:r>
        <w:t>Secrets: gitleaks scans the complete cleaned history; no real statements, databases, tokens, keys, or customer screenshots are tracked.</w:t>
      </w:r>
    </w:p>
    <w:p>
      <w:pPr>
        <w:keepLines/>
        <w:numPr>
          <w:ilvl w:val="0"/>
          <w:numId w:val="12"/>
        </w:numPr>
      </w:pPr>
      <w:r>
        <w:t>Recovery: empty database bootstrap, schema-revision backup, retained daily/weekly backups, restore-on-copy, upgrade, rollback, and license offline-grace tests pass.</w:t>
      </w:r>
    </w:p>
    <w:p>
      <w:pPr>
        <w:keepLines/>
        <w:numPr>
          <w:ilvl w:val="0"/>
          <w:numId w:val="12"/>
        </w:numPr>
      </w:pPr>
      <w:r>
        <w:t>Payment: test-mode replay, amount/currency mismatch, invalid signature, unauthenticated checkout, device limit, deactivation, and resend behavior pass after provider credentials are available.</w:t>
      </w:r>
    </w:p>
    <w:p>
      <w:pPr>
        <w:keepLines/>
        <w:numPr>
          <w:ilvl w:val="0"/>
          <w:numId w:val="12"/>
        </w:numPr>
      </w:pPr>
      <w:r>
        <w:t>Privacy: app data remains local; sponsor card is static/non-personalized; behavior insights are never used for consequential decisions; pilot remains off unless separately approved.</w:t>
      </w:r>
    </w:p>
    <w:p>
      <w:pPr>
        <w:spacing w:before="100" w:after="160" w:line="288" w:lineRule="auto"/>
        <w:ind w:left="115" w:right="115"/>
        <w:shd w:fill="FFF4D8"/>
        <w:pBdr>
          <w:left w:val="single" w:sz="18" w:space="8" w:color="7A5A00"/>
        </w:pBdr>
      </w:pPr>
      <w:r>
        <w:rPr>
          <w:rFonts w:ascii="Calibri" w:hAnsi="Calibri"/>
          <w:b/>
          <w:color w:val="7A5A00"/>
          <w:sz w:val="21"/>
        </w:rPr>
        <w:t xml:space="preserve">CI RELEASE GATE  </w:t>
      </w:r>
      <w:r>
        <w:rPr>
          <w:rFonts w:ascii="Calibri" w:hAnsi="Calibri"/>
          <w:color w:val="172033"/>
          <w:sz w:val="21"/>
        </w:rPr>
        <w:t>Do not tag a candidate until the CI run for the exact commit is green. A local pass is necessary but not sufficient.</w:t>
      </w:r>
    </w:p>
    <w:p>
      <w:pPr>
        <w:spacing w:after="80"/>
      </w:pPr>
      <w:r>
        <w:rPr>
          <w:b/>
        </w:rPr>
        <w:t xml:space="preserve">Release commit: </w:t>
      </w:r>
      <w:r>
        <w:t>__________________________________________________________________________</w:t>
      </w:r>
    </w:p>
    <w:p>
      <w:pPr>
        <w:spacing w:after="80"/>
      </w:pPr>
      <w:r>
        <w:rPr>
          <w:b/>
        </w:rPr>
        <w:t xml:space="preserve">CI run URL: </w:t>
      </w:r>
      <w:r>
        <w:t>__________________________________________________________________________</w:t>
      </w:r>
    </w:p>
    <w:p>
      <w:pPr>
        <w:spacing w:after="80"/>
      </w:pPr>
      <w:r>
        <w:rPr>
          <w:b/>
        </w:rPr>
        <w:t xml:space="preserve">Security scan evidence: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14. Prepare the private draft release</w:t>
      </w:r>
    </w:p>
    <w:p>
      <w:pPr>
        <w:keepLines/>
        <w:numPr>
          <w:ilvl w:val="0"/>
          <w:numId w:val="10"/>
        </w:numPr>
      </w:pPr>
      <w:r>
        <w:t>Choose an internal release-candidate version such as v0.1.0-rc.1. Confirm desktop/package.json and website version variables agree before tagging.</w:t>
      </w:r>
    </w:p>
    <w:p>
      <w:pPr>
        <w:keepLines/>
        <w:numPr>
          <w:ilvl w:val="0"/>
          <w:numId w:val="10"/>
        </w:numPr>
      </w:pPr>
      <w:r>
        <w:t>Push the exact candidate commit to the private repository and wait for every CI job to pass.</w:t>
      </w:r>
    </w:p>
    <w:p>
      <w:pPr>
        <w:keepLines/>
        <w:numPr>
          <w:ilvl w:val="0"/>
          <w:numId w:val="10"/>
        </w:numPr>
      </w:pPr>
      <w:r>
        <w:t>Confirm all required Apple, Windows, and R2 secrets exist in GitHub Actions without revealing values.</w:t>
      </w:r>
    </w:p>
    <w:p>
      <w:pPr>
        <w:keepLines/>
        <w:numPr>
          <w:ilvl w:val="0"/>
          <w:numId w:val="10"/>
        </w:numPr>
      </w:pPr>
      <w:r>
        <w:t>Create and push the annotated tag. The release workflow builds native macOS arm64/x64, Windows x64, and Linux x64 artifacts; verifies packages; generates Homebrew metadata and SHA-256 checksums; and creates a private draft GitHub Release.</w:t>
      </w:r>
    </w:p>
    <w:p>
      <w:pPr>
        <w:keepLines/>
        <w:numPr>
          <w:ilvl w:val="0"/>
          <w:numId w:val="10"/>
        </w:numPr>
      </w:pPr>
      <w:r>
        <w:t>Review the draft only. Do not publish it. Download every artifact, verify checksums/signatures, and complete Section 12.</w:t>
      </w:r>
    </w:p>
    <w:p>
      <w:pPr>
        <w:keepLines/>
        <w:numPr>
          <w:ilvl w:val="0"/>
          <w:numId w:val="10"/>
        </w:numPr>
      </w:pPr>
      <w:r>
        <w:t>Attach the final privacy-safe screenshots and private demo to internal review, not to a public release, until the owner approves.</w:t>
      </w:r>
    </w:p>
    <w:p>
      <w:pPr>
        <w:keepLines/>
        <w:numPr>
          <w:ilvl w:val="0"/>
          <w:numId w:val="10"/>
        </w:numPr>
      </w:pPr>
      <w:r>
        <w:t>Record known limitations honestly: HDFC launch parser scope where applicable, live-market provider coverage, no recurring AI allowance, optional local/BYO AI, and external-service dependencies.</w:t>
      </w:r>
    </w:p>
    <w:p>
      <w:pPr>
        <w:keepLines/>
        <w:numPr>
          <w:ilvl w:val="0"/>
          <w:numId w:val="12"/>
        </w:numPr>
      </w:pPr>
      <w:r>
        <w:t>Private draft release exists and is not published.</w:t>
      </w:r>
    </w:p>
    <w:p>
      <w:pPr>
        <w:keepLines/>
        <w:numPr>
          <w:ilvl w:val="0"/>
          <w:numId w:val="12"/>
        </w:numPr>
      </w:pPr>
      <w:r>
        <w:t>Every expected OS/architecture artifact and update manifest exists.</w:t>
      </w:r>
    </w:p>
    <w:p>
      <w:pPr>
        <w:keepLines/>
        <w:numPr>
          <w:ilvl w:val="0"/>
          <w:numId w:val="12"/>
        </w:numPr>
      </w:pPr>
      <w:r>
        <w:t>Checksums, signatures, notarization, fuses, and clean-system evidence pass.</w:t>
      </w:r>
    </w:p>
    <w:p>
      <w:pPr>
        <w:keepLines/>
        <w:numPr>
          <w:ilvl w:val="0"/>
          <w:numId w:val="12"/>
        </w:numPr>
      </w:pPr>
      <w:r>
        <w:t>Release notes match the shared entitlement manifest.</w:t>
      </w:r>
    </w:p>
    <w:p>
      <w:pPr>
        <w:keepLines/>
        <w:numPr>
          <w:ilvl w:val="0"/>
          <w:numId w:val="12"/>
        </w:numPr>
      </w:pPr>
      <w:r>
        <w:t>No public updater promotion has run.</w:t>
      </w:r>
    </w:p>
    <w:p>
      <w:pPr>
        <w:spacing w:after="80"/>
      </w:pPr>
      <w:r>
        <w:rPr>
          <w:b/>
        </w:rPr>
        <w:t xml:space="preserve">Candidate tag: </w:t>
      </w:r>
      <w:r>
        <w:t>__________________________________________________________________________</w:t>
      </w:r>
    </w:p>
    <w:p>
      <w:pPr>
        <w:spacing w:after="80"/>
      </w:pPr>
      <w:r>
        <w:rPr>
          <w:b/>
        </w:rPr>
        <w:t xml:space="preserve">Draft release URL: </w:t>
      </w:r>
      <w:r>
        <w:t>__________________________________________________________________________</w:t>
      </w:r>
    </w:p>
    <w:p>
      <w:pPr>
        <w:spacing w:after="80"/>
      </w:pPr>
      <w:r>
        <w:rPr>
          <w:b/>
        </w:rPr>
        <w:t xml:space="preserve">Release reviewer: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15. Final website and support acceptance</w:t>
      </w:r>
    </w:p>
    <w:p>
      <w:pPr>
        <w:keepLines/>
        <w:numPr>
          <w:ilvl w:val="0"/>
          <w:numId w:val="10"/>
        </w:numPr>
      </w:pPr>
      <w:r>
        <w:t>Verify all advertised features are marked released in shared/entitlements.json and pass app acceptance tests. Hide anything unreleased.</w:t>
      </w:r>
    </w:p>
    <w:p>
      <w:pPr>
        <w:keepLines/>
        <w:numPr>
          <w:ilvl w:val="0"/>
          <w:numId w:val="10"/>
        </w:numPr>
      </w:pPr>
      <w:r>
        <w:t>Review the final real screenshots captured from synthetic data. Confirm there are no real names, account numbers, emails, amounts from a real person, or provider keys.</w:t>
      </w:r>
    </w:p>
    <w:p>
      <w:pPr>
        <w:keepLines/>
        <w:numPr>
          <w:ilvl w:val="0"/>
          <w:numId w:val="10"/>
        </w:numPr>
      </w:pPr>
      <w:r>
        <w:t>Play the private demo end-to-end. Verify it reflects the signed candidate and does not expose local paths, notifications, credentials, or personal data.</w:t>
      </w:r>
    </w:p>
    <w:p>
      <w:pPr>
        <w:keepLines/>
        <w:numPr>
          <w:ilvl w:val="0"/>
          <w:numId w:val="10"/>
        </w:numPr>
      </w:pPr>
      <w:r>
        <w:t>Complete Google sign-in, double-opt-in waitlist, test/live checkout, license email, account activations, device deactivation, and download links on the canonical domain.</w:t>
      </w:r>
    </w:p>
    <w:p>
      <w:pPr>
        <w:keepLines/>
        <w:numPr>
          <w:ilvl w:val="0"/>
          <w:numId w:val="10"/>
        </w:numPr>
      </w:pPr>
      <w:r>
        <w:t>Ensure Pro ₹4,999 and Max ₹9,999 are lifetime licenses with zero hosted credits; local AI and BYO keys consume no GODFIN credits; hosted packs are separate one-time purchases.</w:t>
      </w:r>
    </w:p>
    <w:p>
      <w:pPr>
        <w:keepLines/>
        <w:numPr>
          <w:ilvl w:val="0"/>
          <w:numId w:val="10"/>
        </w:numPr>
      </w:pPr>
      <w:r>
        <w:t>Review privacy, terms, refund, lifetime definition, device limit, offline grace, supported OS/banks, market-data caveats, and support contacts with qualified Indian legal/tax advisers.</w:t>
      </w:r>
    </w:p>
    <w:p>
      <w:pPr>
        <w:keepLines/>
        <w:numPr>
          <w:ilvl w:val="0"/>
          <w:numId w:val="10"/>
        </w:numPr>
      </w:pPr>
      <w:r>
        <w:t>Assign launch-day monitoring for checkout failures, webhook retries, email delivery, downloads, license activation, support, refunds, security reports, and rollback.</w:t>
      </w:r>
    </w:p>
    <w:p>
      <w:pPr>
        <w:keepLines/>
        <w:numPr>
          <w:ilvl w:val="0"/>
          <w:numId w:val="12"/>
        </w:numPr>
      </w:pPr>
      <w:r>
        <w:t>Website production paths and security headers pass.</w:t>
      </w:r>
    </w:p>
    <w:p>
      <w:pPr>
        <w:keepLines/>
        <w:numPr>
          <w:ilvl w:val="0"/>
          <w:numId w:val="12"/>
        </w:numPr>
      </w:pPr>
      <w:r>
        <w:t>All sold features are implemented and released.</w:t>
      </w:r>
    </w:p>
    <w:p>
      <w:pPr>
        <w:keepLines/>
        <w:numPr>
          <w:ilvl w:val="0"/>
          <w:numId w:val="12"/>
        </w:numPr>
      </w:pPr>
      <w:r>
        <w:t>Support and privacy mailboxes are staffed.</w:t>
      </w:r>
    </w:p>
    <w:p>
      <w:pPr>
        <w:keepLines/>
        <w:numPr>
          <w:ilvl w:val="0"/>
          <w:numId w:val="12"/>
        </w:numPr>
      </w:pPr>
      <w:r>
        <w:t>Legal/tax/privacy approvals are archived.</w:t>
      </w:r>
    </w:p>
    <w:p>
      <w:pPr>
        <w:keepLines/>
        <w:numPr>
          <w:ilvl w:val="0"/>
          <w:numId w:val="12"/>
        </w:numPr>
      </w:pPr>
      <w:r>
        <w:t>Signed downloads and account/device controls work.</w:t>
      </w:r>
    </w:p>
    <w:p>
      <w:pPr>
        <w:keepLines/>
        <w:numPr>
          <w:ilvl w:val="0"/>
          <w:numId w:val="12"/>
        </w:numPr>
      </w:pPr>
      <w:r>
        <w:t>Screenshots and demo match the final candidate.</w:t>
      </w:r>
    </w:p>
    <w:p>
      <w:pPr>
        <w:pStyle w:val="Heading1"/>
      </w:pPr>
      <w:r>
        <w:t>16. Explicit public-launch gate</w:t>
      </w:r>
    </w:p>
    <w:p>
      <w:pPr>
        <w:spacing w:before="100" w:after="160" w:line="288" w:lineRule="auto"/>
        <w:ind w:left="115" w:right="115"/>
        <w:shd w:fill="FDECEC"/>
        <w:pBdr>
          <w:left w:val="single" w:sz="18" w:space="8" w:color="9B1C1C"/>
        </w:pBdr>
      </w:pPr>
      <w:r>
        <w:rPr>
          <w:rFonts w:ascii="Calibri" w:hAnsi="Calibri"/>
          <w:b/>
          <w:color w:val="9B1C1C"/>
          <w:sz w:val="21"/>
        </w:rPr>
        <w:t xml:space="preserve">NO IMPLIED AUTHORIZATION  </w:t>
      </w:r>
      <w:r>
        <w:rPr>
          <w:rFonts w:ascii="Calibri" w:hAnsi="Calibri"/>
          <w:color w:val="172033"/>
          <w:sz w:val="21"/>
        </w:rPr>
        <w:t>A green build, deployed website, signed installer, draft release, completed runbook, or successful payment test does not authorize a public launch. Public release and Phase 6 require explicit written owner authorization.</w:t>
      </w:r>
    </w:p>
    <w:tbl>
      <w:tblPr>
        <w:tblStyle w:val="TableGrid"/>
        <w:tblW w:type="dxa" w:w="9360"/>
        <w:tblLayout w:type="fixed"/>
        <w:tblLook w:firstColumn="1" w:firstRow="1" w:lastColumn="0" w:lastRow="0" w:noHBand="0" w:noVBand="1" w:val="04A0"/>
        <w:tblInd w:w="120" w:type="dxa"/>
      </w:tblPr>
      <w:tblGrid>
        <w:gridCol w:w="3500"/>
        <w:gridCol w:w="1450"/>
        <w:gridCol w:w="900"/>
        <w:gridCol w:w="3510"/>
      </w:tblGrid>
      <w:tr>
        <w:trPr>
          <w:tblHeader w:val="true"/>
        </w:trPr>
        <w:tc>
          <w:tcPr>
            <w:tcW w:type="dxa" w:w="3500"/>
            <w:shd w:fill="E8EEF5"/>
            <w:tcMar>
              <w:top w:w="80" w:type="dxa"/>
              <w:start w:w="120" w:type="dxa"/>
              <w:bottom w:w="80" w:type="dxa"/>
              <w:end w:w="120" w:type="dxa"/>
            </w:tcMar>
            <w:vAlign w:val="center"/>
          </w:tcPr>
          <w:p>
            <w:pPr>
              <w:spacing w:after="0"/>
            </w:pPr>
            <w:r>
              <w:rPr>
                <w:rFonts w:ascii="Calibri" w:hAnsi="Calibri"/>
                <w:b/>
                <w:color w:val="163A5F"/>
                <w:sz w:val="19"/>
              </w:rPr>
              <w:t>Gate</w:t>
            </w:r>
          </w:p>
        </w:tc>
        <w:tc>
          <w:tcPr>
            <w:tcW w:type="dxa" w:w="1450"/>
            <w:shd w:fill="E8EEF5"/>
            <w:tcMar>
              <w:top w:w="80" w:type="dxa"/>
              <w:start w:w="120" w:type="dxa"/>
              <w:bottom w:w="80" w:type="dxa"/>
              <w:end w:w="120" w:type="dxa"/>
            </w:tcMar>
            <w:vAlign w:val="center"/>
          </w:tcPr>
          <w:p>
            <w:pPr>
              <w:spacing w:after="0"/>
            </w:pPr>
            <w:r>
              <w:rPr>
                <w:rFonts w:ascii="Calibri" w:hAnsi="Calibri"/>
                <w:b/>
                <w:color w:val="163A5F"/>
                <w:sz w:val="19"/>
              </w:rPr>
              <w:t>Owner</w:t>
            </w:r>
          </w:p>
        </w:tc>
        <w:tc>
          <w:tcPr>
            <w:tcW w:type="dxa" w:w="900"/>
            <w:shd w:fill="E8EEF5"/>
            <w:tcMar>
              <w:top w:w="80" w:type="dxa"/>
              <w:start w:w="120" w:type="dxa"/>
              <w:bottom w:w="80" w:type="dxa"/>
              <w:end w:w="120" w:type="dxa"/>
            </w:tcMar>
            <w:vAlign w:val="center"/>
          </w:tcPr>
          <w:p>
            <w:pPr>
              <w:spacing w:after="0"/>
            </w:pPr>
            <w:r>
              <w:rPr>
                <w:rFonts w:ascii="Calibri" w:hAnsi="Calibri"/>
                <w:b/>
                <w:color w:val="163A5F"/>
                <w:sz w:val="19"/>
              </w:rPr>
              <w:t>Complete</w:t>
            </w:r>
          </w:p>
        </w:tc>
        <w:tc>
          <w:tcPr>
            <w:tcW w:type="dxa" w:w="3510"/>
            <w:shd w:fill="E8EEF5"/>
            <w:tcMar>
              <w:top w:w="80" w:type="dxa"/>
              <w:start w:w="120" w:type="dxa"/>
              <w:bottom w:w="80" w:type="dxa"/>
              <w:end w:w="120" w:type="dxa"/>
            </w:tcMar>
            <w:vAlign w:val="center"/>
          </w:tcPr>
          <w:p>
            <w:pPr>
              <w:spacing w:after="0"/>
            </w:pPr>
            <w:r>
              <w:rPr>
                <w:rFonts w:ascii="Calibri" w:hAnsi="Calibri"/>
                <w:b/>
                <w:color w:val="163A5F"/>
                <w:sz w:val="19"/>
              </w:rPr>
              <w:t>Evidence / approval reference</w:t>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Google OAuth + account isolation</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Stripe + webhook + refund/tax</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Resend + DNS + support inboxes</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Custom domain + security headers</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License custody + three devices</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macOS/Windows signing</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R2 updates + rollback</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Clean-system matrix</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Security/privacy/recovery matrix</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Legal/tax/privacy review</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Private draft + screenshots + demo</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Final public-launch authorization</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spacing w:after="80"/>
      </w:pPr>
      <w:r>
        <w:rPr>
          <w:b/>
        </w:rPr>
        <w:t xml:space="preserve">Authorized release version: </w:t>
      </w:r>
      <w:r>
        <w:t>__________________________________________________________________________</w:t>
      </w:r>
    </w:p>
    <w:p>
      <w:pPr>
        <w:spacing w:after="80"/>
      </w:pPr>
      <w:r>
        <w:rPr>
          <w:b/>
        </w:rPr>
        <w:t xml:space="preserve">Authorized canonical website: </w:t>
      </w:r>
      <w:r>
        <w:t>__________________________________________________________________________</w:t>
      </w:r>
    </w:p>
    <w:p>
      <w:pPr>
        <w:spacing w:after="80"/>
      </w:pPr>
      <w:r>
        <w:rPr>
          <w:b/>
        </w:rPr>
        <w:t xml:space="preserve">Authorized public release date/time: </w:t>
      </w:r>
      <w:r>
        <w:t>__________________________________________________________________________</w:t>
      </w:r>
    </w:p>
    <w:p>
      <w:pPr>
        <w:spacing w:after="80"/>
      </w:pPr>
      <w:r>
        <w:rPr>
          <w:b/>
        </w:rPr>
        <w:t xml:space="preserve">Owner’s written authorization reference: </w:t>
      </w:r>
      <w:r>
        <w:t>__________________________________________________________________________</w:t>
      </w:r>
    </w:p>
    <w:p>
      <w:pPr>
        <w:spacing w:after="80"/>
      </w:pPr>
      <w:r>
        <w:rPr>
          <w:b/>
        </w:rPr>
        <w:t xml:space="preserve">Owner signature: </w:t>
      </w:r>
      <w:r>
        <w:t>__________________________________________________________________________</w:t>
      </w:r>
    </w:p>
    <w:p>
      <w:pPr>
        <w:spacing w:after="80"/>
      </w:pPr>
      <w:r>
        <w:rPr>
          <w:b/>
        </w:rPr>
        <w:t xml:space="preserve">Date: </w:t>
      </w:r>
      <w:r>
        <w:t>__________________________________________________________________________</w:t>
      </w:r>
    </w:p>
    <w:p>
      <w:pPr>
        <w:spacing w:before="400"/>
        <w:jc w:val="center"/>
      </w:pPr>
      <w:r>
        <w:rPr>
          <w:rFonts w:ascii="Calibri" w:hAnsi="Calibri"/>
          <w:b/>
          <w:color w:val="9B1C1C"/>
          <w:sz w:val="22"/>
        </w:rPr>
        <w:t>Only after this gate is signed may the team publish the GitHub Release, promote the update feed, enable production checkout, announce the product publicly, or begin Phase 6 growth work.</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667085"/>
        <w:sz w:val="18"/>
      </w:rPr>
      <w:t xml:space="preserve">Private &amp; confidential  •  Page </w:t>
    </w:r>
    <w:r>
      <w:rPr>
        <w:rFonts w:ascii="Calibri" w:hAnsi="Calibri"/>
        <w:color w:val="667085"/>
        <w:sz w:val="18"/>
      </w:rPr>
      <w:fldChar w:fldCharType="begin"/>
      <w:instrText xml:space="preserve">PAGE</w:instrText>
      <w:fldChar w:fldCharType="separate"/>
      <w:t>1</w:t>
      <w:fldChar w:fldCharType="end"/>
    </w:r>
    <w:r>
      <w:rPr>
        <w:rFonts w:ascii="Calibri" w:hAnsi="Calibri"/>
        <w:color w:val="667085"/>
        <w:sz w:val="18"/>
      </w:rPr>
      <w:t xml:space="preserve"> of </w:t>
    </w:r>
    <w:r>
      <w:rPr>
        <w:rFonts w:ascii="Calibri" w:hAnsi="Calibri"/>
        <w:color w:val="667085"/>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7"/>
      </w:rPr>
      <w:t>GODFIN  /  PRIVATE OWNER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540"/>
        </w:tabs>
        <w:ind w:left="540" w:hanging="270"/>
        <w:spacing w:after="80" w:line="300" w:lineRule="auto"/>
      </w:pPr>
    </w:lvl>
  </w:abstractNum>
  <w:num w:numId="10">
    <w:abstractNumId w:val="9"/>
  </w:num>
  <w:abstractNum w:abstractNumId="10">
    <w:multiLevelType w:val="singleLevel"/>
    <w:lvl w:ilvl="0">
      <w:start w:val="1"/>
      <w:numFmt w:val="bullet"/>
      <w:lvlText w:val="•"/>
      <w:lvlJc w:val="left"/>
      <w:pPr>
        <w:tabs>
          <w:tab w:val="num" w:pos="540"/>
        </w:tabs>
        <w:ind w:left="540" w:hanging="270"/>
        <w:spacing w:after="80" w:line="300" w:lineRule="auto"/>
      </w:pPr>
      <w:rPr>
        <w:rFonts w:ascii="Segoe UI Symbol" w:hAnsi="Segoe UI Symbol"/>
      </w:rPr>
    </w:lvl>
  </w:abstractNum>
  <w:num w:numId="11">
    <w:abstractNumId w:val="10"/>
  </w:num>
  <w:abstractNum w:abstractNumId="11">
    <w:multiLevelType w:val="singleLevel"/>
    <w:lvl w:ilvl="0">
      <w:start w:val="1"/>
      <w:numFmt w:val="bullet"/>
      <w:lvlText w:val="☐"/>
      <w:lvlJc w:val="left"/>
      <w:pPr>
        <w:tabs>
          <w:tab w:val="num" w:pos="540"/>
        </w:tabs>
        <w:ind w:left="540" w:hanging="270"/>
        <w:spacing w:after="80" w:line="300" w:lineRule="auto"/>
      </w:pPr>
      <w:rPr>
        <w:rFonts w:ascii="Segoe UI Symbol" w:hAnsi="Segoe UI Symbol"/>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7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unbookCaption">
    <w:name w:val="Runbook Caption"/>
    <w:pPr>
      <w:spacing w:before="80" w:after="80" w:line="276" w:lineRule="auto"/>
    </w:pPr>
    <w:rPr>
      <w:rFonts w:ascii="Calibri" w:hAnsi="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pabase.com/docs/guides/auth/social-login/auth-google" TargetMode="External"/><Relationship Id="rId12" Type="http://schemas.openxmlformats.org/officeDocument/2006/relationships/hyperlink" Target="https://docs.stripe.com/india" TargetMode="External"/><Relationship Id="rId13" Type="http://schemas.openxmlformats.org/officeDocument/2006/relationships/hyperlink" Target="https://docs.stripe.com/webhooks/signature" TargetMode="External"/><Relationship Id="rId14" Type="http://schemas.openxmlformats.org/officeDocument/2006/relationships/hyperlink" Target="https://resend.com/docs/dashboard/domains/introduction" TargetMode="External"/><Relationship Id="rId15" Type="http://schemas.openxmlformats.org/officeDocument/2006/relationships/hyperlink" Target="https://twelvedata.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GODFIN Owner Completion Runbook</dc:title>
  <dc:subject>Private launch readiness and owner-controlled completion gates</dc:subject>
  <dc:creator/>
  <cp:keywords>GODFIN, private launch, owner runbook, signing, payments, privacy</cp:keywords>
  <dc:description>generated by python-docx</dc:description>
  <cp:lastModifiedBy/>
  <cp:revision>1</cp:revision>
  <dcterms:created xsi:type="dcterms:W3CDTF">2013-12-23T23:15:00Z</dcterms:created>
  <dcterms:modified xsi:type="dcterms:W3CDTF">2013-12-23T23:15:00Z</dcterms:modified>
  <cp:category/>
</cp:coreProperties>
</file>