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280"/>
        <w:jc w:val="center"/>
      </w:pPr>
      <w:r>
        <w:rPr>
          <w:rFonts w:ascii="Calibri" w:hAnsi="Calibri"/>
          <w:b/>
          <w:color w:val="2E74B5"/>
          <w:sz w:val="20"/>
        </w:rPr>
        <w:t>PRIVATE LAUNCH OPERATIONS</w:t>
      </w:r>
    </w:p>
    <w:p>
      <w:pPr>
        <w:spacing w:after="200"/>
        <w:jc w:val="center"/>
      </w:pPr>
      <w:r>
        <w:rPr>
          <w:rFonts w:ascii="Calibri" w:hAnsi="Calibri"/>
          <w:b/>
          <w:color w:val="163A5F"/>
          <w:sz w:val="56"/>
        </w:rPr>
        <w:t>GODFIN Owner</w:t>
        <w:br/>
        <w:t>Completion Runbook</w:t>
      </w:r>
    </w:p>
    <w:p>
      <w:pPr>
        <w:spacing w:after="480"/>
        <w:jc w:val="center"/>
      </w:pPr>
      <w:r>
        <w:rPr>
          <w:rFonts w:ascii="Calibri" w:hAnsi="Calibri"/>
          <w:color w:val="1F4D78"/>
          <w:sz w:val="26"/>
        </w:rPr>
        <w:t>Owner-controlled credentials, signing, compliance, validation, and launch gates</w:t>
      </w:r>
    </w:p>
    <w:p>
      <w:pPr>
        <w:spacing w:after="840"/>
        <w:jc w:val="center"/>
      </w:pPr>
      <w:r>
        <w:rPr>
          <w:rFonts w:ascii="Calibri" w:hAnsi="Calibri"/>
          <w:color w:val="667085"/>
          <w:sz w:val="20"/>
        </w:rPr>
        <w:t>Version 2.4  •  16 August 2026  •  oculusrex14/GODFIN (private)</w:t>
        <w:br/>
        <w:t>Production branch: codex/godfin-production-v5</w:t>
      </w:r>
    </w:p>
    <w:p>
      <w:pPr>
        <w:spacing w:before="100" w:after="160" w:line="288" w:lineRule="auto"/>
        <w:ind w:left="115" w:right="115"/>
        <w:shd w:fill="FDECEC"/>
        <w:pBdr>
          <w:left w:val="single" w:sz="18" w:space="8" w:color="9B1C1C"/>
        </w:pBdr>
      </w:pPr>
      <w:r>
        <w:rPr>
          <w:rFonts w:ascii="Calibri" w:hAnsi="Calibri"/>
          <w:b/>
          <w:color w:val="9B1C1C"/>
          <w:sz w:val="21"/>
        </w:rPr>
        <w:t xml:space="preserve">NON-NEGOTIABLE  </w:t>
      </w:r>
      <w:r>
        <w:rPr>
          <w:rFonts w:ascii="Calibri" w:hAnsi="Calibri"/>
          <w:color w:val="172033"/>
          <w:sz w:val="21"/>
        </w:rPr>
        <w:t>Never paste secrets, OAuth credentials, signing certificates, real statements, local databases, PINs, license keys, payout identities, or customer financial data into this document, source control, chat, tickets, or email.</w:t>
      </w:r>
    </w:p>
    <w:p>
      <w:pPr>
        <w:spacing w:before="400"/>
        <w:jc w:val="center"/>
      </w:pPr>
      <w:r>
        <w:rPr>
          <w:rFonts w:ascii="Calibri" w:hAnsi="Calibri"/>
          <w:color w:val="172033"/>
          <w:sz w:val="21"/>
        </w:rPr>
        <w:t>Owner: ______________________________    Target date: __________________</w:t>
      </w:r>
    </w:p>
    <w:p>
      <w:r>
        <w:br w:type="page"/>
      </w:r>
    </w:p>
    <w:p>
      <w:pPr>
        <w:pStyle w:val="Heading1"/>
      </w:pPr>
      <w:r>
        <w:t>How to use this runbook</w:t>
      </w:r>
    </w:p>
    <w:p>
      <w:pPr>
        <w:keepLines/>
        <w:numPr>
          <w:ilvl w:val="0"/>
          <w:numId w:val="10"/>
        </w:numPr>
      </w:pPr>
      <w:r>
        <w:t>Complete sections in order. Each section ends with evidence that can be checked without revealing a secret.</w:t>
      </w:r>
    </w:p>
    <w:p>
      <w:pPr>
        <w:keepLines/>
        <w:numPr>
          <w:ilvl w:val="0"/>
          <w:numId w:val="10"/>
        </w:numPr>
      </w:pPr>
      <w:r>
        <w:t>Use provider dashboards in your own browser. Store every secret only in the provider’s encrypted environment, GitHub Actions secret store, and your business password vault.</w:t>
      </w:r>
    </w:p>
    <w:p>
      <w:pPr>
        <w:keepLines/>
        <w:numPr>
          <w:ilvl w:val="0"/>
          <w:numId w:val="10"/>
        </w:numPr>
      </w:pPr>
      <w:r>
        <w:t>Keep the desktop backend local. Supabase, Vercel, Stripe, Resend, and R2 are website, licensing, email, and distribution services only; they must never become the application database.</w:t>
      </w:r>
    </w:p>
    <w:p>
      <w:pPr>
        <w:keepLines/>
        <w:numPr>
          <w:ilvl w:val="0"/>
          <w:numId w:val="10"/>
        </w:numPr>
      </w:pPr>
      <w:r>
        <w:t>Do not enable checkout, the reward pilot, update-feed promotion, or public launch content until the matching sign-off gate is complete.</w:t>
      </w:r>
    </w:p>
    <w:p>
      <w:pPr>
        <w:keepLines/>
        <w:numPr>
          <w:ilvl w:val="0"/>
          <w:numId w:val="10"/>
        </w:numPr>
      </w:pPr>
      <w:r>
        <w:t>When a step says “ask Codex to verify,” provide only the non-secret project name, public URL, or workflow run URL—not the credential value.</w:t>
      </w:r>
    </w:p>
    <w:p>
      <w:r>
        <w:br w:type="page"/>
      </w:r>
    </w:p>
    <w:p>
      <w:pPr>
        <w:pStyle w:val="Heading1"/>
      </w:pPr>
      <w:r>
        <w:t>Current verified state</w:t>
      </w:r>
    </w:p>
    <w:p>
      <w:pPr>
        <w:spacing w:before="100" w:after="160" w:line="288" w:lineRule="auto"/>
        <w:ind w:left="115" w:right="115"/>
        <w:shd w:fill="EAF7EF"/>
        <w:pBdr>
          <w:left w:val="single" w:sz="18" w:space="8" w:color="17663A"/>
        </w:pBdr>
      </w:pPr>
      <w:r>
        <w:rPr>
          <w:rFonts w:ascii="Calibri" w:hAnsi="Calibri"/>
          <w:b/>
          <w:color w:val="17663A"/>
          <w:sz w:val="21"/>
        </w:rPr>
        <w:t xml:space="preserve">ENGINEERING BASELINE  </w:t>
      </w:r>
      <w:r>
        <w:rPr>
          <w:rFonts w:ascii="Calibri" w:hAnsi="Calibri"/>
          <w:color w:val="172033"/>
          <w:sz w:val="21"/>
        </w:rPr>
        <w:t>Production remediation is tracked on the private v5 branch. The clean Python 3.12 baseline is 876 passing backend tests. All 182 API operations publish an explicit success or intentional terminal status, a non-empty media-specific success schema, and the shared error contract. Frontend lint, accessibility, authentication, and production builds pass; website contract and production builds pass; desktop release/update tests pass 12/12; and package privacy checks pass 7/7.</w:t>
      </w:r>
    </w:p>
    <w:p>
      <w:pPr>
        <w:keepLines/>
        <w:numPr>
          <w:ilvl w:val="0"/>
          <w:numId w:val="11"/>
        </w:numPr>
      </w:pPr>
      <w:r>
        <w:t>Private repository: https://github.com/oculusrex14/GODFIN</w:t>
      </w:r>
    </w:p>
    <w:p>
      <w:pPr>
        <w:keepLines/>
        <w:numPr>
          <w:ilvl w:val="0"/>
          <w:numId w:val="11"/>
        </w:numPr>
      </w:pPr>
      <w:r>
        <w:t>Production website: https://godfin.vercel.app</w:t>
      </w:r>
    </w:p>
    <w:p>
      <w:pPr>
        <w:keepLines/>
        <w:numPr>
          <w:ilvl w:val="0"/>
          <w:numId w:val="11"/>
        </w:numPr>
      </w:pPr>
      <w:r>
        <w:t>Supabase project: GODFIN (ap-south-1); migrations 0001–0003 match local history. Migration 0003 adds the non-revenue owner_test license kind without weakening normal three-device enforcement.</w:t>
      </w:r>
    </w:p>
    <w:p>
      <w:pPr>
        <w:keepLines/>
        <w:numPr>
          <w:ilvl w:val="0"/>
          <w:numId w:val="11"/>
        </w:numPr>
      </w:pPr>
      <w:r>
        <w:t>Deprecated source is preserved only in private, read-only repository oculusrex14/GODFIN-OPUS46-ARCHIVE. Its 35-commit rewritten history and archival tag pass secret scanning; the obsolete local source/build workspace was moved to Trash while active Application Support data was preserved.</w:t>
      </w:r>
    </w:p>
    <w:p>
      <w:pPr>
        <w:keepLines/>
        <w:numPr>
          <w:ilvl w:val="0"/>
          <w:numId w:val="11"/>
        </w:numPr>
      </w:pPr>
      <w:r>
        <w:t>PIN access recovery, portal-positioned calculation help, collapsible App Settings, external pricing navigation, auditable goal contributions, corrected goal simulation, recurring re-detection, atomic account routing, package privacy assertions, and the AY 2026–27 CA tax pack are implemented and tested.</w:t>
      </w:r>
    </w:p>
    <w:p>
      <w:pPr>
        <w:keepLines/>
        <w:numPr>
          <w:ilvl w:val="0"/>
          <w:numId w:val="11"/>
        </w:numPr>
      </w:pPr>
      <w:r>
        <w:t>The website product tour uses real React application captures generated only from synthetic data, muted WebM/MP4 media with reduced-motion fallbacks, and build-time checks that prevent unreleased features from being advertised. Production deployment dpl_2dUiNiw38R9pqfsymPx7NWhpw7Ej is READY at godfin.vercel.app.</w:t>
      </w:r>
    </w:p>
    <w:p>
      <w:pPr>
        <w:keepLines/>
        <w:numPr>
          <w:ilvl w:val="0"/>
          <w:numId w:val="11"/>
        </w:numPr>
      </w:pPr>
      <w:r>
        <w:t>Production acceptance on 30 July 2026: website Playwright 4/4; Lighthouse performance 99, accessibility 100, SEO 100, LCP 1.73 seconds, CLS 0; required CSP, HSTS, frame, MIME, referrer, and permissions headers are present.</w:t>
      </w:r>
    </w:p>
    <w:p>
      <w:pPr>
        <w:keepLines/>
        <w:numPr>
          <w:ilvl w:val="0"/>
          <w:numId w:val="11"/>
        </w:numPr>
      </w:pPr>
      <w:r>
        <w:t>Vercel already contains the Supabase public/server variables and LICENSE_SIGNING_SECRET. Values are encrypted and are intentionally not reproduced here.</w:t>
      </w:r>
    </w:p>
    <w:p>
      <w:pPr>
        <w:keepLines/>
        <w:numPr>
          <w:ilvl w:val="0"/>
          <w:numId w:val="11"/>
        </w:numPr>
      </w:pPr>
      <w:r>
        <w:t>Google OAuth is active. The owner-controlled GODFIN Website project uses the rotated web client named GODFIN Website Rotated; the provider requests only openid/email/profile, the original client is revoked, and production sign-in returned successfully to /account twice on 30 July 2026.</w:t>
      </w:r>
    </w:p>
    <w:p>
      <w:pPr>
        <w:keepLines/>
        <w:numPr>
          <w:ilvl w:val="0"/>
          <w:numId w:val="11"/>
        </w:numPr>
      </w:pPr>
      <w:r>
        <w:t>A non-revenue Max owner_test license is active for the owner account. The server stores only its hash, purchase history remains empty, and one macOS arm64 installation is verified through the normal three-device flow. The full key is retained only in macOS Keychain and encrypted local app storage.</w:t>
      </w:r>
    </w:p>
    <w:p>
      <w:pPr>
        <w:keepLines/>
        <w:numPr>
          <w:ilvl w:val="0"/>
          <w:numId w:val="11"/>
        </w:numPr>
      </w:pPr>
      <w:r>
        <w:t>Dependency surfaces are separated into runtime, test, and frozen-build locks. The Gmail API client is an explicit runtime dependency. All four JavaScript workspaces and all three Python lock surfaces audit with no unaccepted known vulnerability; the qualified cryptography finding is documented in the signed evidence.</w:t>
      </w:r>
    </w:p>
    <w:p>
      <w:pPr>
        <w:keepLines/>
        <w:numPr>
          <w:ilvl w:val="0"/>
          <w:numId w:val="11"/>
        </w:numPr>
      </w:pPr>
      <w:r>
        <w:t>The deterministic CycloneDX 1.6 SBOM contains 1,008 unique components with zero unresolved license identifiers. Third-party notices list all conditional licenses. Final human legal clearance is intentionally fail-closed and remains pending in supply-chain/legal-clearance.json.</w:t>
      </w:r>
    </w:p>
    <w:p>
      <w:pPr>
        <w:keepLines/>
        <w:numPr>
          <w:ilvl w:val="0"/>
          <w:numId w:val="11"/>
        </w:numPr>
      </w:pPr>
      <w:r>
        <w:t>A fresh local macOS arm64 package was built from code commit 25fd5f7 using the locked toolchain. It starts in 3.000 seconds on first launch and 1.033 seconds on restart, preserves its database, enforces the local trust and maintenance boundaries, and remains below the 700 MB idle-memory budget at 604.5 MB across five processes. The private DMG SHA-256 is 5b3fd15ae40e9ab59ea2b344f6de9e15f37e6ad2030b1d2f330253f2ed4c98c5 and the ZIP SHA-256 is 8bd9d5b59e11e3bdbb5edfb5f882ed953a5341a178a2d77cd0a7190154ce5b91. This is an ad-hoc local test signature, not an Apple-notarized customer release.</w:t>
      </w:r>
    </w:p>
    <w:p>
      <w:pPr>
        <w:keepLines/>
        <w:numPr>
          <w:ilvl w:val="0"/>
          <w:numId w:val="11"/>
        </w:numPr>
      </w:pPr>
      <w:r>
        <w:t>Release workflows require exact tag, commit, and package-version agreement; refuse an existing GitHub Release; publish deterministic SBOM, notices, checksums, and provenance; use immutable action SHAs; and require staged promotion plus a reviewed rollback path.</w:t>
      </w:r>
    </w:p>
    <w:p>
      <w:pPr>
        <w:keepLines/>
        <w:numPr>
          <w:ilvl w:val="0"/>
          <w:numId w:val="11"/>
        </w:numPr>
      </w:pPr>
      <w:r>
        <w:t>Repository code evidence is current through commit 25fd5f7 on codex/godfin-production-v5; this v2.4 runbook and its refreshed package evidence are the next documentation-only commit.</w:t>
      </w:r>
    </w:p>
    <w:p>
      <w:pPr>
        <w:keepLines/>
        <w:numPr>
          <w:ilvl w:val="0"/>
          <w:numId w:val="11"/>
        </w:numPr>
      </w:pPr>
      <w:r>
        <w:t>Desktop Gmail OAuth configuration, final browser-family verification, Stripe KYC/prices, Resend/DNS, custom domain, Apple/Windows certificates, R2, cross-platform clean-system evidence, dependency-license approval, and public-launch authorization are not yet complete.</w:t>
      </w:r>
    </w:p>
    <w:p>
      <w:pPr>
        <w:keepLines/>
        <w:numPr>
          <w:ilvl w:val="0"/>
          <w:numId w:val="11"/>
        </w:numPr>
      </w:pPr>
      <w:r>
        <w:t>Reward pilot, sponsor card, PPP checkout, and OpenDataLoader shipping remain safely feature-gated where applicable.</w:t>
      </w:r>
    </w:p>
    <w:p>
      <w:pPr>
        <w:keepLines/>
        <w:numPr>
          <w:ilvl w:val="0"/>
          <w:numId w:val="11"/>
        </w:numPr>
      </w:pPr>
      <w:r>
        <w:t>Nothing in this document authorizes a public release. Phase 6 starts only after explicit written public-launch authorization.</w:t>
      </w:r>
    </w:p>
    <w:p>
      <w:r>
        <w:br w:type="page"/>
      </w:r>
    </w:p>
    <w:p>
      <w:pPr>
        <w:pStyle w:val="Heading1"/>
      </w:pPr>
      <w:r>
        <w:t>Critical path and blockers</w:t>
      </w:r>
    </w:p>
    <w:tbl>
      <w:tblPr>
        <w:tblStyle w:val="TableGrid"/>
        <w:tblW w:type="dxa" w:w="9360"/>
        <w:tblLayout w:type="fixed"/>
        <w:tblLook w:firstColumn="1" w:firstRow="1" w:lastColumn="0" w:lastRow="0" w:noHBand="0" w:noVBand="1" w:val="04A0"/>
        <w:tblInd w:w="120" w:type="dxa"/>
      </w:tblPr>
      <w:tblGrid>
        <w:gridCol w:w="1500"/>
        <w:gridCol w:w="2100"/>
        <w:gridCol w:w="3000"/>
        <w:gridCol w:w="2760"/>
      </w:tblGrid>
      <w:tr>
        <w:trPr>
          <w:tblHeader w:val="true"/>
        </w:trPr>
        <w:tc>
          <w:tcPr>
            <w:tcW w:type="dxa" w:w="1500"/>
            <w:shd w:fill="E8EEF5"/>
            <w:tcMar>
              <w:top w:w="80" w:type="dxa"/>
              <w:start w:w="120" w:type="dxa"/>
              <w:bottom w:w="80" w:type="dxa"/>
              <w:end w:w="120" w:type="dxa"/>
            </w:tcMar>
            <w:vAlign w:val="center"/>
          </w:tcPr>
          <w:p>
            <w:pPr>
              <w:spacing w:after="0"/>
            </w:pPr>
            <w:r>
              <w:rPr>
                <w:rFonts w:ascii="Calibri" w:hAnsi="Calibri"/>
                <w:b/>
                <w:color w:val="163A5F"/>
                <w:sz w:val="19"/>
              </w:rPr>
              <w:t>Blocker</w:t>
            </w:r>
          </w:p>
        </w:tc>
        <w:tc>
          <w:tcPr>
            <w:tcW w:type="dxa" w:w="2100"/>
            <w:shd w:fill="E8EEF5"/>
            <w:tcMar>
              <w:top w:w="80" w:type="dxa"/>
              <w:start w:w="120" w:type="dxa"/>
              <w:bottom w:w="80" w:type="dxa"/>
              <w:end w:w="120" w:type="dxa"/>
            </w:tcMar>
            <w:vAlign w:val="center"/>
          </w:tcPr>
          <w:p>
            <w:pPr>
              <w:spacing w:after="0"/>
            </w:pPr>
            <w:r>
              <w:rPr>
                <w:rFonts w:ascii="Calibri" w:hAnsi="Calibri"/>
                <w:b/>
                <w:color w:val="163A5F"/>
                <w:sz w:val="19"/>
              </w:rPr>
              <w:t>Why blocked</w:t>
            </w:r>
          </w:p>
        </w:tc>
        <w:tc>
          <w:tcPr>
            <w:tcW w:type="dxa" w:w="3000"/>
            <w:shd w:fill="E8EEF5"/>
            <w:tcMar>
              <w:top w:w="80" w:type="dxa"/>
              <w:start w:w="120" w:type="dxa"/>
              <w:bottom w:w="80" w:type="dxa"/>
              <w:end w:w="120" w:type="dxa"/>
            </w:tcMar>
            <w:vAlign w:val="center"/>
          </w:tcPr>
          <w:p>
            <w:pPr>
              <w:spacing w:after="0"/>
            </w:pPr>
            <w:r>
              <w:rPr>
                <w:rFonts w:ascii="Calibri" w:hAnsi="Calibri"/>
                <w:b/>
                <w:color w:val="163A5F"/>
                <w:sz w:val="19"/>
              </w:rPr>
              <w:t>Your intervention</w:t>
            </w:r>
          </w:p>
        </w:tc>
        <w:tc>
          <w:tcPr>
            <w:tcW w:type="dxa" w:w="2760"/>
            <w:shd w:fill="E8EEF5"/>
            <w:tcMar>
              <w:top w:w="80" w:type="dxa"/>
              <w:start w:w="120" w:type="dxa"/>
              <w:bottom w:w="80" w:type="dxa"/>
              <w:end w:w="120" w:type="dxa"/>
            </w:tcMar>
            <w:vAlign w:val="center"/>
          </w:tcPr>
          <w:p>
            <w:pPr>
              <w:spacing w:after="0"/>
            </w:pPr>
            <w:r>
              <w:rPr>
                <w:rFonts w:ascii="Calibri" w:hAnsi="Calibri"/>
                <w:b/>
                <w:color w:val="163A5F"/>
                <w:sz w:val="19"/>
              </w:rPr>
              <w:t>Completion evidence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Desktop Gmail OAuth</w:t>
            </w:r>
          </w:p>
        </w:tc>
        <w:tc>
          <w:tcPr>
            <w:tcW w:type="dxa" w:w="2100"/>
            <w:tcMar>
              <w:top w:w="80" w:type="dxa"/>
              <w:start w:w="120" w:type="dxa"/>
              <w:bottom w:w="80" w:type="dxa"/>
              <w:end w:w="120" w:type="dxa"/>
            </w:tcMar>
            <w:vAlign w:val="center"/>
          </w:tcPr>
          <w:p>
            <w:pPr>
              <w:spacing w:after="0"/>
            </w:pPr>
            <w:r>
              <w:rPr>
                <w:rFonts w:ascii="Calibri" w:hAnsi="Calibri"/>
                <w:color w:val="172033"/>
                <w:sz w:val="18"/>
              </w:rPr>
              <w:t>No owner desktop OAuth client is installed outside the repository.</w:t>
            </w:r>
          </w:p>
        </w:tc>
        <w:tc>
          <w:tcPr>
            <w:tcW w:type="dxa" w:w="3000"/>
            <w:tcMar>
              <w:top w:w="80" w:type="dxa"/>
              <w:start w:w="120" w:type="dxa"/>
              <w:bottom w:w="80" w:type="dxa"/>
              <w:end w:w="120" w:type="dxa"/>
            </w:tcMar>
            <w:vAlign w:val="center"/>
          </w:tcPr>
          <w:p>
            <w:pPr>
              <w:spacing w:after="0"/>
            </w:pPr>
            <w:r>
              <w:rPr>
                <w:rFonts w:ascii="Calibri" w:hAnsi="Calibri"/>
                <w:color w:val="172033"/>
                <w:sz w:val="18"/>
              </w:rPr>
              <w:t>Create the separate read-only Gmail desktop client and store its JSON privately.</w:t>
            </w:r>
          </w:p>
        </w:tc>
        <w:tc>
          <w:tcPr>
            <w:tcW w:type="dxa" w:w="2760"/>
            <w:tcMar>
              <w:top w:w="80" w:type="dxa"/>
              <w:start w:w="120" w:type="dxa"/>
              <w:bottom w:w="80" w:type="dxa"/>
              <w:end w:w="120" w:type="dxa"/>
            </w:tcMar>
            <w:vAlign w:val="center"/>
          </w:tcPr>
          <w:p>
            <w:pPr>
              <w:spacing w:after="0"/>
            </w:pPr>
            <w:r>
              <w:rPr>
                <w:rFonts w:ascii="Calibri" w:hAnsi="Calibri"/>
                <w:color w:val="172033"/>
                <w:sz w:val="18"/>
              </w:rPr>
              <w:t>Connect, callback, status, sync, disconnect, and reauthorization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Dependency legal review</w:t>
            </w:r>
          </w:p>
        </w:tc>
        <w:tc>
          <w:tcPr>
            <w:tcW w:type="dxa" w:w="2100"/>
            <w:tcMar>
              <w:top w:w="80" w:type="dxa"/>
              <w:start w:w="120" w:type="dxa"/>
              <w:bottom w:w="80" w:type="dxa"/>
              <w:end w:w="120" w:type="dxa"/>
            </w:tcMar>
            <w:vAlign w:val="center"/>
          </w:tcPr>
          <w:p>
            <w:pPr>
              <w:spacing w:after="0"/>
            </w:pPr>
            <w:r>
              <w:rPr>
                <w:rFonts w:ascii="Calibri" w:hAnsi="Calibri"/>
                <w:color w:val="172033"/>
                <w:sz w:val="18"/>
              </w:rPr>
              <w:t>Automated license inventory is complete; human approval is not.</w:t>
            </w:r>
          </w:p>
        </w:tc>
        <w:tc>
          <w:tcPr>
            <w:tcW w:type="dxa" w:w="3000"/>
            <w:tcMar>
              <w:top w:w="80" w:type="dxa"/>
              <w:start w:w="120" w:type="dxa"/>
              <w:bottom w:w="80" w:type="dxa"/>
              <w:end w:w="120" w:type="dxa"/>
            </w:tcMar>
            <w:vAlign w:val="center"/>
          </w:tcPr>
          <w:p>
            <w:pPr>
              <w:spacing w:after="0"/>
            </w:pPr>
            <w:r>
              <w:rPr>
                <w:rFonts w:ascii="Calibri" w:hAnsi="Calibri"/>
                <w:color w:val="172033"/>
                <w:sz w:val="18"/>
              </w:rPr>
              <w:t>Review conditional licenses and sign legal-clearance.json without changing evidence hashes.</w:t>
            </w:r>
          </w:p>
        </w:tc>
        <w:tc>
          <w:tcPr>
            <w:tcW w:type="dxa" w:w="2760"/>
            <w:tcMar>
              <w:top w:w="80" w:type="dxa"/>
              <w:start w:w="120" w:type="dxa"/>
              <w:bottom w:w="80" w:type="dxa"/>
              <w:end w:w="120" w:type="dxa"/>
            </w:tcMar>
            <w:vAlign w:val="center"/>
          </w:tcPr>
          <w:p>
            <w:pPr>
              <w:spacing w:after="0"/>
            </w:pPr>
            <w:r>
              <w:rPr>
                <w:rFonts w:ascii="Calibri" w:hAnsi="Calibri"/>
                <w:color w:val="172033"/>
                <w:sz w:val="18"/>
              </w:rPr>
              <w:t>Release gate reports approved and the signed record is archived.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Stripe India</w:t>
            </w:r>
          </w:p>
        </w:tc>
        <w:tc>
          <w:tcPr>
            <w:tcW w:type="dxa" w:w="2100"/>
            <w:tcMar>
              <w:top w:w="80" w:type="dxa"/>
              <w:start w:w="120" w:type="dxa"/>
              <w:bottom w:w="80" w:type="dxa"/>
              <w:end w:w="120" w:type="dxa"/>
            </w:tcMar>
            <w:vAlign w:val="center"/>
          </w:tcPr>
          <w:p>
            <w:pPr>
              <w:spacing w:after="0"/>
            </w:pPr>
            <w:r>
              <w:rPr>
                <w:rFonts w:ascii="Calibri" w:hAnsi="Calibri"/>
                <w:color w:val="172033"/>
                <w:sz w:val="18"/>
              </w:rPr>
              <w:t>Keys, one-time Price IDs, and webhook are absent.</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KYC; create test/live products and webhook.</w:t>
            </w:r>
          </w:p>
        </w:tc>
        <w:tc>
          <w:tcPr>
            <w:tcW w:type="dxa" w:w="2760"/>
            <w:tcMar>
              <w:top w:w="80" w:type="dxa"/>
              <w:start w:w="120" w:type="dxa"/>
              <w:bottom w:w="80" w:type="dxa"/>
              <w:end w:w="120" w:type="dxa"/>
            </w:tcMar>
            <w:vAlign w:val="center"/>
          </w:tcPr>
          <w:p>
            <w:pPr>
              <w:spacing w:after="0"/>
            </w:pPr>
            <w:r>
              <w:rPr>
                <w:rFonts w:ascii="Calibri" w:hAnsi="Calibri"/>
                <w:color w:val="172033"/>
                <w:sz w:val="18"/>
              </w:rPr>
              <w:t>Replay-safe purchase provisions once.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Resend + DNS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sending key/domain verification.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Verify godfin.dev and add the production key.</w:t>
            </w:r>
          </w:p>
        </w:tc>
        <w:tc>
          <w:tcPr>
            <w:tcW w:type="dxa" w:w="2760"/>
            <w:tcMar>
              <w:top w:w="80" w:type="dxa"/>
              <w:start w:w="120" w:type="dxa"/>
              <w:bottom w:w="80" w:type="dxa"/>
              <w:end w:w="120" w:type="dxa"/>
            </w:tcMar>
            <w:vAlign w:val="center"/>
          </w:tcPr>
          <w:p>
            <w:pPr>
              <w:spacing w:after="0"/>
            </w:pPr>
            <w:r>
              <w:rPr>
                <w:rFonts w:ascii="Calibri" w:hAnsi="Calibri"/>
                <w:color w:val="172033"/>
                <w:sz w:val="18"/>
              </w:rPr>
              <w:t>SPF, DKIM, DMARC and two inbox tests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Custom domain</w:t>
            </w:r>
          </w:p>
        </w:tc>
        <w:tc>
          <w:tcPr>
            <w:tcW w:type="dxa" w:w="2100"/>
            <w:tcMar>
              <w:top w:w="80" w:type="dxa"/>
              <w:start w:w="120" w:type="dxa"/>
              <w:bottom w:w="80" w:type="dxa"/>
              <w:end w:w="120" w:type="dxa"/>
            </w:tcMar>
            <w:vAlign w:val="center"/>
          </w:tcPr>
          <w:p>
            <w:pPr>
              <w:spacing w:after="0"/>
            </w:pPr>
            <w:r>
              <w:rPr>
                <w:rFonts w:ascii="Calibri" w:hAnsi="Calibri"/>
                <w:color w:val="172033"/>
                <w:sz w:val="18"/>
              </w:rPr>
              <w:t>No Vercel domain is attached.</w:t>
            </w:r>
          </w:p>
        </w:tc>
        <w:tc>
          <w:tcPr>
            <w:tcW w:type="dxa" w:w="3000"/>
            <w:tcMar>
              <w:top w:w="80" w:type="dxa"/>
              <w:start w:w="120" w:type="dxa"/>
              <w:bottom w:w="80" w:type="dxa"/>
              <w:end w:w="120" w:type="dxa"/>
            </w:tcMar>
            <w:vAlign w:val="center"/>
          </w:tcPr>
          <w:p>
            <w:pPr>
              <w:spacing w:after="0"/>
            </w:pPr>
            <w:r>
              <w:rPr>
                <w:rFonts w:ascii="Calibri" w:hAnsi="Calibri"/>
                <w:color w:val="172033"/>
                <w:sz w:val="18"/>
              </w:rPr>
              <w:t>Register/control godfin.dev and connect DNS.</w:t>
            </w:r>
          </w:p>
        </w:tc>
        <w:tc>
          <w:tcPr>
            <w:tcW w:type="dxa" w:w="2760"/>
            <w:tcMar>
              <w:top w:w="80" w:type="dxa"/>
              <w:start w:w="120" w:type="dxa"/>
              <w:bottom w:w="80" w:type="dxa"/>
              <w:end w:w="120" w:type="dxa"/>
            </w:tcMar>
            <w:vAlign w:val="center"/>
          </w:tcPr>
          <w:p>
            <w:pPr>
              <w:spacing w:after="0"/>
            </w:pPr>
            <w:r>
              <w:rPr>
                <w:rFonts w:ascii="Calibri" w:hAnsi="Calibri"/>
                <w:color w:val="172033"/>
                <w:sz w:val="18"/>
              </w:rPr>
              <w:t>HTTPS apex and redirect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Signing</w:t>
            </w:r>
          </w:p>
        </w:tc>
        <w:tc>
          <w:tcPr>
            <w:tcW w:type="dxa" w:w="2100"/>
            <w:tcMar>
              <w:top w:w="80" w:type="dxa"/>
              <w:start w:w="120" w:type="dxa"/>
              <w:bottom w:w="80" w:type="dxa"/>
              <w:end w:w="120" w:type="dxa"/>
            </w:tcMar>
            <w:vAlign w:val="center"/>
          </w:tcPr>
          <w:p>
            <w:pPr>
              <w:spacing w:after="0"/>
            </w:pPr>
            <w:r>
              <w:rPr>
                <w:rFonts w:ascii="Calibri" w:hAnsi="Calibri"/>
                <w:color w:val="172033"/>
                <w:sz w:val="18"/>
              </w:rPr>
              <w:t>No GitHub signing secrets are configured.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Apple and Windows signing enrollment.</w:t>
            </w:r>
          </w:p>
        </w:tc>
        <w:tc>
          <w:tcPr>
            <w:tcW w:type="dxa" w:w="2760"/>
            <w:tcMar>
              <w:top w:w="80" w:type="dxa"/>
              <w:start w:w="120" w:type="dxa"/>
              <w:bottom w:w="80" w:type="dxa"/>
              <w:end w:w="120" w:type="dxa"/>
            </w:tcMar>
            <w:vAlign w:val="center"/>
          </w:tcPr>
          <w:p>
            <w:pPr>
              <w:spacing w:after="0"/>
            </w:pPr>
            <w:r>
              <w:rPr>
                <w:rFonts w:ascii="Calibri" w:hAnsi="Calibri"/>
                <w:color w:val="172033"/>
                <w:sz w:val="18"/>
              </w:rPr>
              <w:t>Notarized/signed installers verify.</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R2 updates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release bucket or releases.godfin.dev.</w:t>
            </w:r>
          </w:p>
        </w:tc>
        <w:tc>
          <w:tcPr>
            <w:tcW w:type="dxa" w:w="3000"/>
            <w:tcMar>
              <w:top w:w="80" w:type="dxa"/>
              <w:start w:w="120" w:type="dxa"/>
              <w:bottom w:w="80" w:type="dxa"/>
              <w:end w:w="120" w:type="dxa"/>
            </w:tcMar>
            <w:vAlign w:val="center"/>
          </w:tcPr>
          <w:p>
            <w:pPr>
              <w:spacing w:after="0"/>
            </w:pPr>
            <w:r>
              <w:rPr>
                <w:rFonts w:ascii="Calibri" w:hAnsi="Calibri"/>
                <w:color w:val="172033"/>
                <w:sz w:val="18"/>
              </w:rPr>
              <w:t>Create R2, DNS, and least-privilege secrets.</w:t>
            </w:r>
          </w:p>
        </w:tc>
        <w:tc>
          <w:tcPr>
            <w:tcW w:type="dxa" w:w="2760"/>
            <w:tcMar>
              <w:top w:w="80" w:type="dxa"/>
              <w:start w:w="120" w:type="dxa"/>
              <w:bottom w:w="80" w:type="dxa"/>
              <w:end w:w="120" w:type="dxa"/>
            </w:tcMar>
            <w:vAlign w:val="center"/>
          </w:tcPr>
          <w:p>
            <w:pPr>
              <w:spacing w:after="0"/>
            </w:pPr>
            <w:r>
              <w:rPr>
                <w:rFonts w:ascii="Calibri" w:hAnsi="Calibri"/>
                <w:color w:val="172033"/>
                <w:sz w:val="18"/>
              </w:rPr>
              <w:t>Immutable assets and updater metadata resolve.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Clean systems</w:t>
            </w:r>
          </w:p>
        </w:tc>
        <w:tc>
          <w:tcPr>
            <w:tcW w:type="dxa" w:w="2100"/>
            <w:tcMar>
              <w:top w:w="80" w:type="dxa"/>
              <w:start w:w="120" w:type="dxa"/>
              <w:bottom w:w="80" w:type="dxa"/>
              <w:end w:w="120" w:type="dxa"/>
            </w:tcMar>
            <w:vAlign w:val="center"/>
          </w:tcPr>
          <w:p>
            <w:pPr>
              <w:spacing w:after="0"/>
            </w:pPr>
            <w:r>
              <w:rPr>
                <w:rFonts w:ascii="Calibri" w:hAnsi="Calibri"/>
                <w:color w:val="172033"/>
                <w:sz w:val="18"/>
              </w:rPr>
              <w:t>Only local macOS arm64 packaging is evidenced.</w:t>
            </w:r>
          </w:p>
        </w:tc>
        <w:tc>
          <w:tcPr>
            <w:tcW w:type="dxa" w:w="3000"/>
            <w:tcMar>
              <w:top w:w="80" w:type="dxa"/>
              <w:start w:w="120" w:type="dxa"/>
              <w:bottom w:w="80" w:type="dxa"/>
              <w:end w:w="120" w:type="dxa"/>
            </w:tcMar>
            <w:vAlign w:val="center"/>
          </w:tcPr>
          <w:p>
            <w:pPr>
              <w:spacing w:after="0"/>
            </w:pPr>
            <w:r>
              <w:rPr>
                <w:rFonts w:ascii="Calibri" w:hAnsi="Calibri"/>
                <w:color w:val="172033"/>
                <w:sz w:val="18"/>
              </w:rPr>
              <w:t>Provide clean supported VMs/hardware.</w:t>
            </w:r>
          </w:p>
        </w:tc>
        <w:tc>
          <w:tcPr>
            <w:tcW w:type="dxa" w:w="2760"/>
            <w:tcMar>
              <w:top w:w="80" w:type="dxa"/>
              <w:start w:w="120" w:type="dxa"/>
              <w:bottom w:w="80" w:type="dxa"/>
              <w:end w:w="120" w:type="dxa"/>
            </w:tcMar>
            <w:vAlign w:val="center"/>
          </w:tcPr>
          <w:p>
            <w:pPr>
              <w:spacing w:after="0"/>
            </w:pPr>
            <w:r>
              <w:rPr>
                <w:rFonts w:ascii="Calibri" w:hAnsi="Calibri"/>
                <w:color w:val="172033"/>
                <w:sz w:val="18"/>
              </w:rPr>
              <w:t>Install/upgrade/recovery matrix is signed.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Browser matrix</w:t>
            </w:r>
          </w:p>
        </w:tc>
        <w:tc>
          <w:tcPr>
            <w:tcW w:type="dxa" w:w="2100"/>
            <w:tcMar>
              <w:top w:w="80" w:type="dxa"/>
              <w:start w:w="120" w:type="dxa"/>
              <w:bottom w:w="80" w:type="dxa"/>
              <w:end w:w="120" w:type="dxa"/>
            </w:tcMar>
            <w:vAlign w:val="center"/>
          </w:tcPr>
          <w:p>
            <w:pPr>
              <w:spacing w:after="0"/>
            </w:pPr>
            <w:r>
              <w:rPr>
                <w:rFonts w:ascii="Calibri" w:hAnsi="Calibri"/>
                <w:color w:val="172033"/>
                <w:sz w:val="18"/>
              </w:rPr>
              <w:t>Provider-backed browser checks are deferred to the final tranche.</w:t>
            </w:r>
          </w:p>
        </w:tc>
        <w:tc>
          <w:tcPr>
            <w:tcW w:type="dxa" w:w="3000"/>
            <w:tcMar>
              <w:top w:w="80" w:type="dxa"/>
              <w:start w:w="120" w:type="dxa"/>
              <w:bottom w:w="80" w:type="dxa"/>
              <w:end w:w="120" w:type="dxa"/>
            </w:tcMar>
            <w:vAlign w:val="center"/>
          </w:tcPr>
          <w:p>
            <w:pPr>
              <w:spacing w:after="0"/>
            </w:pPr>
            <w:r>
              <w:rPr>
                <w:rFonts w:ascii="Calibri" w:hAnsi="Calibri"/>
                <w:color w:val="172033"/>
                <w:sz w:val="18"/>
              </w:rPr>
              <w:t>Run supported Chrome, Safari, Firefox, and Edge acceptance flows.</w:t>
            </w:r>
          </w:p>
        </w:tc>
        <w:tc>
          <w:tcPr>
            <w:tcW w:type="dxa" w:w="2760"/>
            <w:tcMar>
              <w:top w:w="80" w:type="dxa"/>
              <w:start w:w="120" w:type="dxa"/>
              <w:bottom w:w="80" w:type="dxa"/>
              <w:end w:w="120" w:type="dxa"/>
            </w:tcMar>
            <w:vAlign w:val="center"/>
          </w:tcPr>
          <w:p>
            <w:pPr>
              <w:spacing w:after="0"/>
            </w:pPr>
            <w:r>
              <w:rPr>
                <w:rFonts w:ascii="Calibri" w:hAnsi="Calibri"/>
                <w:color w:val="172033"/>
                <w:sz w:val="18"/>
              </w:rPr>
              <w:t>Screenshots, traces, accessibility, and isolation evidence are archived.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Public launch</w:t>
            </w:r>
          </w:p>
        </w:tc>
        <w:tc>
          <w:tcPr>
            <w:tcW w:type="dxa" w:w="2100"/>
            <w:tcMar>
              <w:top w:w="80" w:type="dxa"/>
              <w:start w:w="120" w:type="dxa"/>
              <w:bottom w:w="80" w:type="dxa"/>
              <w:end w:w="120" w:type="dxa"/>
            </w:tcMar>
            <w:vAlign w:val="center"/>
          </w:tcPr>
          <w:p>
            <w:pPr>
              <w:spacing w:after="0"/>
            </w:pPr>
            <w:r>
              <w:rPr>
                <w:rFonts w:ascii="Calibri" w:hAnsi="Calibri"/>
                <w:color w:val="172033"/>
                <w:sz w:val="18"/>
              </w:rPr>
              <w:t>Owner authorization has not been issued.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final gate and sign Section 16.</w:t>
            </w:r>
          </w:p>
        </w:tc>
        <w:tc>
          <w:tcPr>
            <w:tcW w:type="dxa" w:w="2760"/>
            <w:tcMar>
              <w:top w:w="80" w:type="dxa"/>
              <w:start w:w="120" w:type="dxa"/>
              <w:bottom w:w="80" w:type="dxa"/>
              <w:end w:w="120" w:type="dxa"/>
            </w:tcMar>
            <w:vAlign w:val="center"/>
          </w:tcPr>
          <w:p>
            <w:pPr>
              <w:spacing w:after="0"/>
            </w:pPr>
            <w:r>
              <w:rPr>
                <w:rFonts w:ascii="Calibri" w:hAnsi="Calibri"/>
                <w:color w:val="172033"/>
                <w:sz w:val="18"/>
              </w:rPr>
              <w:t>Written authorization and release IDs.</w:t>
            </w:r>
          </w:p>
        </w:tc>
      </w:tr>
    </w:tbl>
    <w:p>
      <w:pPr>
        <w:spacing w:after="20"/>
      </w:pPr>
    </w:p>
    <w:p>
      <w:r>
        <w:br w:type="page"/>
      </w:r>
    </w:p>
    <w:p>
      <w:pPr>
        <w:pStyle w:val="Heading1"/>
      </w:pPr>
      <w:r>
        <w:t>1. Google OAuth through Supabase</w:t>
      </w:r>
    </w:p>
    <w:p>
      <w:pPr>
        <w:spacing w:before="100" w:after="160" w:line="288" w:lineRule="auto"/>
        <w:ind w:left="115" w:right="115"/>
        <w:shd w:fill="E8EEF5"/>
        <w:pBdr>
          <w:left w:val="single" w:sz="18" w:space="8" w:color="163A5F"/>
        </w:pBdr>
      </w:pPr>
      <w:r>
        <w:rPr>
          <w:rFonts w:ascii="Calibri" w:hAnsi="Calibri"/>
          <w:b/>
          <w:color w:val="163A5F"/>
          <w:sz w:val="21"/>
        </w:rPr>
        <w:t xml:space="preserve">BOUNDARY  </w:t>
      </w:r>
      <w:r>
        <w:rPr>
          <w:rFonts w:ascii="Calibri" w:hAnsi="Calibri"/>
          <w:color w:val="172033"/>
          <w:sz w:val="21"/>
        </w:rPr>
        <w:t>Google authentication is for website accounts and license management only. Do not request Gmail access here; the optional desktop Gmail integration is separate and local.</w:t>
      </w:r>
    </w:p>
    <w:p>
      <w:pPr>
        <w:pStyle w:val="Heading2"/>
      </w:pPr>
      <w:r>
        <w:t>1.1 Create the Google web client</w:t>
      </w:r>
    </w:p>
    <w:p>
      <w:pPr>
        <w:spacing w:before="100" w:after="160" w:line="288" w:lineRule="auto"/>
        <w:ind w:left="115" w:right="115"/>
        <w:shd w:fill="EAF7EF"/>
        <w:pBdr>
          <w:left w:val="single" w:sz="18" w:space="8" w:color="17663A"/>
        </w:pBdr>
      </w:pPr>
      <w:r>
        <w:rPr>
          <w:rFonts w:ascii="Calibri" w:hAnsi="Calibri"/>
          <w:b/>
          <w:color w:val="17663A"/>
          <w:sz w:val="21"/>
        </w:rPr>
        <w:t xml:space="preserve">CURRENT EVIDENCE  </w:t>
      </w:r>
      <w:r>
        <w:rPr>
          <w:rFonts w:ascii="Calibri" w:hAnsi="Calibri"/>
          <w:color w:val="172033"/>
          <w:sz w:val="21"/>
        </w:rPr>
        <w:t>Completed 30 July 2026. Dedicated Google Cloud project: GODFIN Website; project ID: godfin-website; project number: 173410737907. The active web client is GODFIN Website Rotated. Supabase Google authentication is enabled, the original client is revoked, and two production callback runs returned the owner account to /account. Do not reuse this website client for the optional desktop Gmail integration.</w:t>
      </w:r>
    </w:p>
    <w:p>
      <w:pPr>
        <w:keepLines/>
        <w:numPr>
          <w:ilvl w:val="0"/>
          <w:numId w:val="10"/>
        </w:numPr>
      </w:pPr>
      <w:r>
        <w:t>Open Google Cloud Console in the business-owned project. Enable two-factor authentication for every administrator.</w:t>
      </w:r>
    </w:p>
    <w:p>
      <w:pPr>
        <w:keepLines/>
        <w:numPr>
          <w:ilvl w:val="0"/>
          <w:numId w:val="10"/>
        </w:numPr>
      </w:pPr>
      <w:r>
        <w:t>Configure the OAuth consent screen. Use the final seller name, support email, privacy URL, terms URL, and verified domain. Choose the appropriate external/testing status for the launch stage.</w:t>
      </w:r>
    </w:p>
    <w:p>
      <w:pPr>
        <w:keepLines/>
        <w:numPr>
          <w:ilvl w:val="0"/>
          <w:numId w:val="10"/>
        </w:numPr>
      </w:pPr>
      <w:r>
        <w:t>Request only openid, email, and profile through this website client. Do not add Gmail or finance scopes.</w:t>
      </w:r>
    </w:p>
    <w:p>
      <w:pPr>
        <w:keepLines/>
        <w:numPr>
          <w:ilvl w:val="0"/>
          <w:numId w:val="10"/>
        </w:numPr>
      </w:pPr>
      <w:r>
        <w:t>Create an OAuth 2.0 Client ID of type Web application.</w:t>
      </w:r>
    </w:p>
    <w:p>
      <w:pPr>
        <w:keepLines/>
        <w:numPr>
          <w:ilvl w:val="0"/>
          <w:numId w:val="10"/>
        </w:numPr>
      </w:pPr>
      <w:r>
        <w:t>Add authorized JavaScript origins: https://godfin.vercel.app now; add https://godfin.dev and https://www.godfin.dev after domain connection.</w:t>
      </w:r>
    </w:p>
    <w:p>
      <w:pPr>
        <w:keepLines/>
        <w:numPr>
          <w:ilvl w:val="0"/>
          <w:numId w:val="10"/>
        </w:numPr>
      </w:pPr>
      <w:r>
        <w:t>In Supabase Dashboard → Authentication → Providers → Google, copy the exact callback URL. For this project it follows https://omrtkfwjauyakhvynutk.supabase.co/auth/v1/callback. Add that exact value as the Google authorized redirect URI.</w:t>
      </w:r>
    </w:p>
    <w:p>
      <w:pPr>
        <w:keepLines/>
        <w:numPr>
          <w:ilvl w:val="0"/>
          <w:numId w:val="10"/>
        </w:numPr>
      </w:pPr>
      <w:r>
        <w:t>Copy the client ID and client secret directly from Google into the Supabase Google provider form. Do not download or commit a client-secret JSON file.</w:t>
      </w:r>
    </w:p>
    <w:p>
      <w:r>
        <w:br w:type="page"/>
      </w:r>
    </w:p>
    <w:p>
      <w:pPr>
        <w:pStyle w:val="Heading2"/>
      </w:pPr>
      <w:r>
        <w:t>1.2 Configure and test Supabase</w:t>
      </w:r>
    </w:p>
    <w:p>
      <w:pPr>
        <w:keepLines/>
        <w:numPr>
          <w:ilvl w:val="0"/>
          <w:numId w:val="10"/>
        </w:numPr>
      </w:pPr>
      <w:r>
        <w:t>In Supabase Authentication → URL Configuration, set Site URL to https://godfin.vercel.app until the custom domain is live.</w:t>
      </w:r>
    </w:p>
    <w:p>
      <w:pPr>
        <w:keepLines/>
        <w:numPr>
          <w:ilvl w:val="0"/>
          <w:numId w:val="10"/>
        </w:numPr>
      </w:pPr>
      <w:r>
        <w:t>Add https://godfin.vercel.app/auth/callback to the redirect allow-list. Later add https://godfin.dev/auth/callback and switch the Site URL to the custom domain.</w:t>
      </w:r>
    </w:p>
    <w:p>
      <w:pPr>
        <w:keepLines/>
        <w:numPr>
          <w:ilvl w:val="0"/>
          <w:numId w:val="10"/>
        </w:numPr>
      </w:pPr>
      <w:r>
        <w:t>Enable the Google provider and save.</w:t>
      </w:r>
    </w:p>
    <w:p>
      <w:pPr>
        <w:keepLines/>
        <w:numPr>
          <w:ilvl w:val="0"/>
          <w:numId w:val="10"/>
        </w:numPr>
      </w:pPr>
      <w:r>
        <w:t>Open https://godfin.vercel.app/account in a private browser window, choose Google, complete consent, and verify return to /account.</w:t>
      </w:r>
    </w:p>
    <w:p>
      <w:pPr>
        <w:keepLines/>
        <w:numPr>
          <w:ilvl w:val="0"/>
          <w:numId w:val="10"/>
        </w:numPr>
      </w:pPr>
      <w:r>
        <w:t>Sign out and repeat with a second test Google account. Confirm neither account can see the other account’s purchases, licenses, activations, or waitlist data.</w:t>
      </w:r>
    </w:p>
    <w:p>
      <w:pPr>
        <w:keepLines/>
        <w:numPr>
          <w:ilvl w:val="0"/>
          <w:numId w:val="10"/>
        </w:numPr>
      </w:pPr>
      <w:r>
        <w:t>Review Supabase Auth logs for redirect, consent, or email mismatch errors. Remove obsolete test clients when verification is complete.</w:t>
      </w:r>
    </w:p>
    <w:p>
      <w:pPr>
        <w:pStyle w:val="RunbookCaption"/>
      </w:pPr>
      <w:r>
        <w:t xml:space="preserve">Official reference: </w:t>
      </w:r>
      <w:hyperlink r:id="rId11">
        <w:r>
          <w:rPr>
            <w:color w:val="2E74B5"/>
            <w:u w:val="single"/>
          </w:rPr>
          <w:t>Supabase Google authentication guide</w:t>
        </w:r>
      </w:hyperlink>
    </w:p>
    <w:p>
      <w:pPr>
        <w:keepLines/>
        <w:numPr>
          <w:ilvl w:val="0"/>
          <w:numId w:val="12"/>
        </w:numPr>
      </w:pPr>
      <w:r>
        <w:t>Google login succeeds from a private window.</w:t>
      </w:r>
    </w:p>
    <w:p>
      <w:pPr>
        <w:keepLines/>
        <w:numPr>
          <w:ilvl w:val="0"/>
          <w:numId w:val="12"/>
        </w:numPr>
      </w:pPr>
      <w:r>
        <w:t>The account page shows the signed-in email and no other user’s data.</w:t>
      </w:r>
    </w:p>
    <w:p>
      <w:pPr>
        <w:keepLines/>
        <w:numPr>
          <w:ilvl w:val="0"/>
          <w:numId w:val="12"/>
        </w:numPr>
      </w:pPr>
      <w:r>
        <w:t>Only openid/email/profile consent appears.</w:t>
      </w:r>
    </w:p>
    <w:p>
      <w:pPr>
        <w:keepLines/>
        <w:numPr>
          <w:ilvl w:val="0"/>
          <w:numId w:val="12"/>
        </w:numPr>
      </w:pPr>
      <w:r>
        <w:t>The client secret exists only in Google/Supabase and the business vault.</w:t>
      </w:r>
    </w:p>
    <w:p>
      <w:pPr>
        <w:spacing w:before="100" w:after="160" w:line="288" w:lineRule="auto"/>
        <w:ind w:left="115" w:right="115"/>
        <w:shd w:fill="EAF7EF"/>
        <w:pBdr>
          <w:left w:val="single" w:sz="18" w:space="8" w:color="17663A"/>
        </w:pBdr>
      </w:pPr>
      <w:r>
        <w:rPr>
          <w:rFonts w:ascii="Calibri" w:hAnsi="Calibri"/>
          <w:b/>
          <w:color w:val="17663A"/>
          <w:sz w:val="21"/>
        </w:rPr>
        <w:t xml:space="preserve">VERIFIED  </w:t>
      </w:r>
      <w:r>
        <w:rPr>
          <w:rFonts w:ascii="Calibri" w:hAnsi="Calibri"/>
          <w:color w:val="172033"/>
          <w:sz w:val="21"/>
        </w:rPr>
        <w:t>The production origin is https://godfin.vercel.app, the Supabase callback is https://omrtkfwjauyakhvynutk.supabase.co/auth/v1/callback, and the website callback is https://godfin.vercel.app/auth/callback. A distinct second-account isolation test remains a pre-launch gate.</w:t>
      </w:r>
    </w:p>
    <w:p>
      <w:pPr>
        <w:spacing w:after="80"/>
      </w:pPr>
      <w:r>
        <w:rPr>
          <w:b/>
        </w:rPr>
        <w:t xml:space="preserve">Google OAuth client name: </w:t>
      </w:r>
      <w:r>
        <w:t>__________________________________________________________________________</w:t>
      </w:r>
    </w:p>
    <w:p>
      <w:pPr>
        <w:spacing w:after="80"/>
      </w:pPr>
      <w:r>
        <w:rPr>
          <w:b/>
        </w:rPr>
        <w:t xml:space="preserve">Test accounts used: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2"/>
      </w:pPr>
      <w:r>
        <w:t>1.3 Desktop Gmail OAuth for local ingestion</w:t>
      </w:r>
    </w:p>
    <w:p>
      <w:pPr>
        <w:spacing w:before="100" w:after="160" w:line="288" w:lineRule="auto"/>
        <w:ind w:left="115" w:right="115"/>
        <w:shd w:fill="FFF4D8"/>
        <w:pBdr>
          <w:left w:val="single" w:sz="18" w:space="8" w:color="7A5A00"/>
        </w:pBdr>
      </w:pPr>
      <w:r>
        <w:rPr>
          <w:rFonts w:ascii="Calibri" w:hAnsi="Calibri"/>
          <w:b/>
          <w:color w:val="7A5A00"/>
          <w:sz w:val="21"/>
        </w:rPr>
        <w:t xml:space="preserve">SEPARATE CLIENT AND SCOPE  </w:t>
      </w:r>
      <w:r>
        <w:rPr>
          <w:rFonts w:ascii="Calibri" w:hAnsi="Calibri"/>
          <w:color w:val="172033"/>
          <w:sz w:val="21"/>
        </w:rPr>
        <w:t>This is not the website Google login. Create a dedicated OAuth client of type Desktop app and request only https://www.googleapis.com/auth/gmail.readonly. GODFIN cannot send, edit, or delete email through this integration.</w:t>
      </w:r>
    </w:p>
    <w:p>
      <w:pPr>
        <w:keepLines/>
        <w:numPr>
          <w:ilvl w:val="0"/>
          <w:numId w:val="10"/>
        </w:numPr>
      </w:pPr>
      <w:r>
        <w:t>In a business-owned Google Cloud project dedicated to GODFIN Desktop Gmail, enable the Gmail API and configure the OAuth consent screen. Keep its client, scopes, and consent records separate from the GODFIN Website web client.</w:t>
      </w:r>
    </w:p>
    <w:p>
      <w:pPr>
        <w:keepLines/>
        <w:numPr>
          <w:ilvl w:val="0"/>
          <w:numId w:val="10"/>
        </w:numPr>
      </w:pPr>
      <w:r>
        <w:t>Create an OAuth 2.0 Client ID of type Desktop app. Download the JSON and confirm its top-level object is installed and contains client_id and client_secret. Do not use a Web application JSON file.</w:t>
      </w:r>
    </w:p>
    <w:p>
      <w:pPr>
        <w:keepLines/>
        <w:numPr>
          <w:ilvl w:val="0"/>
          <w:numId w:val="10"/>
        </w:numPr>
      </w:pPr>
      <w:r>
        <w:t>The local callback is http://127.0.0.1:5100/api/v1/auth/gmail/callback. GODFIN binds the backend to localhost by default; do not expose this callback or backend to the public internet.</w:t>
      </w:r>
    </w:p>
    <w:p>
      <w:pPr>
        <w:keepLines/>
        <w:numPr>
          <w:ilvl w:val="0"/>
          <w:numId w:val="10"/>
        </w:numPr>
      </w:pPr>
      <w:r>
        <w:t>Move the downloaded JSON outside the repository into an owner-controlled Application Support location. Point GODFIN_GMAIL_CLIENT_SECRETS_FILE to that absolute file. For development only, backend/data/client_secret.json is supported but must remain ignored and must never be committed, attached, or shared.</w:t>
      </w:r>
    </w:p>
    <w:p>
      <w:pPr>
        <w:keepLines/>
        <w:numPr>
          <w:ilvl w:val="0"/>
          <w:numId w:val="10"/>
        </w:numPr>
      </w:pPr>
      <w:r>
        <w:t>Alternatively set GOOGLE_CLIENT_ID and GOOGLE_CLIENT_SECRET in the private local process environment. Never put either value in source files, screenshots, this runbook, terminal history, or chat.</w:t>
      </w:r>
    </w:p>
    <w:p>
      <w:pPr>
        <w:keepLines/>
        <w:numPr>
          <w:ilvl w:val="0"/>
          <w:numId w:val="10"/>
        </w:numPr>
      </w:pPr>
      <w:r>
        <w:t>Start GODFIN, open Settings, choose Connect Gmail, and review the Google consent screen. It must show read-only Gmail access and no send, modify, delete, contacts, Drive, calendar, or broad Google account scope.</w:t>
      </w:r>
    </w:p>
    <w:p>
      <w:pPr>
        <w:keepLines/>
        <w:numPr>
          <w:ilvl w:val="0"/>
          <w:numId w:val="10"/>
        </w:numPr>
      </w:pPr>
      <w:r>
        <w:t>Complete the localhost callback. Verify Settings changes to connected, run the initial sync against a test mailbox, and confirm imports are assigned only to configured active account routes.</w:t>
      </w:r>
    </w:p>
    <w:p>
      <w:pPr>
        <w:keepLines/>
        <w:numPr>
          <w:ilvl w:val="0"/>
          <w:numId w:val="10"/>
        </w:numPr>
      </w:pPr>
      <w:r>
        <w:t>Disconnect Gmail, confirm the local token is removed, then reconnect and verify reauthorization. Tokens are encrypted in local SQLite using GODFIN's stable local key; OAuth state is hashed, installation-bound, expiring, PKCE-protected, and single-use.</w:t>
      </w:r>
    </w:p>
    <w:p>
      <w:pPr>
        <w:keepLines/>
        <w:numPr>
          <w:ilvl w:val="0"/>
          <w:numId w:val="10"/>
        </w:numPr>
      </w:pPr>
      <w:r>
        <w:t>If Google keeps the app in Testing, add each intended test mailbox as a test user and record the expiry/re-consent implications. Complete Google verification before inviting general customers if the provider requires it for the read-only scope.</w:t>
      </w:r>
    </w:p>
    <w:p>
      <w:pPr>
        <w:keepLines/>
        <w:numPr>
          <w:ilvl w:val="0"/>
          <w:numId w:val="12"/>
        </w:numPr>
      </w:pPr>
      <w:r>
        <w:t>Dedicated Desktop app client exists; the website client is not reused.</w:t>
      </w:r>
    </w:p>
    <w:p>
      <w:pPr>
        <w:keepLines/>
        <w:numPr>
          <w:ilvl w:val="0"/>
          <w:numId w:val="12"/>
        </w:numPr>
      </w:pPr>
      <w:r>
        <w:t>Only gmail.readonly appears on the consent screen.</w:t>
      </w:r>
    </w:p>
    <w:p>
      <w:pPr>
        <w:keepLines/>
        <w:numPr>
          <w:ilvl w:val="0"/>
          <w:numId w:val="12"/>
        </w:numPr>
      </w:pPr>
      <w:r>
        <w:t>The downloaded client JSON is outside the repository and protected by owner-only permissions.</w:t>
      </w:r>
    </w:p>
    <w:p>
      <w:pPr>
        <w:keepLines/>
        <w:numPr>
          <w:ilvl w:val="0"/>
          <w:numId w:val="12"/>
        </w:numPr>
      </w:pPr>
      <w:r>
        <w:t>Connect, localhost callback, connected status, initial sync, disconnect, and reauthorization pass.</w:t>
      </w:r>
    </w:p>
    <w:p>
      <w:pPr>
        <w:keepLines/>
        <w:numPr>
          <w:ilvl w:val="0"/>
          <w:numId w:val="12"/>
        </w:numPr>
      </w:pPr>
      <w:r>
        <w:t>No client secret or token appears in Git, logs, screenshots, chat, or the packaged application.</w:t>
      </w:r>
    </w:p>
    <w:p>
      <w:pPr>
        <w:pStyle w:val="RunbookCaption"/>
      </w:pPr>
      <w:r>
        <w:t xml:space="preserve">Official reference: </w:t>
      </w:r>
      <w:hyperlink r:id="rId12">
        <w:r>
          <w:rPr>
            <w:color w:val="2E74B5"/>
            <w:u w:val="single"/>
          </w:rPr>
          <w:t>Google Gmail API Python quickstart</w:t>
        </w:r>
      </w:hyperlink>
    </w:p>
    <w:p>
      <w:pPr>
        <w:spacing w:after="80"/>
      </w:pPr>
      <w:r>
        <w:rPr>
          <w:b/>
        </w:rPr>
        <w:t xml:space="preserve">Google Cloud project name: </w:t>
      </w:r>
      <w:r>
        <w:t>__________________________________________________________________________</w:t>
      </w:r>
    </w:p>
    <w:p>
      <w:pPr>
        <w:spacing w:after="80"/>
      </w:pPr>
      <w:r>
        <w:rPr>
          <w:b/>
        </w:rPr>
        <w:t xml:space="preserve">Desktop OAuth client name: </w:t>
      </w:r>
      <w:r>
        <w:t>__________________________________________________________________________</w:t>
      </w:r>
    </w:p>
    <w:p>
      <w:pPr>
        <w:spacing w:after="80"/>
      </w:pPr>
      <w:r>
        <w:rPr>
          <w:b/>
        </w:rPr>
        <w:t xml:space="preserve">Test mailbox: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2. Stripe India: one-time payments only</w:t>
      </w:r>
    </w:p>
    <w:p>
      <w:pPr>
        <w:spacing w:before="100" w:after="160" w:line="288" w:lineRule="auto"/>
        <w:ind w:left="115" w:right="115"/>
        <w:shd w:fill="FDECEC"/>
        <w:pBdr>
          <w:left w:val="single" w:sz="18" w:space="8" w:color="9B1C1C"/>
        </w:pBdr>
      </w:pPr>
      <w:r>
        <w:rPr>
          <w:rFonts w:ascii="Calibri" w:hAnsi="Calibri"/>
          <w:b/>
          <w:color w:val="9B1C1C"/>
          <w:sz w:val="21"/>
        </w:rPr>
        <w:t xml:space="preserve">HARD RULE  </w:t>
      </w:r>
      <w:r>
        <w:rPr>
          <w:rFonts w:ascii="Calibri" w:hAnsi="Calibri"/>
          <w:color w:val="172033"/>
          <w:sz w:val="21"/>
        </w:rPr>
        <w:t>Create one-time prices and Checkout mode=payment only. Pro and Max include zero hosted AI credits. Credit packs are separate one-time purchases. Never create a subscription, trial, recurring price, or monthly allowance.</w:t>
      </w:r>
    </w:p>
    <w:p>
      <w:pPr>
        <w:pStyle w:val="Heading2"/>
      </w:pPr>
      <w:r>
        <w:t>2.1 Complete the business account</w:t>
      </w:r>
    </w:p>
    <w:p>
      <w:pPr>
        <w:keepLines/>
        <w:numPr>
          <w:ilvl w:val="0"/>
          <w:numId w:val="10"/>
        </w:numPr>
      </w:pPr>
      <w:r>
        <w:t>Use a Stripe account owned by the legal seller. Complete India activation, KYC, bank verification, statement descriptor, customer support details, tax settings, and two-factor authentication.</w:t>
      </w:r>
    </w:p>
    <w:p>
      <w:pPr>
        <w:keepLines/>
        <w:numPr>
          <w:ilvl w:val="0"/>
          <w:numId w:val="10"/>
        </w:numPr>
      </w:pPr>
      <w:r>
        <w:t>Invite a backup administrator with the minimum role needed. Do not share one login.</w:t>
      </w:r>
    </w:p>
    <w:p>
      <w:pPr>
        <w:keepLines/>
        <w:numPr>
          <w:ilvl w:val="0"/>
          <w:numId w:val="10"/>
        </w:numPr>
      </w:pPr>
      <w:r>
        <w:t>Confirm with Stripe and your tax adviser that the account may sell one-time software licenses domestically and internationally, and how GST/invoices/refunds must be handled.</w:t>
      </w:r>
    </w:p>
    <w:p>
      <w:pPr>
        <w:keepLines/>
        <w:numPr>
          <w:ilvl w:val="0"/>
          <w:numId w:val="10"/>
        </w:numPr>
      </w:pPr>
      <w:r>
        <w:t>Enable Radar’s supported payment-fraud controls. Do not build hardware serial, persistent IP fingerprint, or payment-method fingerprint storage in GODFIN.</w:t>
      </w:r>
    </w:p>
    <w:p>
      <w:pPr>
        <w:pStyle w:val="Heading2"/>
      </w:pPr>
      <w:r>
        <w:t>2.2 Create test products and prices</w:t>
      </w:r>
    </w:p>
    <w:tbl>
      <w:tblPr>
        <w:tblStyle w:val="TableGrid"/>
        <w:tblW w:type="dxa" w:w="9360"/>
        <w:tblLayout w:type="fixed"/>
        <w:tblLook w:firstColumn="1" w:firstRow="1" w:lastColumn="0" w:lastRow="0" w:noHBand="0" w:noVBand="1" w:val="04A0"/>
        <w:tblInd w:w="120" w:type="dxa"/>
      </w:tblPr>
      <w:tblGrid>
        <w:gridCol w:w="3260"/>
        <w:gridCol w:w="2500"/>
        <w:gridCol w:w="1000"/>
        <w:gridCol w:w="2600"/>
      </w:tblGrid>
      <w:tr>
        <w:trPr>
          <w:tblHeader w:val="true"/>
        </w:trPr>
        <w:tc>
          <w:tcPr>
            <w:tcW w:type="dxa" w:w="3260"/>
            <w:shd w:fill="E8EEF5"/>
            <w:tcMar>
              <w:top w:w="80" w:type="dxa"/>
              <w:start w:w="120" w:type="dxa"/>
              <w:bottom w:w="80" w:type="dxa"/>
              <w:end w:w="120" w:type="dxa"/>
            </w:tcMar>
            <w:vAlign w:val="center"/>
          </w:tcPr>
          <w:p>
            <w:pPr>
              <w:spacing w:after="0"/>
            </w:pPr>
            <w:r>
              <w:rPr>
                <w:rFonts w:ascii="Calibri" w:hAnsi="Calibri"/>
                <w:b/>
                <w:color w:val="163A5F"/>
                <w:sz w:val="19"/>
              </w:rPr>
              <w:t>Environment variable</w:t>
            </w:r>
          </w:p>
        </w:tc>
        <w:tc>
          <w:tcPr>
            <w:tcW w:type="dxa" w:w="2500"/>
            <w:shd w:fill="E8EEF5"/>
            <w:tcMar>
              <w:top w:w="80" w:type="dxa"/>
              <w:start w:w="120" w:type="dxa"/>
              <w:bottom w:w="80" w:type="dxa"/>
              <w:end w:w="120" w:type="dxa"/>
            </w:tcMar>
            <w:vAlign w:val="center"/>
          </w:tcPr>
          <w:p>
            <w:pPr>
              <w:spacing w:after="0"/>
            </w:pPr>
            <w:r>
              <w:rPr>
                <w:rFonts w:ascii="Calibri" w:hAnsi="Calibri"/>
                <w:b/>
                <w:color w:val="163A5F"/>
                <w:sz w:val="19"/>
              </w:rPr>
              <w:t>Product</w:t>
            </w:r>
          </w:p>
        </w:tc>
        <w:tc>
          <w:tcPr>
            <w:tcW w:type="dxa" w:w="1000"/>
            <w:shd w:fill="E8EEF5"/>
            <w:tcMar>
              <w:top w:w="80" w:type="dxa"/>
              <w:start w:w="120" w:type="dxa"/>
              <w:bottom w:w="80" w:type="dxa"/>
              <w:end w:w="120" w:type="dxa"/>
            </w:tcMar>
            <w:vAlign w:val="center"/>
          </w:tcPr>
          <w:p>
            <w:pPr>
              <w:spacing w:after="0"/>
            </w:pPr>
            <w:r>
              <w:rPr>
                <w:rFonts w:ascii="Calibri" w:hAnsi="Calibri"/>
                <w:b/>
                <w:color w:val="163A5F"/>
                <w:sz w:val="19"/>
              </w:rPr>
              <w:t>Currency</w:t>
            </w:r>
          </w:p>
        </w:tc>
        <w:tc>
          <w:tcPr>
            <w:tcW w:type="dxa" w:w="2600"/>
            <w:shd w:fill="E8EEF5"/>
            <w:tcMar>
              <w:top w:w="80" w:type="dxa"/>
              <w:start w:w="120" w:type="dxa"/>
              <w:bottom w:w="80" w:type="dxa"/>
              <w:end w:w="120" w:type="dxa"/>
            </w:tcMar>
            <w:vAlign w:val="center"/>
          </w:tcPr>
          <w:p>
            <w:pPr>
              <w:spacing w:after="0"/>
            </w:pPr>
            <w:r>
              <w:rPr>
                <w:rFonts w:ascii="Calibri" w:hAnsi="Calibri"/>
                <w:b/>
                <w:color w:val="163A5F"/>
                <w:sz w:val="19"/>
              </w:rPr>
              <w:t>Exact one-time amount</w:t>
            </w:r>
          </w:p>
        </w:tc>
      </w:tr>
      <w:tr>
        <w:tc>
          <w:tcPr>
            <w:tcW w:type="dxa" w:w="3260"/>
            <w:tcMar>
              <w:top w:w="80" w:type="dxa"/>
              <w:start w:w="120" w:type="dxa"/>
              <w:bottom w:w="80" w:type="dxa"/>
              <w:end w:w="120" w:type="dxa"/>
            </w:tcMar>
            <w:vAlign w:val="center"/>
          </w:tcPr>
          <w:p>
            <w:pPr>
              <w:spacing w:after="0"/>
            </w:pPr>
            <w:r>
              <w:rPr>
                <w:rFonts w:ascii="Calibri" w:hAnsi="Calibri"/>
                <w:color w:val="172033"/>
                <w:sz w:val="18"/>
              </w:rPr>
              <w:t>STRIPE_PRICE_PRO</w:t>
            </w:r>
          </w:p>
        </w:tc>
        <w:tc>
          <w:tcPr>
            <w:tcW w:type="dxa" w:w="2500"/>
            <w:tcMar>
              <w:top w:w="80" w:type="dxa"/>
              <w:start w:w="120" w:type="dxa"/>
              <w:bottom w:w="80" w:type="dxa"/>
              <w:end w:w="120" w:type="dxa"/>
            </w:tcMar>
            <w:vAlign w:val="center"/>
          </w:tcPr>
          <w:p>
            <w:pPr>
              <w:spacing w:after="0"/>
            </w:pPr>
            <w:r>
              <w:rPr>
                <w:rFonts w:ascii="Calibri" w:hAnsi="Calibri"/>
                <w:color w:val="172033"/>
                <w:sz w:val="18"/>
              </w:rPr>
              <w:t>GODFIN Pro lifetime</w:t>
            </w:r>
          </w:p>
        </w:tc>
        <w:tc>
          <w:tcPr>
            <w:tcW w:type="dxa" w:w="1000"/>
            <w:tcMar>
              <w:top w:w="80" w:type="dxa"/>
              <w:start w:w="120" w:type="dxa"/>
              <w:bottom w:w="80" w:type="dxa"/>
              <w:end w:w="120" w:type="dxa"/>
            </w:tcMar>
            <w:vAlign w:val="center"/>
          </w:tcPr>
          <w:p>
            <w:pPr>
              <w:spacing w:after="0"/>
            </w:pPr>
            <w:r>
              <w:rPr>
                <w:rFonts w:ascii="Calibri" w:hAnsi="Calibri"/>
                <w:color w:val="172033"/>
                <w:sz w:val="18"/>
              </w:rPr>
              <w:t>INR</w:t>
            </w:r>
          </w:p>
        </w:tc>
        <w:tc>
          <w:tcPr>
            <w:tcW w:type="dxa" w:w="2600"/>
            <w:tcMar>
              <w:top w:w="80" w:type="dxa"/>
              <w:start w:w="120" w:type="dxa"/>
              <w:bottom w:w="80" w:type="dxa"/>
              <w:end w:w="120" w:type="dxa"/>
            </w:tcMar>
            <w:vAlign w:val="center"/>
          </w:tcPr>
          <w:p>
            <w:pPr>
              <w:spacing w:after="0"/>
            </w:pPr>
            <w:r>
              <w:rPr>
                <w:rFonts w:ascii="Calibri" w:hAnsi="Calibri"/>
                <w:color w:val="172033"/>
                <w:sz w:val="18"/>
              </w:rPr>
              <w:t>₹4,999</w:t>
            </w:r>
          </w:p>
        </w:tc>
      </w:tr>
      <w:tr>
        <w:tc>
          <w:tcPr>
            <w:tcW w:type="dxa" w:w="3260"/>
            <w:tcMar>
              <w:top w:w="80" w:type="dxa"/>
              <w:start w:w="120" w:type="dxa"/>
              <w:bottom w:w="80" w:type="dxa"/>
              <w:end w:w="120" w:type="dxa"/>
            </w:tcMar>
            <w:vAlign w:val="center"/>
          </w:tcPr>
          <w:p>
            <w:pPr>
              <w:spacing w:after="0"/>
            </w:pPr>
            <w:r>
              <w:rPr>
                <w:rFonts w:ascii="Calibri" w:hAnsi="Calibri"/>
                <w:color w:val="172033"/>
                <w:sz w:val="18"/>
              </w:rPr>
              <w:t>STRIPE_PRICE_MAX</w:t>
            </w:r>
          </w:p>
        </w:tc>
        <w:tc>
          <w:tcPr>
            <w:tcW w:type="dxa" w:w="2500"/>
            <w:tcMar>
              <w:top w:w="80" w:type="dxa"/>
              <w:start w:w="120" w:type="dxa"/>
              <w:bottom w:w="80" w:type="dxa"/>
              <w:end w:w="120" w:type="dxa"/>
            </w:tcMar>
            <w:vAlign w:val="center"/>
          </w:tcPr>
          <w:p>
            <w:pPr>
              <w:spacing w:after="0"/>
            </w:pPr>
            <w:r>
              <w:rPr>
                <w:rFonts w:ascii="Calibri" w:hAnsi="Calibri"/>
                <w:color w:val="172033"/>
                <w:sz w:val="18"/>
              </w:rPr>
              <w:t>GODFIN Max lifetime</w:t>
            </w:r>
          </w:p>
        </w:tc>
        <w:tc>
          <w:tcPr>
            <w:tcW w:type="dxa" w:w="1000"/>
            <w:tcMar>
              <w:top w:w="80" w:type="dxa"/>
              <w:start w:w="120" w:type="dxa"/>
              <w:bottom w:w="80" w:type="dxa"/>
              <w:end w:w="120" w:type="dxa"/>
            </w:tcMar>
            <w:vAlign w:val="center"/>
          </w:tcPr>
          <w:p>
            <w:pPr>
              <w:spacing w:after="0"/>
            </w:pPr>
            <w:r>
              <w:rPr>
                <w:rFonts w:ascii="Calibri" w:hAnsi="Calibri"/>
                <w:color w:val="172033"/>
                <w:sz w:val="18"/>
              </w:rPr>
              <w:t>INR</w:t>
            </w:r>
          </w:p>
        </w:tc>
        <w:tc>
          <w:tcPr>
            <w:tcW w:type="dxa" w:w="2600"/>
            <w:tcMar>
              <w:top w:w="80" w:type="dxa"/>
              <w:start w:w="120" w:type="dxa"/>
              <w:bottom w:w="80" w:type="dxa"/>
              <w:end w:w="120" w:type="dxa"/>
            </w:tcMar>
            <w:vAlign w:val="center"/>
          </w:tcPr>
          <w:p>
            <w:pPr>
              <w:spacing w:after="0"/>
            </w:pPr>
            <w:r>
              <w:rPr>
                <w:rFonts w:ascii="Calibri" w:hAnsi="Calibri"/>
                <w:color w:val="172033"/>
                <w:sz w:val="18"/>
              </w:rPr>
              <w:t>₹9,999</w:t>
            </w:r>
          </w:p>
        </w:tc>
      </w:tr>
      <w:tr>
        <w:tc>
          <w:tcPr>
            <w:tcW w:type="dxa" w:w="3260"/>
            <w:tcMar>
              <w:top w:w="80" w:type="dxa"/>
              <w:start w:w="120" w:type="dxa"/>
              <w:bottom w:w="80" w:type="dxa"/>
              <w:end w:w="120" w:type="dxa"/>
            </w:tcMar>
            <w:vAlign w:val="center"/>
          </w:tcPr>
          <w:p>
            <w:pPr>
              <w:spacing w:after="0"/>
            </w:pPr>
            <w:r>
              <w:rPr>
                <w:rFonts w:ascii="Calibri" w:hAnsi="Calibri"/>
                <w:color w:val="172033"/>
                <w:sz w:val="18"/>
              </w:rPr>
              <w:t>STRIPE_PRICE_PRO_US</w:t>
            </w:r>
          </w:p>
        </w:tc>
        <w:tc>
          <w:tcPr>
            <w:tcW w:type="dxa" w:w="2500"/>
            <w:tcMar>
              <w:top w:w="80" w:type="dxa"/>
              <w:start w:w="120" w:type="dxa"/>
              <w:bottom w:w="80" w:type="dxa"/>
              <w:end w:w="120" w:type="dxa"/>
            </w:tcMar>
            <w:vAlign w:val="center"/>
          </w:tcPr>
          <w:p>
            <w:pPr>
              <w:spacing w:after="0"/>
            </w:pPr>
            <w:r>
              <w:rPr>
                <w:rFonts w:ascii="Calibri" w:hAnsi="Calibri"/>
                <w:color w:val="172033"/>
                <w:sz w:val="18"/>
              </w:rPr>
              <w:t>GODFIN Pro lifetime</w:t>
            </w:r>
          </w:p>
        </w:tc>
        <w:tc>
          <w:tcPr>
            <w:tcW w:type="dxa" w:w="1000"/>
            <w:tcMar>
              <w:top w:w="80" w:type="dxa"/>
              <w:start w:w="120" w:type="dxa"/>
              <w:bottom w:w="80" w:type="dxa"/>
              <w:end w:w="120" w:type="dxa"/>
            </w:tcMar>
            <w:vAlign w:val="center"/>
          </w:tcPr>
          <w:p>
            <w:pPr>
              <w:spacing w:after="0"/>
            </w:pPr>
            <w:r>
              <w:rPr>
                <w:rFonts w:ascii="Calibri" w:hAnsi="Calibri"/>
                <w:color w:val="172033"/>
                <w:sz w:val="18"/>
              </w:rPr>
              <w:t>USD</w:t>
            </w:r>
          </w:p>
        </w:tc>
        <w:tc>
          <w:tcPr>
            <w:tcW w:type="dxa" w:w="2600"/>
            <w:tcMar>
              <w:top w:w="80" w:type="dxa"/>
              <w:start w:w="120" w:type="dxa"/>
              <w:bottom w:w="80" w:type="dxa"/>
              <w:end w:w="120" w:type="dxa"/>
            </w:tcMar>
            <w:vAlign w:val="center"/>
          </w:tcPr>
          <w:p>
            <w:pPr>
              <w:spacing w:after="0"/>
            </w:pPr>
            <w:r>
              <w:rPr>
                <w:rFonts w:ascii="Calibri" w:hAnsi="Calibri"/>
                <w:color w:val="172033"/>
                <w:sz w:val="18"/>
              </w:rPr>
              <w:t>$99</w:t>
            </w:r>
          </w:p>
        </w:tc>
      </w:tr>
      <w:tr>
        <w:tc>
          <w:tcPr>
            <w:tcW w:type="dxa" w:w="3260"/>
            <w:tcMar>
              <w:top w:w="80" w:type="dxa"/>
              <w:start w:w="120" w:type="dxa"/>
              <w:bottom w:w="80" w:type="dxa"/>
              <w:end w:w="120" w:type="dxa"/>
            </w:tcMar>
            <w:vAlign w:val="center"/>
          </w:tcPr>
          <w:p>
            <w:pPr>
              <w:spacing w:after="0"/>
            </w:pPr>
            <w:r>
              <w:rPr>
                <w:rFonts w:ascii="Calibri" w:hAnsi="Calibri"/>
                <w:color w:val="172033"/>
                <w:sz w:val="18"/>
              </w:rPr>
              <w:t>STRIPE_PRICE_MAX_US</w:t>
            </w:r>
          </w:p>
        </w:tc>
        <w:tc>
          <w:tcPr>
            <w:tcW w:type="dxa" w:w="2500"/>
            <w:tcMar>
              <w:top w:w="80" w:type="dxa"/>
              <w:start w:w="120" w:type="dxa"/>
              <w:bottom w:w="80" w:type="dxa"/>
              <w:end w:w="120" w:type="dxa"/>
            </w:tcMar>
            <w:vAlign w:val="center"/>
          </w:tcPr>
          <w:p>
            <w:pPr>
              <w:spacing w:after="0"/>
            </w:pPr>
            <w:r>
              <w:rPr>
                <w:rFonts w:ascii="Calibri" w:hAnsi="Calibri"/>
                <w:color w:val="172033"/>
                <w:sz w:val="18"/>
              </w:rPr>
              <w:t>GODFIN Max lifetime</w:t>
            </w:r>
          </w:p>
        </w:tc>
        <w:tc>
          <w:tcPr>
            <w:tcW w:type="dxa" w:w="1000"/>
            <w:tcMar>
              <w:top w:w="80" w:type="dxa"/>
              <w:start w:w="120" w:type="dxa"/>
              <w:bottom w:w="80" w:type="dxa"/>
              <w:end w:w="120" w:type="dxa"/>
            </w:tcMar>
            <w:vAlign w:val="center"/>
          </w:tcPr>
          <w:p>
            <w:pPr>
              <w:spacing w:after="0"/>
            </w:pPr>
            <w:r>
              <w:rPr>
                <w:rFonts w:ascii="Calibri" w:hAnsi="Calibri"/>
                <w:color w:val="172033"/>
                <w:sz w:val="18"/>
              </w:rPr>
              <w:t>USD</w:t>
            </w:r>
          </w:p>
        </w:tc>
        <w:tc>
          <w:tcPr>
            <w:tcW w:type="dxa" w:w="2600"/>
            <w:tcMar>
              <w:top w:w="80" w:type="dxa"/>
              <w:start w:w="120" w:type="dxa"/>
              <w:bottom w:w="80" w:type="dxa"/>
              <w:end w:w="120" w:type="dxa"/>
            </w:tcMar>
            <w:vAlign w:val="center"/>
          </w:tcPr>
          <w:p>
            <w:pPr>
              <w:spacing w:after="0"/>
            </w:pPr>
            <w:r>
              <w:rPr>
                <w:rFonts w:ascii="Calibri" w:hAnsi="Calibri"/>
                <w:color w:val="172033"/>
                <w:sz w:val="18"/>
              </w:rPr>
              <w:t>$199</w:t>
            </w:r>
          </w:p>
        </w:tc>
      </w:tr>
      <w:tr>
        <w:tc>
          <w:tcPr>
            <w:tcW w:type="dxa" w:w="3260"/>
            <w:tcMar>
              <w:top w:w="80" w:type="dxa"/>
              <w:start w:w="120" w:type="dxa"/>
              <w:bottom w:w="80" w:type="dxa"/>
              <w:end w:w="120" w:type="dxa"/>
            </w:tcMar>
            <w:vAlign w:val="center"/>
          </w:tcPr>
          <w:p>
            <w:pPr>
              <w:spacing w:after="0"/>
            </w:pPr>
            <w:r>
              <w:rPr>
                <w:rFonts w:ascii="Calibri" w:hAnsi="Calibri"/>
                <w:color w:val="172033"/>
                <w:sz w:val="18"/>
              </w:rPr>
              <w:t>STRIPE_PRICE_CREDITS_STARTER</w:t>
            </w:r>
          </w:p>
        </w:tc>
        <w:tc>
          <w:tcPr>
            <w:tcW w:type="dxa" w:w="2500"/>
            <w:tcMar>
              <w:top w:w="80" w:type="dxa"/>
              <w:start w:w="120" w:type="dxa"/>
              <w:bottom w:w="80" w:type="dxa"/>
              <w:end w:w="120" w:type="dxa"/>
            </w:tcMar>
            <w:vAlign w:val="center"/>
          </w:tcPr>
          <w:p>
            <w:pPr>
              <w:spacing w:after="0"/>
            </w:pPr>
            <w:r>
              <w:rPr>
                <w:rFonts w:ascii="Calibri" w:hAnsi="Calibri"/>
                <w:color w:val="172033"/>
                <w:sz w:val="18"/>
              </w:rPr>
              <w:t>500 hosted credits</w:t>
            </w:r>
          </w:p>
        </w:tc>
        <w:tc>
          <w:tcPr>
            <w:tcW w:type="dxa" w:w="1000"/>
            <w:tcMar>
              <w:top w:w="80" w:type="dxa"/>
              <w:start w:w="120" w:type="dxa"/>
              <w:bottom w:w="80" w:type="dxa"/>
              <w:end w:w="120" w:type="dxa"/>
            </w:tcMar>
            <w:vAlign w:val="center"/>
          </w:tcPr>
          <w:p>
            <w:pPr>
              <w:spacing w:after="0"/>
            </w:pPr>
            <w:r>
              <w:rPr>
                <w:rFonts w:ascii="Calibri" w:hAnsi="Calibri"/>
                <w:color w:val="172033"/>
                <w:sz w:val="18"/>
              </w:rPr>
              <w:t>INR</w:t>
            </w:r>
          </w:p>
        </w:tc>
        <w:tc>
          <w:tcPr>
            <w:tcW w:type="dxa" w:w="2600"/>
            <w:tcMar>
              <w:top w:w="80" w:type="dxa"/>
              <w:start w:w="120" w:type="dxa"/>
              <w:bottom w:w="80" w:type="dxa"/>
              <w:end w:w="120" w:type="dxa"/>
            </w:tcMar>
            <w:vAlign w:val="center"/>
          </w:tcPr>
          <w:p>
            <w:pPr>
              <w:spacing w:after="0"/>
            </w:pPr>
            <w:r>
              <w:rPr>
                <w:rFonts w:ascii="Calibri" w:hAnsi="Calibri"/>
                <w:color w:val="172033"/>
                <w:sz w:val="18"/>
              </w:rPr>
              <w:t>₹249</w:t>
            </w:r>
          </w:p>
        </w:tc>
      </w:tr>
      <w:tr>
        <w:tc>
          <w:tcPr>
            <w:tcW w:type="dxa" w:w="3260"/>
            <w:tcMar>
              <w:top w:w="80" w:type="dxa"/>
              <w:start w:w="120" w:type="dxa"/>
              <w:bottom w:w="80" w:type="dxa"/>
              <w:end w:w="120" w:type="dxa"/>
            </w:tcMar>
            <w:vAlign w:val="center"/>
          </w:tcPr>
          <w:p>
            <w:pPr>
              <w:spacing w:after="0"/>
            </w:pPr>
            <w:r>
              <w:rPr>
                <w:rFonts w:ascii="Calibri" w:hAnsi="Calibri"/>
                <w:color w:val="172033"/>
                <w:sz w:val="18"/>
              </w:rPr>
              <w:t>STRIPE_PRICE_CREDITS_REGULAR</w:t>
            </w:r>
          </w:p>
        </w:tc>
        <w:tc>
          <w:tcPr>
            <w:tcW w:type="dxa" w:w="2500"/>
            <w:tcMar>
              <w:top w:w="80" w:type="dxa"/>
              <w:start w:w="120" w:type="dxa"/>
              <w:bottom w:w="80" w:type="dxa"/>
              <w:end w:w="120" w:type="dxa"/>
            </w:tcMar>
            <w:vAlign w:val="center"/>
          </w:tcPr>
          <w:p>
            <w:pPr>
              <w:spacing w:after="0"/>
            </w:pPr>
            <w:r>
              <w:rPr>
                <w:rFonts w:ascii="Calibri" w:hAnsi="Calibri"/>
                <w:color w:val="172033"/>
                <w:sz w:val="18"/>
              </w:rPr>
              <w:t>1,200 hosted credits</w:t>
            </w:r>
          </w:p>
        </w:tc>
        <w:tc>
          <w:tcPr>
            <w:tcW w:type="dxa" w:w="1000"/>
            <w:tcMar>
              <w:top w:w="80" w:type="dxa"/>
              <w:start w:w="120" w:type="dxa"/>
              <w:bottom w:w="80" w:type="dxa"/>
              <w:end w:w="120" w:type="dxa"/>
            </w:tcMar>
            <w:vAlign w:val="center"/>
          </w:tcPr>
          <w:p>
            <w:pPr>
              <w:spacing w:after="0"/>
            </w:pPr>
            <w:r>
              <w:rPr>
                <w:rFonts w:ascii="Calibri" w:hAnsi="Calibri"/>
                <w:color w:val="172033"/>
                <w:sz w:val="18"/>
              </w:rPr>
              <w:t>INR</w:t>
            </w:r>
          </w:p>
        </w:tc>
        <w:tc>
          <w:tcPr>
            <w:tcW w:type="dxa" w:w="2600"/>
            <w:tcMar>
              <w:top w:w="80" w:type="dxa"/>
              <w:start w:w="120" w:type="dxa"/>
              <w:bottom w:w="80" w:type="dxa"/>
              <w:end w:w="120" w:type="dxa"/>
            </w:tcMar>
            <w:vAlign w:val="center"/>
          </w:tcPr>
          <w:p>
            <w:pPr>
              <w:spacing w:after="0"/>
            </w:pPr>
            <w:r>
              <w:rPr>
                <w:rFonts w:ascii="Calibri" w:hAnsi="Calibri"/>
                <w:color w:val="172033"/>
                <w:sz w:val="18"/>
              </w:rPr>
              <w:t>₹499</w:t>
            </w:r>
          </w:p>
        </w:tc>
      </w:tr>
      <w:tr>
        <w:tc>
          <w:tcPr>
            <w:tcW w:type="dxa" w:w="3260"/>
            <w:tcMar>
              <w:top w:w="80" w:type="dxa"/>
              <w:start w:w="120" w:type="dxa"/>
              <w:bottom w:w="80" w:type="dxa"/>
              <w:end w:w="120" w:type="dxa"/>
            </w:tcMar>
            <w:vAlign w:val="center"/>
          </w:tcPr>
          <w:p>
            <w:pPr>
              <w:spacing w:after="0"/>
            </w:pPr>
            <w:r>
              <w:rPr>
                <w:rFonts w:ascii="Calibri" w:hAnsi="Calibri"/>
                <w:color w:val="172033"/>
                <w:sz w:val="18"/>
              </w:rPr>
              <w:t>STRIPE_PRICE_CREDITS_POWER</w:t>
            </w:r>
          </w:p>
        </w:tc>
        <w:tc>
          <w:tcPr>
            <w:tcW w:type="dxa" w:w="2500"/>
            <w:tcMar>
              <w:top w:w="80" w:type="dxa"/>
              <w:start w:w="120" w:type="dxa"/>
              <w:bottom w:w="80" w:type="dxa"/>
              <w:end w:w="120" w:type="dxa"/>
            </w:tcMar>
            <w:vAlign w:val="center"/>
          </w:tcPr>
          <w:p>
            <w:pPr>
              <w:spacing w:after="0"/>
            </w:pPr>
            <w:r>
              <w:rPr>
                <w:rFonts w:ascii="Calibri" w:hAnsi="Calibri"/>
                <w:color w:val="172033"/>
                <w:sz w:val="18"/>
              </w:rPr>
              <w:t>3,000 hosted credits</w:t>
            </w:r>
          </w:p>
        </w:tc>
        <w:tc>
          <w:tcPr>
            <w:tcW w:type="dxa" w:w="1000"/>
            <w:tcMar>
              <w:top w:w="80" w:type="dxa"/>
              <w:start w:w="120" w:type="dxa"/>
              <w:bottom w:w="80" w:type="dxa"/>
              <w:end w:w="120" w:type="dxa"/>
            </w:tcMar>
            <w:vAlign w:val="center"/>
          </w:tcPr>
          <w:p>
            <w:pPr>
              <w:spacing w:after="0"/>
            </w:pPr>
            <w:r>
              <w:rPr>
                <w:rFonts w:ascii="Calibri" w:hAnsi="Calibri"/>
                <w:color w:val="172033"/>
                <w:sz w:val="18"/>
              </w:rPr>
              <w:t>INR</w:t>
            </w:r>
          </w:p>
        </w:tc>
        <w:tc>
          <w:tcPr>
            <w:tcW w:type="dxa" w:w="2600"/>
            <w:tcMar>
              <w:top w:w="80" w:type="dxa"/>
              <w:start w:w="120" w:type="dxa"/>
              <w:bottom w:w="80" w:type="dxa"/>
              <w:end w:w="120" w:type="dxa"/>
            </w:tcMar>
            <w:vAlign w:val="center"/>
          </w:tcPr>
          <w:p>
            <w:pPr>
              <w:spacing w:after="0"/>
            </w:pPr>
            <w:r>
              <w:rPr>
                <w:rFonts w:ascii="Calibri" w:hAnsi="Calibri"/>
                <w:color w:val="172033"/>
                <w:sz w:val="18"/>
              </w:rPr>
              <w:t>₹999</w:t>
            </w:r>
          </w:p>
        </w:tc>
      </w:tr>
    </w:tbl>
    <w:p>
      <w:pPr>
        <w:spacing w:after="20"/>
      </w:pPr>
    </w:p>
    <w:p>
      <w:pPr>
        <w:keepLines/>
        <w:numPr>
          <w:ilvl w:val="0"/>
          <w:numId w:val="10"/>
        </w:numPr>
      </w:pPr>
      <w:r>
        <w:t>Create every Price as one-time. Keep Test and Live Price IDs separate.</w:t>
      </w:r>
    </w:p>
    <w:p>
      <w:pPr>
        <w:keepLines/>
        <w:numPr>
          <w:ilvl w:val="0"/>
          <w:numId w:val="10"/>
        </w:numPr>
      </w:pPr>
      <w:r>
        <w:t>Add test Price IDs to Vercel Preview first. Add live Price IDs to Production only after all test-mode acceptance checks pass.</w:t>
      </w:r>
    </w:p>
    <w:p>
      <w:pPr>
        <w:keepLines/>
        <w:numPr>
          <w:ilvl w:val="0"/>
          <w:numId w:val="10"/>
        </w:numPr>
      </w:pPr>
      <w:r>
        <w:t>Leave PPP_CHECKOUT_ENABLED=false until US test checkout and country selection are verified. India remains the safe default.</w:t>
      </w:r>
    </w:p>
    <w:p>
      <w:pPr>
        <w:keepLines/>
        <w:numPr>
          <w:ilvl w:val="0"/>
          <w:numId w:val="10"/>
        </w:numPr>
      </w:pPr>
      <w:r>
        <w:t>For each new country, use a manual Stripe Price table based on the approved World Bank ICP price-level adjustment, clamped to 0.55–1.25 of the US anchor. Record the source year and approval; recalculate annually.</w:t>
      </w:r>
    </w:p>
    <w:p>
      <w:pPr>
        <w:keepLines/>
        <w:numPr>
          <w:ilvl w:val="0"/>
          <w:numId w:val="10"/>
        </w:numPr>
      </w:pPr>
      <w:r>
        <w:t>Do not let browser-supplied amounts reach Stripe. GODFIN already selects product, country, price ID, and expected amount server-side.</w:t>
      </w:r>
    </w:p>
    <w:p>
      <w:pPr>
        <w:pStyle w:val="Heading2"/>
      </w:pPr>
      <w:r>
        <w:t>2.3 Configure the webhook</w:t>
      </w:r>
    </w:p>
    <w:p>
      <w:pPr>
        <w:keepLines/>
        <w:numPr>
          <w:ilvl w:val="0"/>
          <w:numId w:val="10"/>
        </w:numPr>
      </w:pPr>
      <w:r>
        <w:t>Create a Test webhook endpoint at https://godfin.vercel.app/api/webhook.</w:t>
      </w:r>
    </w:p>
    <w:p>
      <w:pPr>
        <w:keepLines/>
        <w:numPr>
          <w:ilvl w:val="0"/>
          <w:numId w:val="10"/>
        </w:numPr>
      </w:pPr>
      <w:r>
        <w:t>Subscribe only to checkout.session.completed and checkout.session.async_payment_succeeded.</w:t>
      </w:r>
    </w:p>
    <w:p>
      <w:pPr>
        <w:keepLines/>
        <w:numPr>
          <w:ilvl w:val="0"/>
          <w:numId w:val="10"/>
        </w:numPr>
      </w:pPr>
      <w:r>
        <w:t>Copy the webhook signing secret directly into STRIPE_WEBHOOK_SECRET in Vercel Preview. Repeat with the live endpoint and Production secret after the custom domain is final.</w:t>
      </w:r>
    </w:p>
    <w:p>
      <w:pPr>
        <w:keepLines/>
        <w:numPr>
          <w:ilvl w:val="0"/>
          <w:numId w:val="10"/>
        </w:numPr>
      </w:pPr>
      <w:r>
        <w:t>Set STRIPE_SECRET_KEY and all matching Price variables in the same Vercel environment. Redeploy after changes.</w:t>
      </w:r>
    </w:p>
    <w:p>
      <w:pPr>
        <w:keepLines/>
        <w:numPr>
          <w:ilvl w:val="0"/>
          <w:numId w:val="10"/>
        </w:numPr>
      </w:pPr>
      <w:r>
        <w:t>Use Stripe CLI or Dashboard replay to send the same paid event twice. Verify one purchase, one license, one credit grant if applicable, and one license email.</w:t>
      </w:r>
    </w:p>
    <w:p>
      <w:r>
        <w:br w:type="page"/>
      </w:r>
    </w:p>
    <w:p>
      <w:pPr>
        <w:pStyle w:val="Heading2"/>
      </w:pPr>
      <w:r>
        <w:t>2.4 Payment acceptance evidence</w:t>
      </w:r>
    </w:p>
    <w:p>
      <w:pPr>
        <w:keepLines/>
        <w:numPr>
          <w:ilvl w:val="0"/>
          <w:numId w:val="12"/>
        </w:numPr>
      </w:pPr>
      <w:r>
        <w:t>Unauthenticated checkout returns a sign-in requirement.</w:t>
      </w:r>
    </w:p>
    <w:p>
      <w:pPr>
        <w:keepLines/>
        <w:numPr>
          <w:ilvl w:val="0"/>
          <w:numId w:val="12"/>
        </w:numPr>
      </w:pPr>
      <w:r>
        <w:t>Successful Pro and Max test payments provision exactly one lifetime license each.</w:t>
      </w:r>
    </w:p>
    <w:p>
      <w:pPr>
        <w:keepLines/>
        <w:numPr>
          <w:ilvl w:val="0"/>
          <w:numId w:val="12"/>
        </w:numPr>
      </w:pPr>
      <w:r>
        <w:t>Invalid webhook signatures return HTTP 400 and create nothing.</w:t>
      </w:r>
    </w:p>
    <w:p>
      <w:pPr>
        <w:keepLines/>
        <w:numPr>
          <w:ilvl w:val="0"/>
          <w:numId w:val="12"/>
        </w:numPr>
      </w:pPr>
      <w:r>
        <w:t>Cancelled or unpaid sessions create nothing.</w:t>
      </w:r>
    </w:p>
    <w:p>
      <w:pPr>
        <w:keepLines/>
        <w:numPr>
          <w:ilvl w:val="0"/>
          <w:numId w:val="12"/>
        </w:numPr>
      </w:pPr>
      <w:r>
        <w:t>Async payment success provisions exactly once.</w:t>
      </w:r>
    </w:p>
    <w:p>
      <w:pPr>
        <w:keepLines/>
        <w:numPr>
          <w:ilvl w:val="0"/>
          <w:numId w:val="12"/>
        </w:numPr>
      </w:pPr>
      <w:r>
        <w:t>Credit-pack replay does not duplicate the balance.</w:t>
      </w:r>
    </w:p>
    <w:p>
      <w:pPr>
        <w:keepLines/>
        <w:numPr>
          <w:ilvl w:val="0"/>
          <w:numId w:val="12"/>
        </w:numPr>
      </w:pPr>
      <w:r>
        <w:t>The desktop fourth activation is rejected; deactivating one device allows another.</w:t>
      </w:r>
    </w:p>
    <w:p>
      <w:pPr>
        <w:keepLines/>
        <w:numPr>
          <w:ilvl w:val="0"/>
          <w:numId w:val="12"/>
        </w:numPr>
      </w:pPr>
      <w:r>
        <w:t>A controlled live purchase is completed only after legal, tax, email, and refund procedures are ready.</w:t>
      </w:r>
    </w:p>
    <w:p>
      <w:pPr>
        <w:pStyle w:val="RunbookCaption"/>
      </w:pPr>
      <w:r>
        <w:t xml:space="preserve">Official reference: </w:t>
      </w:r>
      <w:hyperlink r:id="rId13">
        <w:r>
          <w:rPr>
            <w:color w:val="2E74B5"/>
            <w:u w:val="single"/>
          </w:rPr>
          <w:t>Stripe India documentation</w:t>
        </w:r>
      </w:hyperlink>
    </w:p>
    <w:p>
      <w:pPr>
        <w:pStyle w:val="RunbookCaption"/>
      </w:pPr>
      <w:r>
        <w:t xml:space="preserve">Official reference: </w:t>
      </w:r>
      <w:hyperlink r:id="rId14">
        <w:r>
          <w:rPr>
            <w:color w:val="2E74B5"/>
            <w:u w:val="single"/>
          </w:rPr>
          <w:t>Stripe webhook signatures</w:t>
        </w:r>
      </w:hyperlink>
    </w:p>
    <w:p>
      <w:pPr>
        <w:spacing w:after="80"/>
      </w:pPr>
      <w:r>
        <w:rPr>
          <w:b/>
        </w:rPr>
        <w:t xml:space="preserve">Stripe account ID: </w:t>
      </w:r>
      <w:r>
        <w:t>__________________________________________________________________________</w:t>
      </w:r>
    </w:p>
    <w:p>
      <w:pPr>
        <w:spacing w:after="80"/>
      </w:pPr>
      <w:r>
        <w:rPr>
          <w:b/>
        </w:rPr>
        <w:t xml:space="preserve">Test webhook endpoint ID: </w:t>
      </w:r>
      <w:r>
        <w:t>__________________________________________________________________________</w:t>
      </w:r>
    </w:p>
    <w:p>
      <w:pPr>
        <w:spacing w:after="80"/>
      </w:pPr>
      <w:r>
        <w:rPr>
          <w:b/>
        </w:rPr>
        <w:t xml:space="preserve">Live webhook endpoint ID: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3. Resend, operational email, and DNS</w:t>
      </w:r>
    </w:p>
    <w:p>
      <w:pPr>
        <w:keepLines/>
        <w:numPr>
          <w:ilvl w:val="0"/>
          <w:numId w:val="10"/>
        </w:numPr>
      </w:pPr>
      <w:r>
        <w:t>Create the Resend account under the business owner, enable two-factor authentication, and add godfin.dev as the sending domain.</w:t>
      </w:r>
    </w:p>
    <w:p>
      <w:pPr>
        <w:keepLines/>
        <w:numPr>
          <w:ilvl w:val="0"/>
          <w:numId w:val="10"/>
        </w:numPr>
      </w:pPr>
      <w:r>
        <w:t>In the authoritative DNS provider, add exactly the SPF and DKIM records supplied by Resend. Do not invent or duplicate SPF records.</w:t>
      </w:r>
    </w:p>
    <w:p>
      <w:pPr>
        <w:keepLines/>
        <w:numPr>
          <w:ilvl w:val="0"/>
          <w:numId w:val="10"/>
        </w:numPr>
      </w:pPr>
      <w:r>
        <w:t>Add a DMARC record. Start with monitoring if necessary, review reports, then tighten with counsel/operations guidance.</w:t>
      </w:r>
    </w:p>
    <w:p>
      <w:pPr>
        <w:keepLines/>
        <w:numPr>
          <w:ilvl w:val="0"/>
          <w:numId w:val="10"/>
        </w:numPr>
      </w:pPr>
      <w:r>
        <w:t>Create monitored addresses or aliases: licenses@godfin.dev, support@godfin.dev, privacy@godfin.dev, legal@godfin.dev, and security@godfin.dev.</w:t>
      </w:r>
    </w:p>
    <w:p>
      <w:pPr>
        <w:keepLines/>
        <w:numPr>
          <w:ilvl w:val="0"/>
          <w:numId w:val="10"/>
        </w:numPr>
      </w:pPr>
      <w:r>
        <w:t>Create a least-privilege production Resend API key. Store it directly as RESEND_API_KEY in Vercel Production and Preview; set RESEND_FROM_EMAIL to GODFIN &lt;licenses@godfin.dev&gt;.</w:t>
      </w:r>
    </w:p>
    <w:p>
      <w:pPr>
        <w:keepLines/>
        <w:numPr>
          <w:ilvl w:val="0"/>
          <w:numId w:val="10"/>
        </w:numPr>
      </w:pPr>
      <w:r>
        <w:t>Redeploy. Submit the waitlist form, receive the confirmation email, confirm once, and verify a repeated confirmation does not duplicate the record.</w:t>
      </w:r>
    </w:p>
    <w:p>
      <w:pPr>
        <w:keepLines/>
        <w:numPr>
          <w:ilvl w:val="0"/>
          <w:numId w:val="10"/>
        </w:numPr>
      </w:pPr>
      <w:r>
        <w:t>Complete a synthetic license email test to Gmail and another provider. Check SPF, DKIM, DMARC alignment, inbox placement, links, mobile layout, plain-text fallback, reply path, and resend behavior.</w:t>
      </w:r>
    </w:p>
    <w:p>
      <w:pPr>
        <w:keepLines/>
        <w:numPr>
          <w:ilvl w:val="0"/>
          <w:numId w:val="12"/>
        </w:numPr>
      </w:pPr>
      <w:r>
        <w:t>Resend domain shows Verified.</w:t>
      </w:r>
    </w:p>
    <w:p>
      <w:pPr>
        <w:keepLines/>
        <w:numPr>
          <w:ilvl w:val="0"/>
          <w:numId w:val="12"/>
        </w:numPr>
      </w:pPr>
      <w:r>
        <w:t>SPF, DKIM, and DMARC checks pass.</w:t>
      </w:r>
    </w:p>
    <w:p>
      <w:pPr>
        <w:keepLines/>
        <w:numPr>
          <w:ilvl w:val="0"/>
          <w:numId w:val="12"/>
        </w:numPr>
      </w:pPr>
      <w:r>
        <w:t>Double-opt-in waitlist works and stores no desktop financial data.</w:t>
      </w:r>
    </w:p>
    <w:p>
      <w:pPr>
        <w:keepLines/>
        <w:numPr>
          <w:ilvl w:val="0"/>
          <w:numId w:val="12"/>
        </w:numPr>
      </w:pPr>
      <w:r>
        <w:t>License delivery works in two mailbox providers.</w:t>
      </w:r>
    </w:p>
    <w:p>
      <w:pPr>
        <w:keepLines/>
        <w:numPr>
          <w:ilvl w:val="0"/>
          <w:numId w:val="12"/>
        </w:numPr>
      </w:pPr>
      <w:r>
        <w:t>Support, privacy, legal, licenses, and security mailboxes are monitored.</w:t>
      </w:r>
    </w:p>
    <w:p>
      <w:pPr>
        <w:pStyle w:val="RunbookCaption"/>
      </w:pPr>
      <w:r>
        <w:t xml:space="preserve">Official reference: </w:t>
      </w:r>
      <w:hyperlink r:id="rId15">
        <w:r>
          <w:rPr>
            <w:color w:val="2E74B5"/>
            <w:u w:val="single"/>
          </w:rPr>
          <w:t>Resend domain verification</w:t>
        </w:r>
      </w:hyperlink>
    </w:p>
    <w:p>
      <w:pPr>
        <w:spacing w:after="80"/>
      </w:pPr>
      <w:r>
        <w:rPr>
          <w:b/>
        </w:rPr>
        <w:t xml:space="preserve">DNS provider: </w:t>
      </w:r>
      <w:r>
        <w:t>__________________________________________________________________________</w:t>
      </w:r>
    </w:p>
    <w:p>
      <w:pPr>
        <w:spacing w:after="80"/>
      </w:pPr>
      <w:r>
        <w:rPr>
          <w:b/>
        </w:rPr>
        <w:t xml:space="preserve">Second test mailbox provider: </w:t>
      </w:r>
      <w:r>
        <w:t>__________________________________________________________________________</w:t>
      </w:r>
    </w:p>
    <w:p>
      <w:pPr>
        <w:spacing w:after="80"/>
      </w:pPr>
      <w:r>
        <w:rPr>
          <w:b/>
        </w:rPr>
        <w:t xml:space="preserve">Support owner: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4. Domain and Vercel production</w:t>
      </w:r>
    </w:p>
    <w:p>
      <w:pPr>
        <w:keepLines/>
        <w:numPr>
          <w:ilvl w:val="0"/>
          <w:numId w:val="10"/>
        </w:numPr>
      </w:pPr>
      <w:r>
        <w:t>Register or confirm control of godfin.dev in a business-owned registrar account. Enable registrar lock, two-factor authentication, auto-renewal, and a recovery contact.</w:t>
      </w:r>
    </w:p>
    <w:p>
      <w:pPr>
        <w:keepLines/>
        <w:numPr>
          <w:ilvl w:val="0"/>
          <w:numId w:val="10"/>
        </w:numPr>
      </w:pPr>
      <w:r>
        <w:t>In Vercel project godfin, add godfin.dev and www.godfin.dev. Copy only the DNS records Vercel displays into the authoritative DNS provider.</w:t>
      </w:r>
    </w:p>
    <w:p>
      <w:pPr>
        <w:keepLines/>
        <w:numPr>
          <w:ilvl w:val="0"/>
          <w:numId w:val="10"/>
        </w:numPr>
      </w:pPr>
      <w:r>
        <w:t>Choose one canonical host. Redirect the other host permanently.</w:t>
      </w:r>
    </w:p>
    <w:p>
      <w:pPr>
        <w:keepLines/>
        <w:numPr>
          <w:ilvl w:val="0"/>
          <w:numId w:val="10"/>
        </w:numPr>
      </w:pPr>
      <w:r>
        <w:t>Set NEXT_PUBLIC_SITE_URL=https://godfin.dev for Production after DNS and HTTPS are ready. Update Google/Supabase redirect allow-lists and Stripe webhook/success/cancel URLs before switching traffic.</w:t>
      </w:r>
    </w:p>
    <w:p>
      <w:pPr>
        <w:keepLines/>
        <w:numPr>
          <w:ilvl w:val="0"/>
          <w:numId w:val="10"/>
        </w:numPr>
      </w:pPr>
      <w:r>
        <w:t>Verify HTTPS, HSTS, CSP, X-Frame-Options, nosniff, Referrer-Policy, Permissions-Policy, sitemap.xml, robots.txt, and a deliberate 404.</w:t>
      </w:r>
    </w:p>
    <w:p>
      <w:pPr>
        <w:keepLines/>
        <w:numPr>
          <w:ilvl w:val="0"/>
          <w:numId w:val="10"/>
        </w:numPr>
      </w:pPr>
      <w:r>
        <w:t>Set immutable signed download URLs only after Section 12 clean-system validation. Do not point download buttons at unsigned local builds.</w:t>
      </w:r>
    </w:p>
    <w:p>
      <w:pPr>
        <w:keepLines/>
        <w:numPr>
          <w:ilvl w:val="0"/>
          <w:numId w:val="12"/>
        </w:numPr>
      </w:pPr>
      <w:r>
        <w:t>Apex and www resolve as designed over HTTPS.</w:t>
      </w:r>
    </w:p>
    <w:p>
      <w:pPr>
        <w:keepLines/>
        <w:numPr>
          <w:ilvl w:val="0"/>
          <w:numId w:val="12"/>
        </w:numPr>
      </w:pPr>
      <w:r>
        <w:t>Account, pricing, download, privacy, terms, docs, waitlist, and callback paths pass.</w:t>
      </w:r>
    </w:p>
    <w:p>
      <w:pPr>
        <w:keepLines/>
        <w:numPr>
          <w:ilvl w:val="0"/>
          <w:numId w:val="12"/>
        </w:numPr>
      </w:pPr>
      <w:r>
        <w:t>Google, Stripe, and Resend use the canonical production host.</w:t>
      </w:r>
    </w:p>
    <w:p>
      <w:pPr>
        <w:keepLines/>
        <w:numPr>
          <w:ilvl w:val="0"/>
          <w:numId w:val="12"/>
        </w:numPr>
      </w:pPr>
      <w:r>
        <w:t>No secret appears in build logs or browser JavaScript.</w:t>
      </w:r>
    </w:p>
    <w:p>
      <w:pPr>
        <w:spacing w:after="80"/>
      </w:pPr>
      <w:r>
        <w:rPr>
          <w:b/>
        </w:rPr>
        <w:t xml:space="preserve">Registrar: </w:t>
      </w:r>
      <w:r>
        <w:t>__________________________________________________________________________</w:t>
      </w:r>
    </w:p>
    <w:p>
      <w:pPr>
        <w:spacing w:after="80"/>
      </w:pPr>
      <w:r>
        <w:rPr>
          <w:b/>
        </w:rPr>
        <w:t xml:space="preserve">Renewal date: </w:t>
      </w:r>
      <w:r>
        <w:t>__________________________________________________________________________</w:t>
      </w:r>
    </w:p>
    <w:p>
      <w:pPr>
        <w:spacing w:after="80"/>
      </w:pPr>
      <w:r>
        <w:rPr>
          <w:b/>
        </w:rPr>
        <w:t xml:space="preserve">Canonical host: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5. License custody and three-device operations</w:t>
      </w:r>
    </w:p>
    <w:p>
      <w:pPr>
        <w:spacing w:before="100" w:after="160" w:line="288" w:lineRule="auto"/>
        <w:ind w:left="115" w:right="115"/>
        <w:shd w:fill="FFF4D8"/>
        <w:pBdr>
          <w:left w:val="single" w:sz="18" w:space="8" w:color="7A5A00"/>
        </w:pBdr>
      </w:pPr>
      <w:r>
        <w:rPr>
          <w:rFonts w:ascii="Calibri" w:hAnsi="Calibri"/>
          <w:b/>
          <w:color w:val="7A5A00"/>
          <w:sz w:val="21"/>
        </w:rPr>
        <w:t xml:space="preserve">CURRENT STATE  </w:t>
      </w:r>
      <w:r>
        <w:rPr>
          <w:rFonts w:ascii="Calibri" w:hAnsi="Calibri"/>
          <w:color w:val="172033"/>
          <w:sz w:val="21"/>
        </w:rPr>
        <w:t>LICENSE_SIGNING_SECRET is already present as an encrypted Vercel variable. Do not replace it casually: issued keys are derived from it. The database stores license hashes, not full license keys.</w:t>
      </w:r>
    </w:p>
    <w:p>
      <w:pPr>
        <w:keepLines/>
        <w:numPr>
          <w:ilvl w:val="0"/>
          <w:numId w:val="10"/>
        </w:numPr>
      </w:pPr>
      <w:r>
        <w:t>Confirm the exact current LICENSE_SIGNING_SECRET is stored in the business password vault with restricted access and a tested offline recovery copy. Never reveal the value.</w:t>
      </w:r>
    </w:p>
    <w:p>
      <w:pPr>
        <w:keepLines/>
        <w:numPr>
          <w:ilvl w:val="0"/>
          <w:numId w:val="10"/>
        </w:numPr>
      </w:pPr>
      <w:r>
        <w:t>Record authorized custodians and an emergency access procedure.</w:t>
      </w:r>
    </w:p>
    <w:p>
      <w:pPr>
        <w:keepLines/>
        <w:numPr>
          <w:ilvl w:val="0"/>
          <w:numId w:val="10"/>
        </w:numPr>
      </w:pPr>
      <w:r>
        <w:t>Use random installation IDs stored in OS secure storage. Do not add hardware serials, payment details, or persistent IP fingerprints.</w:t>
      </w:r>
    </w:p>
    <w:p>
      <w:pPr>
        <w:keepLines/>
        <w:numPr>
          <w:ilvl w:val="0"/>
          <w:numId w:val="10"/>
        </w:numPr>
      </w:pPr>
      <w:r>
        <w:t>From a paid test account, activate three synthetic installations. Confirm a fourth returns ACTIVATION_LIMIT.</w:t>
      </w:r>
    </w:p>
    <w:p>
      <w:pPr>
        <w:keepLines/>
        <w:numPr>
          <w:ilvl w:val="0"/>
          <w:numId w:val="10"/>
        </w:numPr>
      </w:pPr>
      <w:r>
        <w:t>Open /account, list the devices, deactivate one, and verify a new installation can activate.</w:t>
      </w:r>
    </w:p>
    <w:p>
      <w:pPr>
        <w:keepLines/>
        <w:numPr>
          <w:ilvl w:val="0"/>
          <w:numId w:val="10"/>
        </w:numPr>
      </w:pPr>
      <w:r>
        <w:t>Verify offline grace, re-verification, invalid key, inactive license, lost-key resend, and local license removal. Confirm local financial data remains untouched.</w:t>
      </w:r>
    </w:p>
    <w:p>
      <w:pPr>
        <w:keepLines/>
        <w:numPr>
          <w:ilvl w:val="0"/>
          <w:numId w:val="10"/>
        </w:numPr>
      </w:pPr>
      <w:r>
        <w:t>Before any future secret rotation, design versioned key IDs, legacy verification, reissue, rollback, and customer communication.</w:t>
      </w:r>
    </w:p>
    <w:p>
      <w:pPr>
        <w:keepLines/>
        <w:numPr>
          <w:ilvl w:val="0"/>
          <w:numId w:val="10"/>
        </w:numPr>
      </w:pPr>
      <w:r>
        <w:t>Completed 30 July 2026: the owner license is kind owner_test, tier Max, linked to the owner’s Supabase account, absent from purchase/revenue records, stored only as a hash server-side, and activated on one macOS arm64 installation through the normal verification flow. Its full key is not reproduced in this document.</w:t>
      </w:r>
    </w:p>
    <w:p>
      <w:pPr>
        <w:keepLines/>
        <w:numPr>
          <w:ilvl w:val="0"/>
          <w:numId w:val="12"/>
        </w:numPr>
      </w:pPr>
      <w:r>
        <w:t>Vault and offline recovery copies are verified.</w:t>
      </w:r>
    </w:p>
    <w:p>
      <w:pPr>
        <w:keepLines/>
        <w:numPr>
          <w:ilvl w:val="0"/>
          <w:numId w:val="12"/>
        </w:numPr>
      </w:pPr>
      <w:r>
        <w:t>Three active installations succeed; the fourth is blocked.</w:t>
      </w:r>
    </w:p>
    <w:p>
      <w:pPr>
        <w:keepLines/>
        <w:numPr>
          <w:ilvl w:val="0"/>
          <w:numId w:val="12"/>
        </w:numPr>
      </w:pPr>
      <w:r>
        <w:t>Account-based deactivation and replacement succeed.</w:t>
      </w:r>
    </w:p>
    <w:p>
      <w:pPr>
        <w:keepLines/>
        <w:numPr>
          <w:ilvl w:val="0"/>
          <w:numId w:val="12"/>
        </w:numPr>
      </w:pPr>
      <w:r>
        <w:t>No serial, IP fingerprint, payment method, or financial ledger is stored by licensing.</w:t>
      </w:r>
    </w:p>
    <w:p>
      <w:pPr>
        <w:spacing w:after="80"/>
      </w:pPr>
      <w:r>
        <w:rPr>
          <w:b/>
        </w:rPr>
        <w:t xml:space="preserve">Vault record name (not the value): </w:t>
      </w:r>
      <w:r>
        <w:t>__________________________________________________________________________</w:t>
      </w:r>
    </w:p>
    <w:p>
      <w:pPr>
        <w:spacing w:after="80"/>
      </w:pPr>
      <w:r>
        <w:rPr>
          <w:b/>
        </w:rPr>
        <w:t xml:space="preserve">Authorized custodians: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6. macOS signing and notarization</w:t>
      </w:r>
    </w:p>
    <w:p>
      <w:pPr>
        <w:keepLines/>
        <w:numPr>
          <w:ilvl w:val="0"/>
          <w:numId w:val="10"/>
        </w:numPr>
      </w:pPr>
      <w:r>
        <w:t>Enroll the legal seller in the Apple Developer Program and complete identity verification.</w:t>
      </w:r>
    </w:p>
    <w:p>
      <w:pPr>
        <w:keepLines/>
        <w:numPr>
          <w:ilvl w:val="0"/>
          <w:numId w:val="10"/>
        </w:numPr>
      </w:pPr>
      <w:r>
        <w:t>Create a Developer ID Application certificate for distribution outside the Mac App Store.</w:t>
      </w:r>
    </w:p>
    <w:p>
      <w:pPr>
        <w:keepLines/>
        <w:numPr>
          <w:ilvl w:val="0"/>
          <w:numId w:val="10"/>
        </w:numPr>
      </w:pPr>
      <w:r>
        <w:t>Install the certificate and private key on a secured Mac, export a password-protected .p12, and store it only in the business vault.</w:t>
      </w:r>
    </w:p>
    <w:p>
      <w:pPr>
        <w:keepLines/>
        <w:numPr>
          <w:ilvl w:val="0"/>
          <w:numId w:val="10"/>
        </w:numPr>
      </w:pPr>
      <w:r>
        <w:t>Create an Apple app-specific password for notarization and record the Team ID.</w:t>
      </w:r>
    </w:p>
    <w:p>
      <w:pPr>
        <w:keepLines/>
        <w:numPr>
          <w:ilvl w:val="0"/>
          <w:numId w:val="10"/>
        </w:numPr>
      </w:pPr>
      <w:r>
        <w:t>Add GitHub Actions secrets MAC_CSC_LINK, MAC_CSC_KEY_PASSWORD, APPLE_ID, APPLE_APP_SPECIFIC_PASSWORD, and APPLE_TEAM_ID. Values must never appear in logs.</w:t>
      </w:r>
    </w:p>
    <w:p>
      <w:pPr>
        <w:keepLines/>
        <w:numPr>
          <w:ilvl w:val="0"/>
          <w:numId w:val="10"/>
        </w:numPr>
      </w:pPr>
      <w:r>
        <w:t>Run the private release workflow. Verify code signature, hardened runtime, entitlements, Electron fuses, notarization, stapling, DMG, and ZIP update artifact.</w:t>
      </w:r>
    </w:p>
    <w:p>
      <w:pPr>
        <w:keepLines/>
        <w:numPr>
          <w:ilvl w:val="0"/>
          <w:numId w:val="10"/>
        </w:numPr>
      </w:pPr>
      <w:r>
        <w:t>Install on clean macOS 13+ Apple silicon and Intel systems with Gatekeeper enabled. Do not instruct users to bypass Gatekeeper.</w:t>
      </w:r>
    </w:p>
    <w:p>
      <w:pPr>
        <w:keepLines/>
        <w:numPr>
          <w:ilvl w:val="0"/>
          <w:numId w:val="12"/>
        </w:numPr>
      </w:pPr>
      <w:r>
        <w:t>codesign --verify succeeds.</w:t>
      </w:r>
    </w:p>
    <w:p>
      <w:pPr>
        <w:keepLines/>
        <w:numPr>
          <w:ilvl w:val="0"/>
          <w:numId w:val="12"/>
        </w:numPr>
      </w:pPr>
      <w:r>
        <w:t>spctl assessment succeeds.</w:t>
      </w:r>
    </w:p>
    <w:p>
      <w:pPr>
        <w:keepLines/>
        <w:numPr>
          <w:ilvl w:val="0"/>
          <w:numId w:val="12"/>
        </w:numPr>
      </w:pPr>
      <w:r>
        <w:t>stapler validate succeeds.</w:t>
      </w:r>
    </w:p>
    <w:p>
      <w:pPr>
        <w:keepLines/>
        <w:numPr>
          <w:ilvl w:val="0"/>
          <w:numId w:val="12"/>
        </w:numPr>
      </w:pPr>
      <w:r>
        <w:t>Clean Apple silicon and Intel installs launch without override.</w:t>
      </w:r>
    </w:p>
    <w:p>
      <w:pPr>
        <w:spacing w:after="80"/>
      </w:pPr>
      <w:r>
        <w:rPr>
          <w:b/>
        </w:rPr>
        <w:t xml:space="preserve">Apple Team ID: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7. Windows signing</w:t>
      </w:r>
    </w:p>
    <w:p>
      <w:pPr>
        <w:keepLines/>
        <w:numPr>
          <w:ilvl w:val="0"/>
          <w:numId w:val="10"/>
        </w:numPr>
      </w:pPr>
      <w:r>
        <w:t>Purchase an Authenticode certificate in the legal seller’s name from a trusted provider. Prefer the provider’s supported hardware- or cloud-protected signing workflow.</w:t>
      </w:r>
    </w:p>
    <w:p>
      <w:pPr>
        <w:keepLines/>
        <w:numPr>
          <w:ilvl w:val="0"/>
          <w:numId w:val="10"/>
        </w:numPr>
      </w:pPr>
      <w:r>
        <w:t>Complete identity verification and document who controls signing access.</w:t>
      </w:r>
    </w:p>
    <w:p>
      <w:pPr>
        <w:keepLines/>
        <w:numPr>
          <w:ilvl w:val="0"/>
          <w:numId w:val="10"/>
        </w:numPr>
      </w:pPr>
      <w:r>
        <w:t>If the CI path supports an exportable PFX, store the protected file in the vault and add WIN_CSC_LINK and WIN_CSC_KEY_PASSWORD to GitHub Actions secrets.</w:t>
      </w:r>
    </w:p>
    <w:p>
      <w:pPr>
        <w:keepLines/>
        <w:numPr>
          <w:ilvl w:val="0"/>
          <w:numId w:val="10"/>
        </w:numPr>
      </w:pPr>
      <w:r>
        <w:t>Require a trusted timestamp so signatures remain valid after certificate expiry.</w:t>
      </w:r>
    </w:p>
    <w:p>
      <w:pPr>
        <w:keepLines/>
        <w:numPr>
          <w:ilvl w:val="0"/>
          <w:numId w:val="10"/>
        </w:numPr>
      </w:pPr>
      <w:r>
        <w:t>Build the private draft Windows installer. Verify publisher, chain, timestamp, NSIS behavior, and retained app data.</w:t>
      </w:r>
    </w:p>
    <w:p>
      <w:pPr>
        <w:keepLines/>
        <w:numPr>
          <w:ilvl w:val="0"/>
          <w:numId w:val="10"/>
        </w:numPr>
      </w:pPr>
      <w:r>
        <w:t>Install on clean Windows 10 22H2 and Windows 11 x64 systems with SmartScreen enabled. Record reputation warnings separately from signature validity.</w:t>
      </w:r>
    </w:p>
    <w:p>
      <w:pPr>
        <w:keepLines/>
        <w:numPr>
          <w:ilvl w:val="0"/>
          <w:numId w:val="12"/>
        </w:numPr>
      </w:pPr>
      <w:r>
        <w:t>Signature and timestamp verify.</w:t>
      </w:r>
    </w:p>
    <w:p>
      <w:pPr>
        <w:keepLines/>
        <w:numPr>
          <w:ilvl w:val="0"/>
          <w:numId w:val="12"/>
        </w:numPr>
      </w:pPr>
      <w:r>
        <w:t>Publisher matches the legal seller.</w:t>
      </w:r>
    </w:p>
    <w:p>
      <w:pPr>
        <w:keepLines/>
        <w:numPr>
          <w:ilvl w:val="0"/>
          <w:numId w:val="12"/>
        </w:numPr>
      </w:pPr>
      <w:r>
        <w:t>Windows 10 and 11 clean installs pass.</w:t>
      </w:r>
    </w:p>
    <w:p>
      <w:pPr>
        <w:keepLines/>
        <w:numPr>
          <w:ilvl w:val="0"/>
          <w:numId w:val="12"/>
        </w:numPr>
      </w:pPr>
      <w:r>
        <w:t>Upgrade and uninstall preserve SQLite data unless the user explicitly deletes it.</w:t>
      </w:r>
    </w:p>
    <w:p>
      <w:pPr>
        <w:spacing w:after="80"/>
      </w:pPr>
      <w:r>
        <w:rPr>
          <w:b/>
        </w:rPr>
        <w:t xml:space="preserve">Certificate provider: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8. Cloudflare R2 and signed updates</w:t>
      </w:r>
    </w:p>
    <w:p>
      <w:pPr>
        <w:keepLines/>
        <w:numPr>
          <w:ilvl w:val="0"/>
          <w:numId w:val="10"/>
        </w:numPr>
      </w:pPr>
      <w:r>
        <w:t>Create a business-owned Cloudflare account, enable two-factor authentication, and create an R2 bucket dedicated to release artifacts only.</w:t>
      </w:r>
    </w:p>
    <w:p>
      <w:pPr>
        <w:keepLines/>
        <w:numPr>
          <w:ilvl w:val="0"/>
          <w:numId w:val="10"/>
        </w:numPr>
      </w:pPr>
      <w:r>
        <w:t>Connect releases.godfin.dev to the bucket and verify HTTPS. Do not place customer data or desktop backups in this bucket.</w:t>
      </w:r>
    </w:p>
    <w:p>
      <w:pPr>
        <w:keepLines/>
        <w:numPr>
          <w:ilvl w:val="0"/>
          <w:numId w:val="10"/>
        </w:numPr>
      </w:pPr>
      <w:r>
        <w:t>Create a least-privilege R2 API token for release automation. Add GitHub secrets R2_ACCESS_KEY_ID, R2_SECRET_ACCESS_KEY, R2_ACCOUNT_ID, and R2_RELEASE_BUCKET.</w:t>
      </w:r>
    </w:p>
    <w:p>
      <w:pPr>
        <w:keepLines/>
        <w:numPr>
          <w:ilvl w:val="0"/>
          <w:numId w:val="10"/>
        </w:numPr>
      </w:pPr>
      <w:r>
        <w:t>Keep release binaries under immutable versioned paths such as /v0.1.0/&lt;artifact&gt;. Never overwrite a released binary.</w:t>
      </w:r>
    </w:p>
    <w:p>
      <w:pPr>
        <w:keepLines/>
        <w:numPr>
          <w:ilvl w:val="0"/>
          <w:numId w:val="10"/>
        </w:numPr>
      </w:pPr>
      <w:r>
        <w:t>Verify Content-Type, Content-Disposition, range requests, checksums, blockmaps, and architecture-specific latest metadata.</w:t>
      </w:r>
    </w:p>
    <w:p>
      <w:pPr>
        <w:keepLines/>
        <w:numPr>
          <w:ilvl w:val="0"/>
          <w:numId w:val="10"/>
        </w:numPr>
      </w:pPr>
      <w:r>
        <w:t>For the first 5% update cohort, the promote-updates workflow requires PUBLISH_STAGED_RELEASE. Advancing to 25%, 50%, or 100% requires ADVANCE_AFTER_HEALTH_REVIEW. Both use the protected release-production environment and must not run before explicit public-launch authorization.</w:t>
      </w:r>
    </w:p>
    <w:p>
      <w:pPr>
        <w:keepLines/>
        <w:numPr>
          <w:ilvl w:val="0"/>
          <w:numId w:val="10"/>
        </w:numPr>
      </w:pPr>
      <w:r>
        <w:t>Test rollback with a previously reviewed signed release using the separate rollback workflow and the exact confirmation ROLLBACK_SIGNED_RELEASE.</w:t>
      </w:r>
    </w:p>
    <w:p>
      <w:pPr>
        <w:keepLines/>
        <w:numPr>
          <w:ilvl w:val="0"/>
          <w:numId w:val="12"/>
        </w:numPr>
      </w:pPr>
      <w:r>
        <w:t>Anonymous read works; list/write does not.</w:t>
      </w:r>
    </w:p>
    <w:p>
      <w:pPr>
        <w:keepLines/>
        <w:numPr>
          <w:ilvl w:val="0"/>
          <w:numId w:val="12"/>
        </w:numPr>
      </w:pPr>
      <w:r>
        <w:t>Versioned assets are immutable.</w:t>
      </w:r>
    </w:p>
    <w:p>
      <w:pPr>
        <w:keepLines/>
        <w:numPr>
          <w:ilvl w:val="0"/>
          <w:numId w:val="12"/>
        </w:numPr>
      </w:pPr>
      <w:r>
        <w:t>SHA-256 checksums match a fresh download.</w:t>
      </w:r>
    </w:p>
    <w:p>
      <w:pPr>
        <w:keepLines/>
        <w:numPr>
          <w:ilvl w:val="0"/>
          <w:numId w:val="12"/>
        </w:numPr>
      </w:pPr>
      <w:r>
        <w:t>Updater detects the correct OS/architecture artifact.</w:t>
      </w:r>
    </w:p>
    <w:p>
      <w:pPr>
        <w:keepLines/>
        <w:numPr>
          <w:ilvl w:val="0"/>
          <w:numId w:val="12"/>
        </w:numPr>
      </w:pPr>
      <w:r>
        <w:t>Rollback metadata restores the reviewed previous version.</w:t>
      </w:r>
    </w:p>
    <w:p>
      <w:pPr>
        <w:spacing w:after="80"/>
      </w:pPr>
      <w:r>
        <w:rPr>
          <w:b/>
        </w:rPr>
        <w:t xml:space="preserve">R2 account ID (not secret): </w:t>
      </w:r>
      <w:r>
        <w:t>__________________________________________________________________________</w:t>
      </w:r>
    </w:p>
    <w:p>
      <w:pPr>
        <w:spacing w:after="80"/>
      </w:pPr>
      <w:r>
        <w:rPr>
          <w:b/>
        </w:rPr>
        <w:t xml:space="preserve">Bucket: </w:t>
      </w:r>
      <w:r>
        <w:t>__________________________________________________________________________</w:t>
      </w:r>
    </w:p>
    <w:p>
      <w:pPr>
        <w:spacing w:after="80"/>
      </w:pPr>
      <w:r>
        <w:rPr>
          <w:b/>
        </w:rPr>
        <w:t xml:space="preserve">Update domain: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9. Market-data access for Max net worth</w:t>
      </w:r>
    </w:p>
    <w:p>
      <w:pPr>
        <w:spacing w:before="100" w:after="160" w:line="288" w:lineRule="auto"/>
        <w:ind w:left="115" w:right="115"/>
        <w:shd w:fill="EAF7EF"/>
        <w:pBdr>
          <w:left w:val="single" w:sz="18" w:space="8" w:color="17663A"/>
        </w:pBdr>
      </w:pPr>
      <w:r>
        <w:rPr>
          <w:rFonts w:ascii="Calibri" w:hAnsi="Calibri"/>
          <w:b/>
          <w:color w:val="17663A"/>
          <w:sz w:val="21"/>
        </w:rPr>
        <w:t xml:space="preserve">KEY CUSTODY  </w:t>
      </w:r>
      <w:r>
        <w:rPr>
          <w:rFonts w:ascii="Calibri" w:hAnsi="Calibri"/>
          <w:color w:val="172033"/>
          <w:sz w:val="21"/>
        </w:rPr>
        <w:t>GODFIN does not need a shared Twelve Data key. Each user supplies a key that is encrypted locally and sent only to Twelve Data when that user requests a quote.</w:t>
      </w:r>
    </w:p>
    <w:p>
      <w:pPr>
        <w:keepLines/>
        <w:numPr>
          <w:ilvl w:val="0"/>
          <w:numId w:val="10"/>
        </w:numPr>
      </w:pPr>
      <w:r>
        <w:t>Review Twelve Data’s current plans, market coverage, attribution, caching, redistribution, and rate-limit terms with counsel or a responsible product owner.</w:t>
      </w:r>
    </w:p>
    <w:p>
      <w:pPr>
        <w:keepLines/>
        <w:numPr>
          <w:ilvl w:val="0"/>
          <w:numId w:val="10"/>
        </w:numPr>
      </w:pPr>
      <w:r>
        <w:t>Define the supported liquid instruments and symbol format in support documentation. Do not promise universal coverage or uninterrupted quotes.</w:t>
      </w:r>
    </w:p>
    <w:p>
      <w:pPr>
        <w:keepLines/>
        <w:numPr>
          <w:ilvl w:val="0"/>
          <w:numId w:val="10"/>
        </w:numPr>
      </w:pPr>
      <w:r>
        <w:t>Test stock, ETF, mutual-fund, crypto, bond, metal, and currency-conversion requests with a personal test key. Never place that key in Vercel, GitHub, screenshots, or fixtures.</w:t>
      </w:r>
    </w:p>
    <w:p>
      <w:pPr>
        <w:keepLines/>
        <w:numPr>
          <w:ilvl w:val="0"/>
          <w:numId w:val="10"/>
        </w:numPr>
      </w:pPr>
      <w:r>
        <w:t>Verify missing, expired, rate-limited, invalid, and unavailable quotes show a recoverable error and never break manual assets or authoritative totals.</w:t>
      </w:r>
    </w:p>
    <w:p>
      <w:pPr>
        <w:keepLines/>
        <w:numPr>
          <w:ilvl w:val="0"/>
          <w:numId w:val="10"/>
        </w:numPr>
      </w:pPr>
      <w:r>
        <w:t>Confirm land, property, gems, private assets, and unsupported instruments always require user-entered source, valuation date, and review/expiry date.</w:t>
      </w:r>
    </w:p>
    <w:p>
      <w:pPr>
        <w:keepLines/>
        <w:numPr>
          <w:ilvl w:val="0"/>
          <w:numId w:val="12"/>
        </w:numPr>
      </w:pPr>
      <w:r>
        <w:t>Terms and support scope reviewed.</w:t>
      </w:r>
    </w:p>
    <w:p>
      <w:pPr>
        <w:keepLines/>
        <w:numPr>
          <w:ilvl w:val="0"/>
          <w:numId w:val="12"/>
        </w:numPr>
      </w:pPr>
      <w:r>
        <w:t>A test key works and remains encrypted locally.</w:t>
      </w:r>
    </w:p>
    <w:p>
      <w:pPr>
        <w:keepLines/>
        <w:numPr>
          <w:ilvl w:val="0"/>
          <w:numId w:val="12"/>
        </w:numPr>
      </w:pPr>
      <w:r>
        <w:t>Quote failure leaves manual calculations usable.</w:t>
      </w:r>
    </w:p>
    <w:p>
      <w:pPr>
        <w:keepLines/>
        <w:numPr>
          <w:ilvl w:val="0"/>
          <w:numId w:val="12"/>
        </w:numPr>
      </w:pPr>
      <w:r>
        <w:t>Freshness, provenance, currency, and expiry are visible.</w:t>
      </w:r>
    </w:p>
    <w:p>
      <w:pPr>
        <w:pStyle w:val="RunbookCaption"/>
      </w:pPr>
      <w:r>
        <w:t xml:space="preserve">Official reference: </w:t>
      </w:r>
      <w:hyperlink r:id="rId16">
        <w:r>
          <w:rPr>
            <w:color w:val="2E74B5"/>
            <w:u w:val="single"/>
          </w:rPr>
          <w:t>Twelve Data API documentation</w:t>
        </w:r>
      </w:hyperlink>
    </w:p>
    <w:p>
      <w:pPr>
        <w:spacing w:after="80"/>
      </w:pPr>
      <w:r>
        <w:rPr>
          <w:b/>
        </w:rPr>
        <w:t xml:space="preserve">Reviewer: </w:t>
      </w:r>
      <w:r>
        <w:t>__________________________________________________________________________</w:t>
      </w:r>
    </w:p>
    <w:p>
      <w:pPr>
        <w:spacing w:after="80"/>
      </w:pPr>
      <w:r>
        <w:rPr>
          <w:b/>
        </w:rPr>
        <w:t xml:space="preserve">Supported-market decision date: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10. Reward-pilot privacy, payouts, and controls</w:t>
      </w:r>
    </w:p>
    <w:p>
      <w:pPr>
        <w:spacing w:before="100" w:after="160" w:line="288" w:lineRule="auto"/>
        <w:ind w:left="115" w:right="115"/>
        <w:shd w:fill="FFF4D8"/>
        <w:pBdr>
          <w:left w:val="single" w:sz="18" w:space="8" w:color="7A5A00"/>
        </w:pBdr>
      </w:pPr>
      <w:r>
        <w:rPr>
          <w:rFonts w:ascii="Calibri" w:hAnsi="Calibri"/>
          <w:b/>
          <w:color w:val="7A5A00"/>
          <w:sz w:val="21"/>
        </w:rPr>
        <w:t xml:space="preserve">SAFE DEFAULT  </w:t>
      </w:r>
      <w:r>
        <w:rPr>
          <w:rFonts w:ascii="Calibri" w:hAnsi="Calibri"/>
          <w:color w:val="172033"/>
          <w:sz w:val="21"/>
        </w:rPr>
        <w:t>Keep reward_pilot disabled for launch unless every step below is complete. The ₹50,000 pilot is separate consent, off by default, and is not required for GODFIN’s core product.</w:t>
      </w:r>
    </w:p>
    <w:p>
      <w:pPr>
        <w:keepLines/>
        <w:numPr>
          <w:ilvl w:val="0"/>
          <w:numId w:val="10"/>
        </w:numPr>
      </w:pPr>
      <w:r>
        <w:t>Obtain written privacy and legal review of consent, participant eligibility, withdrawal, retention, cross-border processing if any, payout tax treatment, and incident response.</w:t>
      </w:r>
    </w:p>
    <w:p>
      <w:pPr>
        <w:keepLines/>
        <w:numPr>
          <w:ilvl w:val="0"/>
          <w:numId w:val="10"/>
        </w:numPr>
      </w:pPr>
      <w:r>
        <w:t>Approve the fixed economics: ₹100 for the first accepted 90-day aggregate bundle; ₹25 per net-new verified template family up to six; ₹10 per material variant up to five; maximum ₹300 per participant and ₹50,000 overall.</w:t>
      </w:r>
    </w:p>
    <w:p>
      <w:pPr>
        <w:keepLines/>
        <w:numPr>
          <w:ilvl w:val="0"/>
          <w:numId w:val="10"/>
        </w:numPr>
      </w:pPr>
      <w:r>
        <w:t>Fund a dedicated pilot payout budget and define who approves submissions, disputes, duplicate detection, and payouts.</w:t>
      </w:r>
    </w:p>
    <w:p>
      <w:pPr>
        <w:keepLines/>
        <w:numPr>
          <w:ilvl w:val="0"/>
          <w:numId w:val="10"/>
        </w:numPr>
      </w:pPr>
      <w:r>
        <w:t>Deploy a dedicated HTTPS ingestion endpoint. Configure GODFIN_REWARD_PILOT_URL only in a controlled candidate build. Never accept HTTP.</w:t>
      </w:r>
    </w:p>
    <w:p>
      <w:pPr>
        <w:keepLines/>
        <w:numPr>
          <w:ilvl w:val="0"/>
          <w:numId w:val="10"/>
        </w:numPr>
      </w:pPr>
      <w:r>
        <w:t>Keep payout identity in a separate access-controlled system from pseudonymized contributions. Define the linking token, access log, retention, and deletion process.</w:t>
      </w:r>
    </w:p>
    <w:p>
      <w:pPr>
        <w:keepLines/>
        <w:numPr>
          <w:ilvl w:val="0"/>
          <w:numId w:val="10"/>
        </w:numPr>
      </w:pPr>
      <w:r>
        <w:t>Use the local preview/redaction screen before submission. Reject names, account/card numbers, UPI/VPA, emails, phones, addresses, exact dates, exact amounts, balances, transaction descriptions, and raw statements.</w:t>
      </w:r>
    </w:p>
    <w:p>
      <w:pPr>
        <w:keepLines/>
        <w:numPr>
          <w:ilvl w:val="0"/>
          <w:numId w:val="10"/>
        </w:numPr>
      </w:pPr>
      <w:r>
        <w:t>Red-team the endpoint with synthetic identifiers and malformed payloads. Confirm the server rejects forbidden fields and the pilot cap cannot be exceeded under concurrency/retry.</w:t>
      </w:r>
    </w:p>
    <w:p>
      <w:pPr>
        <w:keepLines/>
        <w:numPr>
          <w:ilvl w:val="0"/>
          <w:numId w:val="10"/>
        </w:numPr>
      </w:pPr>
      <w:r>
        <w:t>Run a small internal dry run, reconcile accepted bundles to payouts, delete test identities, and obtain written approval before enabling the feature flag.</w:t>
      </w:r>
    </w:p>
    <w:p>
      <w:r>
        <w:br w:type="page"/>
      </w:r>
    </w:p>
    <w:p>
      <w:pPr>
        <w:keepLines/>
        <w:numPr>
          <w:ilvl w:val="0"/>
          <w:numId w:val="12"/>
        </w:numPr>
      </w:pPr>
      <w:r>
        <w:t>Legal/privacy review signed.</w:t>
      </w:r>
    </w:p>
    <w:p>
      <w:pPr>
        <w:keepLines/>
        <w:numPr>
          <w:ilvl w:val="0"/>
          <w:numId w:val="12"/>
        </w:numPr>
      </w:pPr>
      <w:r>
        <w:t>₹50,000 cap and ₹300 participant cap are enforced server-side.</w:t>
      </w:r>
    </w:p>
    <w:p>
      <w:pPr>
        <w:keepLines/>
        <w:numPr>
          <w:ilvl w:val="0"/>
          <w:numId w:val="12"/>
        </w:numPr>
      </w:pPr>
      <w:r>
        <w:t>Payout identity is separate from contribution data.</w:t>
      </w:r>
    </w:p>
    <w:p>
      <w:pPr>
        <w:keepLines/>
        <w:numPr>
          <w:ilvl w:val="0"/>
          <w:numId w:val="12"/>
        </w:numPr>
      </w:pPr>
      <w:r>
        <w:t>Redaction rejection tests pass.</w:t>
      </w:r>
    </w:p>
    <w:p>
      <w:pPr>
        <w:keepLines/>
        <w:numPr>
          <w:ilvl w:val="0"/>
          <w:numId w:val="12"/>
        </w:numPr>
      </w:pPr>
      <w:r>
        <w:t>Consent version, preview, withdrawal, retention, and audit evidence pass.</w:t>
      </w:r>
    </w:p>
    <w:p>
      <w:pPr>
        <w:keepLines/>
        <w:numPr>
          <w:ilvl w:val="0"/>
          <w:numId w:val="12"/>
        </w:numPr>
      </w:pPr>
      <w:r>
        <w:t>Feature remains off until written enablement approval.</w:t>
      </w:r>
    </w:p>
    <w:p>
      <w:pPr>
        <w:spacing w:after="80"/>
      </w:pPr>
      <w:r>
        <w:rPr>
          <w:b/>
        </w:rPr>
        <w:t xml:space="preserve">Pilot legal reviewer: </w:t>
      </w:r>
      <w:r>
        <w:t>__________________________________________________________________________</w:t>
      </w:r>
    </w:p>
    <w:p>
      <w:pPr>
        <w:spacing w:after="80"/>
      </w:pPr>
      <w:r>
        <w:rPr>
          <w:b/>
        </w:rPr>
        <w:t xml:space="preserve">Payout owner: </w:t>
      </w:r>
      <w:r>
        <w:t>__________________________________________________________________________</w:t>
      </w:r>
    </w:p>
    <w:p>
      <w:pPr>
        <w:spacing w:after="80"/>
      </w:pPr>
      <w:r>
        <w:rPr>
          <w:b/>
        </w:rPr>
        <w:t xml:space="preserve">Endpoint public hostname: </w:t>
      </w:r>
      <w:r>
        <w:t>__________________________________________________________________________</w:t>
      </w:r>
    </w:p>
    <w:p>
      <w:pPr>
        <w:spacing w:after="80"/>
      </w:pPr>
      <w:r>
        <w:rPr>
          <w:b/>
        </w:rPr>
        <w:t xml:space="preserve">Approval date: </w:t>
      </w:r>
      <w:r>
        <w:t>__________________________________________________________________________</w:t>
      </w:r>
    </w:p>
    <w:p>
      <w:pPr>
        <w:pStyle w:val="Heading1"/>
      </w:pPr>
      <w:r>
        <w:t>11. OpenDataLoader benchmark decision</w:t>
      </w:r>
    </w:p>
    <w:p>
      <w:pPr>
        <w:keepLines/>
        <w:numPr>
          <w:ilvl w:val="0"/>
          <w:numId w:val="10"/>
        </w:numPr>
      </w:pPr>
      <w:r>
        <w:t>Leave opendataloader_benchmark disabled in customer builds.</w:t>
      </w:r>
    </w:p>
    <w:p>
      <w:pPr>
        <w:keepLines/>
        <w:numPr>
          <w:ilvl w:val="0"/>
          <w:numId w:val="10"/>
        </w:numPr>
      </w:pPr>
      <w:r>
        <w:t>Lawfully assemble 200–500 privacy-safe, redacted statement fixtures covering supported formats and known failure modes. Do not use customer files without specific permission.</w:t>
      </w:r>
    </w:p>
    <w:p>
      <w:pPr>
        <w:keepLines/>
        <w:numPr>
          <w:ilvl w:val="0"/>
          <w:numId w:val="10"/>
        </w:numPr>
      </w:pPr>
      <w:r>
        <w:t>Manually label required fields and reconciliation totals. Record source format, parser outcome, manual corrections, runtime, and memory without storing financial identifiers.</w:t>
      </w:r>
    </w:p>
    <w:p>
      <w:pPr>
        <w:keepLines/>
        <w:numPr>
          <w:ilvl w:val="0"/>
          <w:numId w:val="10"/>
        </w:numPr>
      </w:pPr>
      <w:r>
        <w:t>Provide Java 11+ only in the isolated benchmark environment; do not silently add a Java dependency to customer packaging.</w:t>
      </w:r>
    </w:p>
    <w:p>
      <w:pPr>
        <w:keepLines/>
        <w:numPr>
          <w:ilvl w:val="0"/>
          <w:numId w:val="10"/>
        </w:numPr>
      </w:pPr>
      <w:r>
        <w:t>Run the current extractor and OpenDataLoader adapter on the same corpus. The decisive metric is complete reconciliation without manual correction, followed by field accuracy, runtime, memory, packaging size, and failure clarity.</w:t>
      </w:r>
    </w:p>
    <w:p>
      <w:pPr>
        <w:keepLines/>
        <w:numPr>
          <w:ilvl w:val="0"/>
          <w:numId w:val="10"/>
        </w:numPr>
      </w:pPr>
      <w:r>
        <w:t>Ship only if the measured accuracy gain justifies Java packaging and all supported OS installers pass. Otherwise document the decision and retain the current extractor.</w:t>
      </w:r>
    </w:p>
    <w:p>
      <w:pPr>
        <w:keepLines/>
        <w:numPr>
          <w:ilvl w:val="0"/>
          <w:numId w:val="12"/>
        </w:numPr>
      </w:pPr>
      <w:r>
        <w:t>Corpus is lawfully sourced and fully redacted.</w:t>
      </w:r>
    </w:p>
    <w:p>
      <w:pPr>
        <w:keepLines/>
        <w:numPr>
          <w:ilvl w:val="0"/>
          <w:numId w:val="12"/>
        </w:numPr>
      </w:pPr>
      <w:r>
        <w:t>Labels and reconciliation totals are independently reviewed.</w:t>
      </w:r>
    </w:p>
    <w:p>
      <w:pPr>
        <w:keepLines/>
        <w:numPr>
          <w:ilvl w:val="0"/>
          <w:numId w:val="12"/>
        </w:numPr>
      </w:pPr>
      <w:r>
        <w:t>Both extractors run on identical fixtures.</w:t>
      </w:r>
    </w:p>
    <w:p>
      <w:pPr>
        <w:keepLines/>
        <w:numPr>
          <w:ilvl w:val="0"/>
          <w:numId w:val="12"/>
        </w:numPr>
      </w:pPr>
      <w:r>
        <w:t>Ship/no-ship decision and evidence are archived.</w:t>
      </w:r>
    </w:p>
    <w:p>
      <w:pPr>
        <w:spacing w:after="80"/>
      </w:pPr>
      <w:r>
        <w:rPr>
          <w:b/>
        </w:rPr>
        <w:t xml:space="preserve">Corpus owner: </w:t>
      </w:r>
      <w:r>
        <w:t>__________________________________________________________________________</w:t>
      </w:r>
    </w:p>
    <w:p>
      <w:pPr>
        <w:spacing w:after="80"/>
      </w:pPr>
      <w:r>
        <w:rPr>
          <w:b/>
        </w:rPr>
        <w:t xml:space="preserve">Fixture count: </w:t>
      </w:r>
      <w:r>
        <w:t>__________________________________________________________________________</w:t>
      </w:r>
    </w:p>
    <w:p>
      <w:pPr>
        <w:spacing w:after="80"/>
      </w:pPr>
      <w:r>
        <w:rPr>
          <w:b/>
        </w:rPr>
        <w:t xml:space="preserve">Decision: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12. Clean-system packaging and recovery matrix</w:t>
      </w:r>
    </w:p>
    <w:tbl>
      <w:tblPr>
        <w:tblStyle w:val="TableGrid"/>
        <w:tblW w:type="dxa" w:w="9360"/>
        <w:tblLayout w:type="fixed"/>
        <w:tblLook w:firstColumn="1" w:firstRow="1" w:lastColumn="0" w:lastRow="0" w:noHBand="0" w:noVBand="1" w:val="04A0"/>
        <w:tblInd w:w="120" w:type="dxa"/>
      </w:tblPr>
      <w:tblGrid>
        <w:gridCol w:w="1800"/>
        <w:gridCol w:w="750"/>
        <w:gridCol w:w="950"/>
        <w:gridCol w:w="850"/>
        <w:gridCol w:w="1300"/>
        <w:gridCol w:w="1000"/>
        <w:gridCol w:w="2710"/>
      </w:tblGrid>
      <w:tr>
        <w:trPr>
          <w:tblHeader w:val="true"/>
        </w:trPr>
        <w:tc>
          <w:tcPr>
            <w:tcW w:type="dxa" w:w="1800"/>
            <w:shd w:fill="E8EEF5"/>
            <w:tcMar>
              <w:top w:w="80" w:type="dxa"/>
              <w:start w:w="120" w:type="dxa"/>
              <w:bottom w:w="80" w:type="dxa"/>
              <w:end w:w="120" w:type="dxa"/>
            </w:tcMar>
            <w:vAlign w:val="center"/>
          </w:tcPr>
          <w:p>
            <w:pPr>
              <w:spacing w:after="0"/>
            </w:pPr>
            <w:r>
              <w:rPr>
                <w:rFonts w:ascii="Calibri" w:hAnsi="Calibri"/>
                <w:b/>
                <w:color w:val="163A5F"/>
                <w:sz w:val="19"/>
              </w:rPr>
              <w:t>Platform</w:t>
            </w:r>
          </w:p>
        </w:tc>
        <w:tc>
          <w:tcPr>
            <w:tcW w:type="dxa" w:w="750"/>
            <w:shd w:fill="E8EEF5"/>
            <w:tcMar>
              <w:top w:w="80" w:type="dxa"/>
              <w:start w:w="120" w:type="dxa"/>
              <w:bottom w:w="80" w:type="dxa"/>
              <w:end w:w="120" w:type="dxa"/>
            </w:tcMar>
            <w:vAlign w:val="center"/>
          </w:tcPr>
          <w:p>
            <w:pPr>
              <w:spacing w:after="0"/>
            </w:pPr>
            <w:r>
              <w:rPr>
                <w:rFonts w:ascii="Calibri" w:hAnsi="Calibri"/>
                <w:b/>
                <w:color w:val="163A5F"/>
                <w:sz w:val="19"/>
              </w:rPr>
              <w:t>Install</w:t>
            </w:r>
          </w:p>
        </w:tc>
        <w:tc>
          <w:tcPr>
            <w:tcW w:type="dxa" w:w="950"/>
            <w:shd w:fill="E8EEF5"/>
            <w:tcMar>
              <w:top w:w="80" w:type="dxa"/>
              <w:start w:w="120" w:type="dxa"/>
              <w:bottom w:w="80" w:type="dxa"/>
              <w:end w:w="120" w:type="dxa"/>
            </w:tcMar>
            <w:vAlign w:val="center"/>
          </w:tcPr>
          <w:p>
            <w:pPr>
              <w:spacing w:after="0"/>
            </w:pPr>
            <w:r>
              <w:rPr>
                <w:rFonts w:ascii="Calibri" w:hAnsi="Calibri"/>
                <w:b/>
                <w:color w:val="163A5F"/>
                <w:sz w:val="19"/>
              </w:rPr>
              <w:t>Upgrade</w:t>
            </w:r>
          </w:p>
        </w:tc>
        <w:tc>
          <w:tcPr>
            <w:tcW w:type="dxa" w:w="850"/>
            <w:shd w:fill="E8EEF5"/>
            <w:tcMar>
              <w:top w:w="80" w:type="dxa"/>
              <w:start w:w="120" w:type="dxa"/>
              <w:bottom w:w="80" w:type="dxa"/>
              <w:end w:w="120" w:type="dxa"/>
            </w:tcMar>
            <w:vAlign w:val="center"/>
          </w:tcPr>
          <w:p>
            <w:pPr>
              <w:spacing w:after="0"/>
            </w:pPr>
            <w:r>
              <w:rPr>
                <w:rFonts w:ascii="Calibri" w:hAnsi="Calibri"/>
                <w:b/>
                <w:color w:val="163A5F"/>
                <w:sz w:val="19"/>
              </w:rPr>
              <w:t>Offline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Data/key preserved</w:t>
            </w:r>
          </w:p>
        </w:tc>
        <w:tc>
          <w:tcPr>
            <w:tcW w:type="dxa" w:w="1000"/>
            <w:shd w:fill="E8EEF5"/>
            <w:tcMar>
              <w:top w:w="80" w:type="dxa"/>
              <w:start w:w="120" w:type="dxa"/>
              <w:bottom w:w="80" w:type="dxa"/>
              <w:end w:w="120" w:type="dxa"/>
            </w:tcMar>
            <w:vAlign w:val="center"/>
          </w:tcPr>
          <w:p>
            <w:pPr>
              <w:spacing w:after="0"/>
            </w:pPr>
            <w:r>
              <w:rPr>
                <w:rFonts w:ascii="Calibri" w:hAnsi="Calibri"/>
                <w:b/>
                <w:color w:val="163A5F"/>
                <w:sz w:val="19"/>
              </w:rPr>
              <w:t>Uninstall</w:t>
            </w:r>
          </w:p>
        </w:tc>
        <w:tc>
          <w:tcPr>
            <w:tcW w:type="dxa" w:w="2710"/>
            <w:shd w:fill="E8EEF5"/>
            <w:tcMar>
              <w:top w:w="80" w:type="dxa"/>
              <w:start w:w="120" w:type="dxa"/>
              <w:bottom w:w="80" w:type="dxa"/>
              <w:end w:w="120" w:type="dxa"/>
            </w:tcMar>
            <w:vAlign w:val="center"/>
          </w:tcPr>
          <w:p>
            <w:pPr>
              <w:spacing w:after="0"/>
            </w:pPr>
            <w:r>
              <w:rPr>
                <w:rFonts w:ascii="Calibri" w:hAnsi="Calibri"/>
                <w:b/>
                <w:color w:val="163A5F"/>
                <w:sz w:val="19"/>
              </w:rPr>
              <w:t>Evidence</w:t>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macOS 13+ arm64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macOS 13+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Windows 10 22H2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Windows 11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Ubuntu 22.04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keepLines/>
        <w:numPr>
          <w:ilvl w:val="0"/>
          <w:numId w:val="10"/>
        </w:numPr>
      </w:pPr>
      <w:r>
        <w:t>Snapshot the clean system, install the signed candidate, set a synthetic PIN, import a redacted fixture, classify one item, create a backup, and record database path and app version.</w:t>
      </w:r>
    </w:p>
    <w:p>
      <w:pPr>
        <w:keepLines/>
        <w:numPr>
          <w:ilvl w:val="0"/>
          <w:numId w:val="10"/>
        </w:numPr>
      </w:pPr>
      <w:r>
        <w:t>Restart online and offline. Confirm localhost binding, no cloud ledger, correct session behavior, encrypted secrets, and deterministic operation without AI.</w:t>
      </w:r>
    </w:p>
    <w:p>
      <w:pPr>
        <w:keepLines/>
        <w:numPr>
          <w:ilvl w:val="0"/>
          <w:numId w:val="10"/>
        </w:numPr>
      </w:pPr>
      <w:r>
        <w:t>If Ollama is absent, confirm GODFIN opens the official installer and never silently installs. Test no-AI mode. On capable hardware, test the recommended signed-registry model path.</w:t>
      </w:r>
    </w:p>
    <w:p>
      <w:pPr>
        <w:keepLines/>
        <w:numPr>
          <w:ilvl w:val="0"/>
          <w:numId w:val="10"/>
        </w:numPr>
      </w:pPr>
      <w:r>
        <w:t>Upgrade from the previous candidate. Confirm SQLite, encryption key, installation ID, license, settings, merchant memory, backup history, and reports remain valid.</w:t>
      </w:r>
    </w:p>
    <w:p>
      <w:pPr>
        <w:keepLines/>
        <w:numPr>
          <w:ilvl w:val="0"/>
          <w:numId w:val="10"/>
        </w:numPr>
      </w:pPr>
      <w:r>
        <w:t>Exercise rollback and restore on a copy. Confirm pre-migration backup and restart-safe additive migrations.</w:t>
      </w:r>
    </w:p>
    <w:p>
      <w:pPr>
        <w:keepLines/>
        <w:numPr>
          <w:ilvl w:val="0"/>
          <w:numId w:val="10"/>
        </w:numPr>
      </w:pPr>
      <w:r>
        <w:t>Uninstall using the platform default. Confirm application data is retained unless the user explicitly chooses deletion; document the manual removal path.</w:t>
      </w:r>
    </w:p>
    <w:p>
      <w:pPr>
        <w:keepLines/>
        <w:numPr>
          <w:ilvl w:val="0"/>
          <w:numId w:val="10"/>
        </w:numPr>
      </w:pPr>
      <w:r>
        <w:t>Record cold start, common navigation p95, 10,000-row filter, 1,000-row import, and idle memory against the committed performance budgets. Reject accepted-baseline regression above 15%.</w:t>
      </w:r>
    </w:p>
    <w:p>
      <w:pPr>
        <w:spacing w:after="80"/>
      </w:pPr>
      <w:r>
        <w:rPr>
          <w:b/>
        </w:rPr>
        <w:t xml:space="preserve">Test coordinator: </w:t>
      </w:r>
      <w:r>
        <w:t>__________________________________________________________________________</w:t>
      </w:r>
    </w:p>
    <w:p>
      <w:pPr>
        <w:spacing w:after="80"/>
      </w:pPr>
      <w:r>
        <w:rPr>
          <w:b/>
        </w:rPr>
        <w:t xml:space="preserve">Candidate version: </w:t>
      </w:r>
      <w:r>
        <w:t>__________________________________________________________________________</w:t>
      </w:r>
    </w:p>
    <w:p>
      <w:pPr>
        <w:spacing w:after="80"/>
      </w:pPr>
      <w:r>
        <w:rPr>
          <w:b/>
        </w:rPr>
        <w:t xml:space="preserve">Evidence folder: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13. Security, privacy, payment, and recovery evidence</w:t>
      </w:r>
    </w:p>
    <w:p>
      <w:pPr>
        <w:keepLines/>
        <w:numPr>
          <w:ilvl w:val="0"/>
          <w:numId w:val="12"/>
        </w:numPr>
      </w:pPr>
      <w:r>
        <w:t>Backend: 876 tests pass under clean Python 3.12, including auth/PIN, encryption, migrations, backups, merchant upsert, licenses, exact response contracts for all 182 API operations, goal ledgers and FD/RD suggestions, simulation reference vectors, recurring detection, atomic accounts, package privacy, CA tax pack, classification memory, performance, net worth, behavior insights, reward-pilot redaction, and UTC finance-fetch regressions.</w:t>
      </w:r>
    </w:p>
    <w:p>
      <w:pPr>
        <w:keepLines/>
        <w:numPr>
          <w:ilvl w:val="0"/>
          <w:numId w:val="12"/>
        </w:numPr>
      </w:pPr>
      <w:r>
        <w:t>Frontend: lint, accessibility checks, authentication checks, and production build pass. Focused Playwright covers PIN entry, portal calculation help, goals, recurring re-detection, external pricing, settings disclosure, and CA tax-pack controls.</w:t>
      </w:r>
    </w:p>
    <w:p>
      <w:pPr>
        <w:keepLines/>
        <w:numPr>
          <w:ilvl w:val="0"/>
          <w:numId w:val="12"/>
        </w:numPr>
      </w:pPr>
      <w:r>
        <w:t>Website: entitlement/payment contract verification, production build, real-app product chapters, reduced-motion fallbacks, mobile overflow, lifetime/no-bundled-credit pricing, security headers, checkout safe-disable behavior, and dependency audit pass. The final production URL scores Lighthouse performance 99, accessibility 100, and SEO 100, with LCP 1.73 seconds and CLS 0.</w:t>
      </w:r>
    </w:p>
    <w:p>
      <w:pPr>
        <w:keepLines/>
        <w:numPr>
          <w:ilvl w:val="0"/>
          <w:numId w:val="12"/>
        </w:numPr>
      </w:pPr>
      <w:r>
        <w:t>Dependencies: runtime, test, and build Python locks are separated and hash-locked; frontend, website, desktop, and Playwright workspaces use npm ci. Audits report zero unaccepted known vulnerabilities. The Gmail API client is explicit in runtime requirements.</w:t>
      </w:r>
    </w:p>
    <w:p>
      <w:pPr>
        <w:keepLines/>
        <w:numPr>
          <w:ilvl w:val="0"/>
          <w:numId w:val="12"/>
        </w:numPr>
      </w:pPr>
      <w:r>
        <w:t>Supply chain: deterministic CycloneDX 1.6 SBOM and third-party notices cover 1,008 unique components with zero unresolved license identifiers. Human review of conditional licenses remains a required fail-closed release gate.</w:t>
      </w:r>
    </w:p>
    <w:p>
      <w:pPr>
        <w:keepLines/>
        <w:numPr>
          <w:ilvl w:val="0"/>
          <w:numId w:val="12"/>
        </w:numPr>
      </w:pPr>
      <w:r>
        <w:t>Release engineering: 12/12 desktop update/release workflow tests and 7/7 package privacy checks pass. All GitHub Actions are pinned to verified 40-character commit SHAs, and release provenance binds the exact commit, tag, package version, SBOM, notices, and checksums.</w:t>
      </w:r>
    </w:p>
    <w:p>
      <w:pPr>
        <w:keepLines/>
        <w:numPr>
          <w:ilvl w:val="0"/>
          <w:numId w:val="12"/>
        </w:numPr>
      </w:pPr>
      <w:r>
        <w:t>Local packaging: the fresh commit-25fd5f7 macOS arm64 candidate passed strict codesign verification, first start 3.000 seconds, restart 1.033 seconds, idle memory 604.5 MB across five processes, database preservation, local trust boundary, and maintenance-boundary checks. The DMG and ZIP exact SHA-256 values are recorded in the current package evidence. Gatekeeper correctly rejects the candidate because it is not yet Apple-notarized.</w:t>
      </w:r>
    </w:p>
    <w:p>
      <w:pPr>
        <w:keepLines/>
        <w:numPr>
          <w:ilvl w:val="0"/>
          <w:numId w:val="12"/>
        </w:numPr>
      </w:pPr>
      <w:r>
        <w:t>Secrets: gitleaks scans the complete cleaned history; no real statements, databases, tokens, keys, or customer screenshots are tracked.</w:t>
      </w:r>
    </w:p>
    <w:p>
      <w:pPr>
        <w:keepLines/>
        <w:numPr>
          <w:ilvl w:val="0"/>
          <w:numId w:val="12"/>
        </w:numPr>
      </w:pPr>
      <w:r>
        <w:t>Recovery: empty database bootstrap, schema-revision backup, retained daily/weekly backups, restore-on-copy, upgrade, rollback, and license offline-grace tests pass.</w:t>
      </w:r>
    </w:p>
    <w:p>
      <w:pPr>
        <w:keepLines/>
        <w:numPr>
          <w:ilvl w:val="0"/>
          <w:numId w:val="12"/>
        </w:numPr>
      </w:pPr>
      <w:r>
        <w:t>Payment: test-mode replay, amount/currency mismatch, invalid signature, unauthenticated checkout, device limit, deactivation, and resend behavior pass after provider credentials are available.</w:t>
      </w:r>
    </w:p>
    <w:p>
      <w:pPr>
        <w:keepLines/>
        <w:numPr>
          <w:ilvl w:val="0"/>
          <w:numId w:val="12"/>
        </w:numPr>
      </w:pPr>
      <w:r>
        <w:t>Privacy: app data remains local; sponsor card is static/non-personalized; behavior insights are never used for consequential decisions; pilot remains off unless separately approved.</w:t>
      </w:r>
    </w:p>
    <w:p>
      <w:pPr>
        <w:spacing w:before="100" w:after="160" w:line="288" w:lineRule="auto"/>
        <w:ind w:left="115" w:right="115"/>
        <w:shd w:fill="FFF4D8"/>
        <w:pBdr>
          <w:left w:val="single" w:sz="18" w:space="8" w:color="7A5A00"/>
        </w:pBdr>
      </w:pPr>
      <w:r>
        <w:rPr>
          <w:rFonts w:ascii="Calibri" w:hAnsi="Calibri"/>
          <w:b/>
          <w:color w:val="7A5A00"/>
          <w:sz w:val="21"/>
        </w:rPr>
        <w:t xml:space="preserve">CI RELEASE GATE  </w:t>
      </w:r>
      <w:r>
        <w:rPr>
          <w:rFonts w:ascii="Calibri" w:hAnsi="Calibri"/>
          <w:color w:val="172033"/>
          <w:sz w:val="21"/>
        </w:rPr>
        <w:t>Do not tag a candidate until the CI run for the exact commit is green. A local pass is necessary but not sufficient.</w:t>
      </w:r>
    </w:p>
    <w:p>
      <w:pPr>
        <w:spacing w:after="80"/>
      </w:pPr>
      <w:r>
        <w:rPr>
          <w:b/>
        </w:rPr>
        <w:t xml:space="preserve">Release commit: </w:t>
      </w:r>
      <w:r>
        <w:t>__________________________________________________________________________</w:t>
      </w:r>
    </w:p>
    <w:p>
      <w:pPr>
        <w:spacing w:after="80"/>
      </w:pPr>
      <w:r>
        <w:rPr>
          <w:b/>
        </w:rPr>
        <w:t xml:space="preserve">CI run URL: </w:t>
      </w:r>
      <w:r>
        <w:t>__________________________________________________________________________</w:t>
      </w:r>
    </w:p>
    <w:p>
      <w:pPr>
        <w:spacing w:after="80"/>
      </w:pPr>
      <w:r>
        <w:rPr>
          <w:b/>
        </w:rPr>
        <w:t xml:space="preserve">Security scan evidence: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14. Prepare the private draft release</w:t>
      </w:r>
    </w:p>
    <w:p>
      <w:pPr>
        <w:keepLines/>
        <w:numPr>
          <w:ilvl w:val="0"/>
          <w:numId w:val="10"/>
        </w:numPr>
      </w:pPr>
      <w:r>
        <w:t>Choose an immutable semantic candidate tag that matches the desktop package version exactly, such as v0.1.0. The release workflow intentionally accepts only vX.Y.Z tags; do not use an -rc suffix unless the validated workflow contract is deliberately changed first.</w:t>
      </w:r>
    </w:p>
    <w:p>
      <w:pPr>
        <w:keepLines/>
        <w:numPr>
          <w:ilvl w:val="0"/>
          <w:numId w:val="10"/>
        </w:numPr>
      </w:pPr>
      <w:r>
        <w:t>Push the exact candidate commit to the private repository and wait for every CI job to pass.</w:t>
      </w:r>
    </w:p>
    <w:p>
      <w:pPr>
        <w:keepLines/>
        <w:numPr>
          <w:ilvl w:val="0"/>
          <w:numId w:val="10"/>
        </w:numPr>
      </w:pPr>
      <w:r>
        <w:t>Confirm all required Apple, Windows, and R2 secrets exist in GitHub Actions without revealing values.</w:t>
      </w:r>
    </w:p>
    <w:p>
      <w:pPr>
        <w:keepLines/>
        <w:numPr>
          <w:ilvl w:val="0"/>
          <w:numId w:val="10"/>
        </w:numPr>
      </w:pPr>
      <w:r>
        <w:t>Create and push the annotated tag. The release workflow verifies exact tag/commit/version agreement, refuses an existing release for that tag, builds native macOS arm64/x64, Windows x64, and Linux x64 artifacts, verifies packages, generates SHA-256 checksums, SBOM, notices, and provenance, and creates a private draft GitHub Release.</w:t>
      </w:r>
    </w:p>
    <w:p>
      <w:pPr>
        <w:keepLines/>
        <w:numPr>
          <w:ilvl w:val="0"/>
          <w:numId w:val="10"/>
        </w:numPr>
      </w:pPr>
      <w:r>
        <w:t>Confirm supply-chain/legal-clearance.json is approved. The workflow must remain fail-closed while legal status is pending or the recorded evidence hashes do not match.</w:t>
      </w:r>
    </w:p>
    <w:p>
      <w:pPr>
        <w:keepLines/>
        <w:numPr>
          <w:ilvl w:val="0"/>
          <w:numId w:val="10"/>
        </w:numPr>
      </w:pPr>
      <w:r>
        <w:t>Review the draft only. Do not publish it. Download every artifact, verify checksums/signatures, and complete Section 12.</w:t>
      </w:r>
    </w:p>
    <w:p>
      <w:pPr>
        <w:keepLines/>
        <w:numPr>
          <w:ilvl w:val="0"/>
          <w:numId w:val="10"/>
        </w:numPr>
      </w:pPr>
      <w:r>
        <w:t>Attach the final privacy-safe screenshots and private demo to internal review, not to a public release, until the owner approves.</w:t>
      </w:r>
    </w:p>
    <w:p>
      <w:pPr>
        <w:keepLines/>
        <w:numPr>
          <w:ilvl w:val="0"/>
          <w:numId w:val="10"/>
        </w:numPr>
      </w:pPr>
      <w:r>
        <w:t>Record known limitations honestly: HDFC launch parser scope where applicable, live-market provider coverage, no recurring AI allowance, optional local/BYO AI, and external-service dependencies.</w:t>
      </w:r>
    </w:p>
    <w:p>
      <w:pPr>
        <w:keepLines/>
        <w:numPr>
          <w:ilvl w:val="0"/>
          <w:numId w:val="12"/>
        </w:numPr>
      </w:pPr>
      <w:r>
        <w:t>Private draft release exists and is not published.</w:t>
      </w:r>
    </w:p>
    <w:p>
      <w:pPr>
        <w:keepLines/>
        <w:numPr>
          <w:ilvl w:val="0"/>
          <w:numId w:val="12"/>
        </w:numPr>
      </w:pPr>
      <w:r>
        <w:t>Every expected OS/architecture artifact and update manifest exists.</w:t>
      </w:r>
    </w:p>
    <w:p>
      <w:pPr>
        <w:keepLines/>
        <w:numPr>
          <w:ilvl w:val="0"/>
          <w:numId w:val="12"/>
        </w:numPr>
      </w:pPr>
      <w:r>
        <w:t>Checksums, signatures, notarization, fuses, and clean-system evidence pass.</w:t>
      </w:r>
    </w:p>
    <w:p>
      <w:pPr>
        <w:keepLines/>
        <w:numPr>
          <w:ilvl w:val="0"/>
          <w:numId w:val="12"/>
        </w:numPr>
      </w:pPr>
      <w:r>
        <w:t>Release notes match the shared entitlement manifest.</w:t>
      </w:r>
    </w:p>
    <w:p>
      <w:pPr>
        <w:keepLines/>
        <w:numPr>
          <w:ilvl w:val="0"/>
          <w:numId w:val="12"/>
        </w:numPr>
      </w:pPr>
      <w:r>
        <w:t>No public updater promotion has run.</w:t>
      </w:r>
    </w:p>
    <w:p>
      <w:pPr>
        <w:spacing w:after="80"/>
      </w:pPr>
      <w:r>
        <w:rPr>
          <w:b/>
        </w:rPr>
        <w:t xml:space="preserve">Candidate tag: </w:t>
      </w:r>
      <w:r>
        <w:t>__________________________________________________________________________</w:t>
      </w:r>
    </w:p>
    <w:p>
      <w:pPr>
        <w:spacing w:after="80"/>
      </w:pPr>
      <w:r>
        <w:rPr>
          <w:b/>
        </w:rPr>
        <w:t xml:space="preserve">Draft release URL: </w:t>
      </w:r>
      <w:r>
        <w:t>__________________________________________________________________________</w:t>
      </w:r>
    </w:p>
    <w:p>
      <w:pPr>
        <w:spacing w:after="80"/>
      </w:pPr>
      <w:r>
        <w:rPr>
          <w:b/>
        </w:rPr>
        <w:t xml:space="preserve">Release reviewer: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15. Final website and support acceptance</w:t>
      </w:r>
    </w:p>
    <w:p>
      <w:pPr>
        <w:spacing w:before="100" w:after="160" w:line="288" w:lineRule="auto"/>
        <w:ind w:left="115" w:right="115"/>
        <w:shd w:fill="EAF7EF"/>
        <w:pBdr>
          <w:left w:val="single" w:sz="18" w:space="8" w:color="17663A"/>
        </w:pBdr>
      </w:pPr>
      <w:r>
        <w:rPr>
          <w:rFonts w:ascii="Calibri" w:hAnsi="Calibri"/>
          <w:b/>
          <w:color w:val="17663A"/>
          <w:sz w:val="21"/>
        </w:rPr>
        <w:t xml:space="preserve">VERIFIED ASSETS  </w:t>
      </w:r>
      <w:r>
        <w:rPr>
          <w:rFonts w:ascii="Calibri" w:hAnsi="Calibri"/>
          <w:color w:val="172033"/>
          <w:sz w:val="21"/>
        </w:rPr>
        <w:t>The current website tour demonstrates imports, learned classification, goals, recurring detection, CA tax packs, and local privacy using synthetic-data captures from the real React application. A muted WebM/MP4 loop, still posters, lazy loading, and prefers-reduced-motion fallbacks are included.</w:t>
      </w:r>
    </w:p>
    <w:p>
      <w:pPr>
        <w:keepLines/>
        <w:numPr>
          <w:ilvl w:val="0"/>
          <w:numId w:val="10"/>
        </w:numPr>
      </w:pPr>
      <w:r>
        <w:t>Verify all advertised features are marked released in shared/entitlements.json and pass app acceptance tests. Hide anything unreleased.</w:t>
      </w:r>
    </w:p>
    <w:p>
      <w:pPr>
        <w:keepLines/>
        <w:numPr>
          <w:ilvl w:val="0"/>
          <w:numId w:val="10"/>
        </w:numPr>
      </w:pPr>
      <w:r>
        <w:t>Review the final real screenshots captured from synthetic data. Confirm there are no real names, account numbers, emails, amounts from a real person, or provider keys.</w:t>
      </w:r>
    </w:p>
    <w:p>
      <w:pPr>
        <w:keepLines/>
        <w:numPr>
          <w:ilvl w:val="0"/>
          <w:numId w:val="10"/>
        </w:numPr>
      </w:pPr>
      <w:r>
        <w:t>Play the private demo end-to-end. Verify it reflects the signed candidate and does not expose local paths, notifications, credentials, or personal data.</w:t>
      </w:r>
    </w:p>
    <w:p>
      <w:pPr>
        <w:keepLines/>
        <w:numPr>
          <w:ilvl w:val="0"/>
          <w:numId w:val="10"/>
        </w:numPr>
      </w:pPr>
      <w:r>
        <w:t>Complete Google sign-in, double-opt-in waitlist, test/live checkout, license email, account activations, device deactivation, and download links on the canonical domain.</w:t>
      </w:r>
    </w:p>
    <w:p>
      <w:pPr>
        <w:keepLines/>
        <w:numPr>
          <w:ilvl w:val="0"/>
          <w:numId w:val="10"/>
        </w:numPr>
      </w:pPr>
      <w:r>
        <w:t>Ensure Pro ₹4,999 and Max ₹9,999 are lifetime licenses with zero hosted credits; local AI and BYO keys consume no GODFIN credits; hosted packs are separate one-time purchases.</w:t>
      </w:r>
    </w:p>
    <w:p>
      <w:pPr>
        <w:keepLines/>
        <w:numPr>
          <w:ilvl w:val="0"/>
          <w:numId w:val="10"/>
        </w:numPr>
      </w:pPr>
      <w:r>
        <w:t>Review privacy, terms, refund, lifetime definition, device limit, offline grace, supported OS/banks, market-data caveats, and support contacts with qualified Indian legal/tax advisers.</w:t>
      </w:r>
    </w:p>
    <w:p>
      <w:pPr>
        <w:keepLines/>
        <w:numPr>
          <w:ilvl w:val="0"/>
          <w:numId w:val="10"/>
        </w:numPr>
      </w:pPr>
      <w:r>
        <w:t>Assign launch-day monitoring for checkout failures, webhook retries, email delivery, downloads, license activation, support, refunds, security reports, and rollback.</w:t>
      </w:r>
    </w:p>
    <w:p>
      <w:pPr>
        <w:keepLines/>
        <w:numPr>
          <w:ilvl w:val="0"/>
          <w:numId w:val="12"/>
        </w:numPr>
      </w:pPr>
      <w:r>
        <w:t>Website production paths and security headers pass.</w:t>
      </w:r>
    </w:p>
    <w:p>
      <w:pPr>
        <w:keepLines/>
        <w:numPr>
          <w:ilvl w:val="0"/>
          <w:numId w:val="12"/>
        </w:numPr>
      </w:pPr>
      <w:r>
        <w:t>All sold features are implemented and released.</w:t>
      </w:r>
    </w:p>
    <w:p>
      <w:pPr>
        <w:keepLines/>
        <w:numPr>
          <w:ilvl w:val="0"/>
          <w:numId w:val="12"/>
        </w:numPr>
      </w:pPr>
      <w:r>
        <w:t>Support and privacy mailboxes are staffed.</w:t>
      </w:r>
    </w:p>
    <w:p>
      <w:pPr>
        <w:keepLines/>
        <w:numPr>
          <w:ilvl w:val="0"/>
          <w:numId w:val="12"/>
        </w:numPr>
      </w:pPr>
      <w:r>
        <w:t>Legal/tax/privacy approvals are archived.</w:t>
      </w:r>
    </w:p>
    <w:p>
      <w:pPr>
        <w:keepLines/>
        <w:numPr>
          <w:ilvl w:val="0"/>
          <w:numId w:val="12"/>
        </w:numPr>
      </w:pPr>
      <w:r>
        <w:t>Signed downloads and account/device controls work.</w:t>
      </w:r>
    </w:p>
    <w:p>
      <w:pPr>
        <w:keepLines/>
        <w:numPr>
          <w:ilvl w:val="0"/>
          <w:numId w:val="12"/>
        </w:numPr>
      </w:pPr>
      <w:r>
        <w:t>Screenshots and demo match the final candidate.</w:t>
      </w:r>
    </w:p>
    <w:p>
      <w:r>
        <w:br w:type="page"/>
      </w:r>
    </w:p>
    <w:p>
      <w:pPr>
        <w:pStyle w:val="Heading1"/>
      </w:pPr>
      <w:r>
        <w:t>16. Explicit public-launch gate</w:t>
      </w:r>
    </w:p>
    <w:p>
      <w:pPr>
        <w:spacing w:before="100" w:after="160" w:line="288" w:lineRule="auto"/>
        <w:ind w:left="115" w:right="115"/>
        <w:shd w:fill="FDECEC"/>
        <w:pBdr>
          <w:left w:val="single" w:sz="18" w:space="8" w:color="9B1C1C"/>
        </w:pBdr>
      </w:pPr>
      <w:r>
        <w:rPr>
          <w:rFonts w:ascii="Calibri" w:hAnsi="Calibri"/>
          <w:b/>
          <w:color w:val="9B1C1C"/>
          <w:sz w:val="21"/>
        </w:rPr>
        <w:t xml:space="preserve">NO IMPLIED AUTHORIZATION  </w:t>
      </w:r>
      <w:r>
        <w:rPr>
          <w:rFonts w:ascii="Calibri" w:hAnsi="Calibri"/>
          <w:color w:val="172033"/>
          <w:sz w:val="21"/>
        </w:rPr>
        <w:t>A green build, deployed website, signed installer, draft release, completed runbook, or successful payment test does not authorize a public launch. Public release and Phase 6 require explicit written owner authorization.</w:t>
      </w:r>
    </w:p>
    <w:tbl>
      <w:tblPr>
        <w:tblStyle w:val="TableGrid"/>
        <w:tblW w:type="dxa" w:w="9360"/>
        <w:tblLayout w:type="fixed"/>
        <w:tblLook w:firstColumn="1" w:firstRow="1" w:lastColumn="0" w:lastRow="0" w:noHBand="0" w:noVBand="1" w:val="04A0"/>
        <w:tblInd w:w="120" w:type="dxa"/>
      </w:tblPr>
      <w:tblGrid>
        <w:gridCol w:w="3300"/>
        <w:gridCol w:w="1300"/>
        <w:gridCol w:w="1100"/>
        <w:gridCol w:w="3660"/>
      </w:tblGrid>
      <w:tr>
        <w:trPr>
          <w:tblHeader w:val="true"/>
        </w:trPr>
        <w:tc>
          <w:tcPr>
            <w:tcW w:type="dxa" w:w="3300"/>
            <w:shd w:fill="E8EEF5"/>
            <w:tcMar>
              <w:top w:w="80" w:type="dxa"/>
              <w:start w:w="120" w:type="dxa"/>
              <w:bottom w:w="80" w:type="dxa"/>
              <w:end w:w="120" w:type="dxa"/>
            </w:tcMar>
            <w:vAlign w:val="center"/>
          </w:tcPr>
          <w:p>
            <w:pPr>
              <w:spacing w:after="0"/>
            </w:pPr>
            <w:r>
              <w:rPr>
                <w:rFonts w:ascii="Calibri" w:hAnsi="Calibri"/>
                <w:b/>
                <w:color w:val="163A5F"/>
                <w:sz w:val="19"/>
              </w:rPr>
              <w:t>Gate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Owner</w:t>
            </w:r>
          </w:p>
        </w:tc>
        <w:tc>
          <w:tcPr>
            <w:tcW w:type="dxa" w:w="1100"/>
            <w:shd w:fill="E8EEF5"/>
            <w:tcMar>
              <w:top w:w="80" w:type="dxa"/>
              <w:start w:w="120" w:type="dxa"/>
              <w:bottom w:w="80" w:type="dxa"/>
              <w:end w:w="120" w:type="dxa"/>
            </w:tcMar>
            <w:vAlign w:val="center"/>
          </w:tcPr>
          <w:p>
            <w:pPr>
              <w:spacing w:after="0"/>
            </w:pPr>
            <w:r>
              <w:rPr>
                <w:rFonts w:ascii="Calibri" w:hAnsi="Calibri"/>
                <w:b/>
                <w:color w:val="163A5F"/>
                <w:sz w:val="19"/>
              </w:rPr>
              <w:t>Complete</w:t>
            </w:r>
          </w:p>
        </w:tc>
        <w:tc>
          <w:tcPr>
            <w:tcW w:type="dxa" w:w="3660"/>
            <w:shd w:fill="E8EEF5"/>
            <w:tcMar>
              <w:top w:w="80" w:type="dxa"/>
              <w:start w:w="120" w:type="dxa"/>
              <w:bottom w:w="80" w:type="dxa"/>
              <w:end w:w="120" w:type="dxa"/>
            </w:tcMar>
            <w:vAlign w:val="center"/>
          </w:tcPr>
          <w:p>
            <w:pPr>
              <w:spacing w:after="0"/>
            </w:pPr>
            <w:r>
              <w:rPr>
                <w:rFonts w:ascii="Calibri" w:hAnsi="Calibri"/>
                <w:b/>
                <w:color w:val="163A5F"/>
                <w:sz w:val="19"/>
              </w:rPr>
              <w:t>Evidence / approval reference</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Google OAuth callback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Production callback passed twice on 30 Jul 2026; rotated client active; original client revoked.</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Second-account isolation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Repeat with a distinct Google test account before public launch.</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Desktop Gmail OAuth + sync</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Separate Desktop client; read-only consent; connect/sync/disconnect/reconnect evidence.</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Dependency license clearance</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Human approval of conditional licenses with unchanged SBOM/notices hashes.</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Stripe + webhook + refund/tax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Resend + DNS + support inboxes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Custom domain + security headers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License custody + three devices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macOS/Windows signing</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R2 updates + rollback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Local macOS arm64 package proof</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Locked local candidate meets startup, memory, privacy, persistence, and trust-boundary budgets; not notarized.</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Cross-platform clean-system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macOS x64, Windows 10/11 x64, and Ubuntu 22.04 x64 remain external gates.</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Browser-family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Chrome, Safari, Firefox, and Edge acceptance evidence remains deferred.</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Security/privacy/recovery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Legal/tax/privacy review</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Private draft + screenshots + demo</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Final public-launch authorization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spacing w:after="80"/>
      </w:pPr>
      <w:r>
        <w:rPr>
          <w:b/>
        </w:rPr>
        <w:t xml:space="preserve">Authorized release version: </w:t>
      </w:r>
      <w:r>
        <w:t>__________________________________________________________________________</w:t>
      </w:r>
    </w:p>
    <w:p>
      <w:pPr>
        <w:spacing w:after="80"/>
      </w:pPr>
      <w:r>
        <w:rPr>
          <w:b/>
        </w:rPr>
        <w:t xml:space="preserve">Authorized canonical website: </w:t>
      </w:r>
      <w:r>
        <w:t>__________________________________________________________________________</w:t>
      </w:r>
    </w:p>
    <w:p>
      <w:pPr>
        <w:spacing w:after="80"/>
      </w:pPr>
      <w:r>
        <w:rPr>
          <w:b/>
        </w:rPr>
        <w:t xml:space="preserve">Authorized public release date/time: </w:t>
      </w:r>
      <w:r>
        <w:t>__________________________________________________________________________</w:t>
      </w:r>
    </w:p>
    <w:p>
      <w:pPr>
        <w:spacing w:after="80"/>
      </w:pPr>
      <w:r>
        <w:rPr>
          <w:b/>
        </w:rPr>
        <w:t xml:space="preserve">Owner’s written authorization reference: </w:t>
      </w:r>
      <w:r>
        <w:t>__________________________________________________________________________</w:t>
      </w:r>
    </w:p>
    <w:p>
      <w:pPr>
        <w:spacing w:after="80"/>
      </w:pPr>
      <w:r>
        <w:rPr>
          <w:b/>
        </w:rPr>
        <w:t xml:space="preserve">Owner signature: </w:t>
      </w:r>
      <w:r>
        <w:t>__________________________________________________________________________</w:t>
      </w:r>
    </w:p>
    <w:p>
      <w:pPr>
        <w:spacing w:after="80"/>
      </w:pPr>
      <w:r>
        <w:rPr>
          <w:b/>
        </w:rPr>
        <w:t xml:space="preserve">Date: </w:t>
      </w:r>
      <w:r>
        <w:t>__________________________________________________________________________</w:t>
      </w:r>
    </w:p>
    <w:p>
      <w:pPr>
        <w:spacing w:before="400"/>
        <w:jc w:val="center"/>
      </w:pPr>
      <w:r>
        <w:rPr>
          <w:rFonts w:ascii="Calibri" w:hAnsi="Calibri"/>
          <w:b/>
          <w:color w:val="9B1C1C"/>
          <w:sz w:val="22"/>
        </w:rPr>
        <w:t>Only after this gate is signed may the team publish the GitHub Release, promote the update feed, enable production checkout, announce the product publicly, or begin Phase 6 growth work.</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667085"/>
        <w:sz w:val="18"/>
      </w:rPr>
      <w:t xml:space="preserve">Private &amp; confidential  •  Page </w:t>
    </w:r>
    <w:r>
      <w:rPr>
        <w:rFonts w:ascii="Calibri" w:hAnsi="Calibri"/>
        <w:color w:val="667085"/>
        <w:sz w:val="18"/>
      </w:rPr>
      <w:fldChar w:fldCharType="begin"/>
      <w:instrText xml:space="preserve">PAGE</w:instrText>
      <w:fldChar w:fldCharType="separate"/>
      <w:t>1</w:t>
      <w:fldChar w:fldCharType="end"/>
    </w:r>
    <w:r>
      <w:rPr>
        <w:rFonts w:ascii="Calibri" w:hAnsi="Calibri"/>
        <w:color w:val="667085"/>
        <w:sz w:val="18"/>
      </w:rPr>
      <w:t xml:space="preserve"> of </w:t>
    </w:r>
    <w:r>
      <w:rPr>
        <w:rFonts w:ascii="Calibri" w:hAnsi="Calibri"/>
        <w:color w:val="667085"/>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7"/>
      </w:rPr>
      <w:t>GODFIN  /  PRIVATE OWNER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20"/>
        </w:tabs>
        <w:ind w:left="720" w:hanging="360"/>
        <w:spacing w:after="60" w:line="276" w:lineRule="auto"/>
      </w:pPr>
    </w:lvl>
  </w:abstractNum>
  <w:num w:numId="10">
    <w:abstractNumId w:val="9"/>
  </w:num>
  <w:abstractNum w:abstractNumId="10">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1">
    <w:abstractNumId w:val="10"/>
  </w:num>
  <w:abstractNum w:abstractNumId="11">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unbookCaption">
    <w:name w:val="Runbook Caption"/>
    <w:pPr>
      <w:spacing w:before="80" w:after="80" w:line="276" w:lineRule="auto"/>
    </w:pPr>
    <w:rPr>
      <w:rFonts w:ascii="Calibri" w:hAnsi="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abase.com/docs/guides/auth/social-login/auth-google" TargetMode="External"/><Relationship Id="rId12" Type="http://schemas.openxmlformats.org/officeDocument/2006/relationships/hyperlink" Target="https://developers.google.com/workspace/gmail/api/quickstart/python" TargetMode="External"/><Relationship Id="rId13" Type="http://schemas.openxmlformats.org/officeDocument/2006/relationships/hyperlink" Target="https://docs.stripe.com/india" TargetMode="External"/><Relationship Id="rId14" Type="http://schemas.openxmlformats.org/officeDocument/2006/relationships/hyperlink" Target="https://docs.stripe.com/webhooks/signature" TargetMode="External"/><Relationship Id="rId15" Type="http://schemas.openxmlformats.org/officeDocument/2006/relationships/hyperlink" Target="https://resend.com/docs/dashboard/domains/introduction" TargetMode="External"/><Relationship Id="rId16" Type="http://schemas.openxmlformats.org/officeDocument/2006/relationships/hyperlink" Target="https://twelvedata.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GODFIN Owner Completion Runbook</dc:title>
  <dc:subject>Private launch readiness and owner-controlled completion gates</dc:subject>
  <dc:creator/>
  <cp:keywords>GODFIN, private launch, owner runbook, signing, payments, privacy</cp:keywords>
  <dc:description>generated by python-docx</dc:description>
  <cp:lastModifiedBy/>
  <cp:revision>1</cp:revision>
  <dcterms:created xsi:type="dcterms:W3CDTF">2013-12-23T23:15:00Z</dcterms:created>
  <dcterms:modified xsi:type="dcterms:W3CDTF">2013-12-23T23:15:00Z</dcterms:modified>
  <cp:category/>
</cp:coreProperties>
</file>